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F72CD" w14:textId="77777777" w:rsidR="00F31387" w:rsidRDefault="00F31387" w:rsidP="003B7D0E">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5F103C6C" wp14:editId="0CEAE0B1">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3163E250"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5FEDE79C" w14:textId="77777777" w:rsidR="0096459E" w:rsidRPr="003B7D0E" w:rsidRDefault="00BF1279" w:rsidP="003B7D0E">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NIHRC Response to the UK Joint Committee on Human Rights’ Call for Evidence on the Human Rights of Asylum Seekers in the UK</w:t>
      </w:r>
    </w:p>
    <w:p w14:paraId="44DB2FA0" w14:textId="77777777" w:rsidR="00F31387" w:rsidRPr="00331C61" w:rsidRDefault="00F31387" w:rsidP="003B7D0E">
      <w:pPr>
        <w:pStyle w:val="Default"/>
        <w:spacing w:line="288" w:lineRule="auto"/>
        <w:jc w:val="center"/>
        <w:rPr>
          <w:rFonts w:cs="Arial"/>
          <w:color w:val="232120"/>
          <w:sz w:val="36"/>
          <w:szCs w:val="36"/>
        </w:rPr>
      </w:pPr>
    </w:p>
    <w:p w14:paraId="27BEF2CE" w14:textId="1AC06143" w:rsidR="008159E8" w:rsidRPr="00331C61" w:rsidRDefault="00214A30" w:rsidP="003B7D0E">
      <w:pPr>
        <w:spacing w:line="288" w:lineRule="auto"/>
        <w:jc w:val="center"/>
        <w:rPr>
          <w:rFonts w:ascii="Verdana" w:hAnsi="Verdana" w:cs="Arial"/>
          <w:b/>
          <w:color w:val="232120"/>
          <w:sz w:val="30"/>
          <w:szCs w:val="30"/>
        </w:rPr>
      </w:pPr>
      <w:r>
        <w:rPr>
          <w:rFonts w:ascii="Verdana" w:hAnsi="Verdana" w:cs="Arial"/>
          <w:b/>
          <w:color w:val="232120"/>
          <w:sz w:val="30"/>
          <w:szCs w:val="30"/>
        </w:rPr>
        <w:t>19</w:t>
      </w:r>
      <w:r w:rsidR="00F31387" w:rsidRPr="00331C61">
        <w:rPr>
          <w:rFonts w:ascii="Verdana" w:hAnsi="Verdana" w:cs="Arial"/>
          <w:b/>
          <w:color w:val="232120"/>
          <w:sz w:val="30"/>
          <w:szCs w:val="30"/>
        </w:rPr>
        <w:t xml:space="preserve"> </w:t>
      </w:r>
      <w:r w:rsidR="00BF1279">
        <w:rPr>
          <w:rFonts w:ascii="Verdana" w:hAnsi="Verdana" w:cs="Arial"/>
          <w:b/>
          <w:color w:val="232120"/>
          <w:sz w:val="30"/>
          <w:szCs w:val="30"/>
        </w:rPr>
        <w:t>December</w:t>
      </w:r>
      <w:r w:rsidR="00F31387" w:rsidRPr="00331C61">
        <w:rPr>
          <w:rFonts w:ascii="Verdana" w:hAnsi="Verdana" w:cs="Arial"/>
          <w:b/>
          <w:color w:val="232120"/>
          <w:sz w:val="30"/>
          <w:szCs w:val="30"/>
        </w:rPr>
        <w:t xml:space="preserve"> </w:t>
      </w:r>
      <w:r w:rsidR="00BF1279">
        <w:rPr>
          <w:rFonts w:ascii="Verdana" w:hAnsi="Verdana" w:cs="Arial"/>
          <w:b/>
          <w:color w:val="232120"/>
          <w:sz w:val="30"/>
          <w:szCs w:val="30"/>
        </w:rPr>
        <w:t>2022</w:t>
      </w:r>
    </w:p>
    <w:p w14:paraId="63758EF8" w14:textId="77777777" w:rsidR="00046705" w:rsidRPr="00331C61" w:rsidRDefault="00046705" w:rsidP="003B7D0E">
      <w:pPr>
        <w:spacing w:line="288" w:lineRule="auto"/>
        <w:jc w:val="center"/>
        <w:rPr>
          <w:rFonts w:ascii="Verdana" w:hAnsi="Verdana" w:cs="Arial"/>
          <w:b/>
          <w:color w:val="232120"/>
          <w:sz w:val="28"/>
          <w:szCs w:val="28"/>
        </w:rPr>
      </w:pPr>
    </w:p>
    <w:p w14:paraId="2FFA9A89" w14:textId="77777777" w:rsidR="00046705" w:rsidRPr="00331C61" w:rsidRDefault="00046705" w:rsidP="003B7D0E">
      <w:pPr>
        <w:spacing w:line="288" w:lineRule="auto"/>
        <w:jc w:val="center"/>
        <w:rPr>
          <w:rFonts w:ascii="Verdana" w:hAnsi="Verdana" w:cs="Arial"/>
          <w:b/>
          <w:color w:val="232120"/>
          <w:sz w:val="28"/>
          <w:szCs w:val="28"/>
        </w:rPr>
      </w:pPr>
    </w:p>
    <w:p w14:paraId="3C073676" w14:textId="77777777" w:rsidR="00EA12CE" w:rsidRPr="00331C61" w:rsidRDefault="00EA12CE" w:rsidP="003B7D0E">
      <w:pPr>
        <w:pStyle w:val="Default"/>
        <w:spacing w:line="288" w:lineRule="auto"/>
        <w:jc w:val="center"/>
        <w:rPr>
          <w:rFonts w:cs="Arial"/>
          <w:b/>
          <w:color w:val="232120"/>
          <w:sz w:val="28"/>
          <w:szCs w:val="28"/>
          <w:lang w:val="en-GB"/>
        </w:rPr>
      </w:pPr>
    </w:p>
    <w:p w14:paraId="7BC12BA6" w14:textId="77777777" w:rsidR="003B7D0E" w:rsidRPr="00331C61" w:rsidRDefault="003B7D0E" w:rsidP="003B7D0E">
      <w:pPr>
        <w:pStyle w:val="Default"/>
        <w:spacing w:line="480" w:lineRule="auto"/>
        <w:jc w:val="center"/>
        <w:rPr>
          <w:rFonts w:cs="Arial"/>
          <w:b/>
          <w:color w:val="232120"/>
          <w:sz w:val="36"/>
          <w:szCs w:val="36"/>
        </w:rPr>
      </w:pPr>
    </w:p>
    <w:p w14:paraId="3CB476E4" w14:textId="77777777" w:rsidR="003B7D0E" w:rsidRDefault="003B7D0E" w:rsidP="003B7D0E">
      <w:pPr>
        <w:pStyle w:val="Default"/>
        <w:spacing w:line="480" w:lineRule="auto"/>
        <w:jc w:val="center"/>
        <w:rPr>
          <w:rFonts w:cs="Arial"/>
          <w:b/>
          <w:color w:val="232120"/>
          <w:sz w:val="36"/>
          <w:szCs w:val="36"/>
        </w:rPr>
      </w:pPr>
    </w:p>
    <w:p w14:paraId="7241DEC5" w14:textId="77777777" w:rsidR="0096459E" w:rsidRPr="00331C61" w:rsidRDefault="0096459E" w:rsidP="003B7D0E">
      <w:pPr>
        <w:pStyle w:val="Default"/>
        <w:spacing w:line="480" w:lineRule="auto"/>
        <w:jc w:val="center"/>
        <w:rPr>
          <w:rFonts w:cs="Arial"/>
          <w:b/>
          <w:color w:val="232120"/>
          <w:sz w:val="36"/>
          <w:szCs w:val="36"/>
        </w:rPr>
      </w:pPr>
    </w:p>
    <w:p w14:paraId="640C1284" w14:textId="77777777" w:rsidR="003B7D0E" w:rsidRPr="00331C61" w:rsidRDefault="003B7D0E" w:rsidP="003B7D0E">
      <w:pPr>
        <w:pStyle w:val="Default"/>
        <w:spacing w:line="480" w:lineRule="auto"/>
        <w:jc w:val="center"/>
        <w:rPr>
          <w:rFonts w:cs="Arial"/>
          <w:b/>
          <w:color w:val="232120"/>
          <w:sz w:val="36"/>
          <w:szCs w:val="36"/>
        </w:rPr>
      </w:pPr>
    </w:p>
    <w:p w14:paraId="3E2F41F9" w14:textId="5F0E4A7B" w:rsidR="001E79A9" w:rsidRDefault="001E79A9" w:rsidP="00331C61">
      <w:pPr>
        <w:pStyle w:val="Default"/>
        <w:spacing w:line="288" w:lineRule="auto"/>
        <w:rPr>
          <w:rFonts w:cs="Arial"/>
          <w:b/>
          <w:color w:val="232120"/>
        </w:rPr>
      </w:pPr>
    </w:p>
    <w:sdt>
      <w:sdtPr>
        <w:id w:val="2059662568"/>
        <w:docPartObj>
          <w:docPartGallery w:val="Table of Contents"/>
          <w:docPartUnique/>
        </w:docPartObj>
      </w:sdtPr>
      <w:sdtEndPr>
        <w:rPr>
          <w:rFonts w:asciiTheme="minorHAnsi" w:eastAsiaTheme="minorEastAsia" w:hAnsiTheme="minorHAnsi" w:cstheme="minorBidi"/>
          <w:b/>
          <w:bCs/>
          <w:noProof/>
          <w:color w:val="auto"/>
          <w:sz w:val="24"/>
          <w:szCs w:val="24"/>
          <w:lang w:val="en-GB"/>
        </w:rPr>
      </w:sdtEndPr>
      <w:sdtContent>
        <w:p w14:paraId="331C7B1E" w14:textId="53BAB943" w:rsidR="0072658C" w:rsidRPr="0072658C" w:rsidRDefault="0072658C">
          <w:pPr>
            <w:pStyle w:val="TOCHeading"/>
            <w:rPr>
              <w:rFonts w:ascii="Verdana" w:hAnsi="Verdana"/>
              <w:b/>
              <w:color w:val="77328A"/>
              <w:sz w:val="30"/>
              <w:szCs w:val="30"/>
            </w:rPr>
          </w:pPr>
          <w:r w:rsidRPr="0072658C">
            <w:rPr>
              <w:rFonts w:ascii="Verdana" w:hAnsi="Verdana"/>
              <w:b/>
              <w:color w:val="77328A"/>
              <w:sz w:val="30"/>
              <w:szCs w:val="30"/>
            </w:rPr>
            <w:t>Table of Contents</w:t>
          </w:r>
        </w:p>
        <w:p w14:paraId="2558C7AF" w14:textId="62A06BD0" w:rsidR="0072658C" w:rsidRPr="0072658C" w:rsidRDefault="0072658C">
          <w:pPr>
            <w:pStyle w:val="TOC1"/>
            <w:tabs>
              <w:tab w:val="right" w:leader="dot" w:pos="9848"/>
            </w:tabs>
            <w:rPr>
              <w:rFonts w:ascii="Verdana" w:hAnsi="Verdana" w:cstheme="minorBidi"/>
              <w:noProof/>
              <w:sz w:val="24"/>
              <w:szCs w:val="24"/>
              <w:lang w:val="en-GB" w:eastAsia="en-GB"/>
            </w:rPr>
          </w:pPr>
          <w:r w:rsidRPr="0072658C">
            <w:rPr>
              <w:rFonts w:ascii="Verdana" w:hAnsi="Verdana"/>
              <w:sz w:val="24"/>
              <w:szCs w:val="24"/>
            </w:rPr>
            <w:fldChar w:fldCharType="begin"/>
          </w:r>
          <w:r w:rsidRPr="0072658C">
            <w:rPr>
              <w:rFonts w:ascii="Verdana" w:hAnsi="Verdana"/>
              <w:sz w:val="24"/>
              <w:szCs w:val="24"/>
            </w:rPr>
            <w:instrText xml:space="preserve"> TOC \o "1-3" \h \z \u </w:instrText>
          </w:r>
          <w:r w:rsidRPr="0072658C">
            <w:rPr>
              <w:rFonts w:ascii="Verdana" w:hAnsi="Verdana"/>
              <w:sz w:val="24"/>
              <w:szCs w:val="24"/>
            </w:rPr>
            <w:fldChar w:fldCharType="separate"/>
          </w:r>
          <w:hyperlink w:anchor="_Toc122344437" w:history="1">
            <w:r w:rsidRPr="0072658C">
              <w:rPr>
                <w:rStyle w:val="Hyperlink"/>
                <w:rFonts w:ascii="Verdana" w:hAnsi="Verdana"/>
                <w:noProof/>
                <w:sz w:val="24"/>
                <w:szCs w:val="24"/>
              </w:rPr>
              <w:t>Summary of Recommendations</w:t>
            </w:r>
            <w:r w:rsidRPr="0072658C">
              <w:rPr>
                <w:rFonts w:ascii="Verdana" w:hAnsi="Verdana"/>
                <w:noProof/>
                <w:webHidden/>
                <w:sz w:val="24"/>
                <w:szCs w:val="24"/>
              </w:rPr>
              <w:tab/>
            </w:r>
            <w:r w:rsidRPr="0072658C">
              <w:rPr>
                <w:rFonts w:ascii="Verdana" w:hAnsi="Verdana"/>
                <w:noProof/>
                <w:webHidden/>
                <w:sz w:val="24"/>
                <w:szCs w:val="24"/>
              </w:rPr>
              <w:fldChar w:fldCharType="begin"/>
            </w:r>
            <w:r w:rsidRPr="0072658C">
              <w:rPr>
                <w:rFonts w:ascii="Verdana" w:hAnsi="Verdana"/>
                <w:noProof/>
                <w:webHidden/>
                <w:sz w:val="24"/>
                <w:szCs w:val="24"/>
              </w:rPr>
              <w:instrText xml:space="preserve"> PAGEREF _Toc122344437 \h </w:instrText>
            </w:r>
            <w:r w:rsidRPr="0072658C">
              <w:rPr>
                <w:rFonts w:ascii="Verdana" w:hAnsi="Verdana"/>
                <w:noProof/>
                <w:webHidden/>
                <w:sz w:val="24"/>
                <w:szCs w:val="24"/>
              </w:rPr>
            </w:r>
            <w:r w:rsidRPr="0072658C">
              <w:rPr>
                <w:rFonts w:ascii="Verdana" w:hAnsi="Verdana"/>
                <w:noProof/>
                <w:webHidden/>
                <w:sz w:val="24"/>
                <w:szCs w:val="24"/>
              </w:rPr>
              <w:fldChar w:fldCharType="separate"/>
            </w:r>
            <w:r w:rsidRPr="0072658C">
              <w:rPr>
                <w:rFonts w:ascii="Verdana" w:hAnsi="Verdana"/>
                <w:noProof/>
                <w:webHidden/>
                <w:sz w:val="24"/>
                <w:szCs w:val="24"/>
              </w:rPr>
              <w:t>3</w:t>
            </w:r>
            <w:r w:rsidRPr="0072658C">
              <w:rPr>
                <w:rFonts w:ascii="Verdana" w:hAnsi="Verdana"/>
                <w:noProof/>
                <w:webHidden/>
                <w:sz w:val="24"/>
                <w:szCs w:val="24"/>
              </w:rPr>
              <w:fldChar w:fldCharType="end"/>
            </w:r>
          </w:hyperlink>
        </w:p>
        <w:p w14:paraId="59F15AAA" w14:textId="36357DD3" w:rsidR="0072658C" w:rsidRPr="0072658C" w:rsidRDefault="0072658C">
          <w:pPr>
            <w:pStyle w:val="TOC1"/>
            <w:tabs>
              <w:tab w:val="right" w:leader="dot" w:pos="9848"/>
            </w:tabs>
            <w:rPr>
              <w:rFonts w:ascii="Verdana" w:hAnsi="Verdana" w:cstheme="minorBidi"/>
              <w:noProof/>
              <w:sz w:val="24"/>
              <w:szCs w:val="24"/>
              <w:lang w:val="en-GB" w:eastAsia="en-GB"/>
            </w:rPr>
          </w:pPr>
          <w:hyperlink w:anchor="_Toc122344438" w:history="1">
            <w:r w:rsidRPr="0072658C">
              <w:rPr>
                <w:rStyle w:val="Hyperlink"/>
                <w:rFonts w:ascii="Verdana" w:hAnsi="Verdana"/>
                <w:noProof/>
                <w:sz w:val="24"/>
                <w:szCs w:val="24"/>
              </w:rPr>
              <w:t>1.0 Introduction</w:t>
            </w:r>
            <w:r w:rsidRPr="0072658C">
              <w:rPr>
                <w:rFonts w:ascii="Verdana" w:hAnsi="Verdana"/>
                <w:noProof/>
                <w:webHidden/>
                <w:sz w:val="24"/>
                <w:szCs w:val="24"/>
              </w:rPr>
              <w:tab/>
            </w:r>
            <w:r w:rsidRPr="0072658C">
              <w:rPr>
                <w:rFonts w:ascii="Verdana" w:hAnsi="Verdana"/>
                <w:noProof/>
                <w:webHidden/>
                <w:sz w:val="24"/>
                <w:szCs w:val="24"/>
              </w:rPr>
              <w:fldChar w:fldCharType="begin"/>
            </w:r>
            <w:r w:rsidRPr="0072658C">
              <w:rPr>
                <w:rFonts w:ascii="Verdana" w:hAnsi="Verdana"/>
                <w:noProof/>
                <w:webHidden/>
                <w:sz w:val="24"/>
                <w:szCs w:val="24"/>
              </w:rPr>
              <w:instrText xml:space="preserve"> PAGEREF _Toc122344438 \h </w:instrText>
            </w:r>
            <w:r w:rsidRPr="0072658C">
              <w:rPr>
                <w:rFonts w:ascii="Verdana" w:hAnsi="Verdana"/>
                <w:noProof/>
                <w:webHidden/>
                <w:sz w:val="24"/>
                <w:szCs w:val="24"/>
              </w:rPr>
            </w:r>
            <w:r w:rsidRPr="0072658C">
              <w:rPr>
                <w:rFonts w:ascii="Verdana" w:hAnsi="Verdana"/>
                <w:noProof/>
                <w:webHidden/>
                <w:sz w:val="24"/>
                <w:szCs w:val="24"/>
              </w:rPr>
              <w:fldChar w:fldCharType="separate"/>
            </w:r>
            <w:r w:rsidRPr="0072658C">
              <w:rPr>
                <w:rFonts w:ascii="Verdana" w:hAnsi="Verdana"/>
                <w:noProof/>
                <w:webHidden/>
                <w:sz w:val="24"/>
                <w:szCs w:val="24"/>
              </w:rPr>
              <w:t>5</w:t>
            </w:r>
            <w:r w:rsidRPr="0072658C">
              <w:rPr>
                <w:rFonts w:ascii="Verdana" w:hAnsi="Verdana"/>
                <w:noProof/>
                <w:webHidden/>
                <w:sz w:val="24"/>
                <w:szCs w:val="24"/>
              </w:rPr>
              <w:fldChar w:fldCharType="end"/>
            </w:r>
          </w:hyperlink>
        </w:p>
        <w:p w14:paraId="1B3020A6" w14:textId="3F86CE13" w:rsidR="0072658C" w:rsidRPr="0072658C" w:rsidRDefault="0072658C">
          <w:pPr>
            <w:pStyle w:val="TOC1"/>
            <w:tabs>
              <w:tab w:val="left" w:pos="660"/>
              <w:tab w:val="right" w:leader="dot" w:pos="9848"/>
            </w:tabs>
            <w:rPr>
              <w:rFonts w:ascii="Verdana" w:hAnsi="Verdana" w:cstheme="minorBidi"/>
              <w:noProof/>
              <w:sz w:val="24"/>
              <w:szCs w:val="24"/>
              <w:lang w:val="en-GB" w:eastAsia="en-GB"/>
            </w:rPr>
          </w:pPr>
          <w:hyperlink w:anchor="_Toc122344439" w:history="1">
            <w:r w:rsidRPr="0072658C">
              <w:rPr>
                <w:rStyle w:val="Hyperlink"/>
                <w:rFonts w:ascii="Verdana" w:hAnsi="Verdana"/>
                <w:noProof/>
                <w:sz w:val="24"/>
                <w:szCs w:val="24"/>
              </w:rPr>
              <w:t>2.0</w:t>
            </w:r>
            <w:r w:rsidRPr="0072658C">
              <w:rPr>
                <w:rFonts w:ascii="Verdana" w:hAnsi="Verdana" w:cstheme="minorBidi"/>
                <w:noProof/>
                <w:sz w:val="24"/>
                <w:szCs w:val="24"/>
                <w:lang w:val="en-GB" w:eastAsia="en-GB"/>
              </w:rPr>
              <w:t xml:space="preserve"> </w:t>
            </w:r>
            <w:r w:rsidRPr="0072658C">
              <w:rPr>
                <w:rStyle w:val="Hyperlink"/>
                <w:rFonts w:ascii="Verdana" w:hAnsi="Verdana"/>
                <w:noProof/>
                <w:sz w:val="24"/>
                <w:szCs w:val="24"/>
              </w:rPr>
              <w:t>Article 2 of the Ireland/Northern Ireland Protocol</w:t>
            </w:r>
            <w:r w:rsidRPr="0072658C">
              <w:rPr>
                <w:rFonts w:ascii="Verdana" w:hAnsi="Verdana"/>
                <w:noProof/>
                <w:webHidden/>
                <w:sz w:val="24"/>
                <w:szCs w:val="24"/>
              </w:rPr>
              <w:tab/>
            </w:r>
            <w:r w:rsidRPr="0072658C">
              <w:rPr>
                <w:rFonts w:ascii="Verdana" w:hAnsi="Verdana"/>
                <w:noProof/>
                <w:webHidden/>
                <w:sz w:val="24"/>
                <w:szCs w:val="24"/>
              </w:rPr>
              <w:fldChar w:fldCharType="begin"/>
            </w:r>
            <w:r w:rsidRPr="0072658C">
              <w:rPr>
                <w:rFonts w:ascii="Verdana" w:hAnsi="Verdana"/>
                <w:noProof/>
                <w:webHidden/>
                <w:sz w:val="24"/>
                <w:szCs w:val="24"/>
              </w:rPr>
              <w:instrText xml:space="preserve"> PAGEREF _Toc122344439 \h </w:instrText>
            </w:r>
            <w:r w:rsidRPr="0072658C">
              <w:rPr>
                <w:rFonts w:ascii="Verdana" w:hAnsi="Verdana"/>
                <w:noProof/>
                <w:webHidden/>
                <w:sz w:val="24"/>
                <w:szCs w:val="24"/>
              </w:rPr>
            </w:r>
            <w:r w:rsidRPr="0072658C">
              <w:rPr>
                <w:rFonts w:ascii="Verdana" w:hAnsi="Verdana"/>
                <w:noProof/>
                <w:webHidden/>
                <w:sz w:val="24"/>
                <w:szCs w:val="24"/>
              </w:rPr>
              <w:fldChar w:fldCharType="separate"/>
            </w:r>
            <w:r w:rsidRPr="0072658C">
              <w:rPr>
                <w:rFonts w:ascii="Verdana" w:hAnsi="Verdana"/>
                <w:noProof/>
                <w:webHidden/>
                <w:sz w:val="24"/>
                <w:szCs w:val="24"/>
              </w:rPr>
              <w:t>5</w:t>
            </w:r>
            <w:r w:rsidRPr="0072658C">
              <w:rPr>
                <w:rFonts w:ascii="Verdana" w:hAnsi="Verdana"/>
                <w:noProof/>
                <w:webHidden/>
                <w:sz w:val="24"/>
                <w:szCs w:val="24"/>
              </w:rPr>
              <w:fldChar w:fldCharType="end"/>
            </w:r>
          </w:hyperlink>
        </w:p>
        <w:p w14:paraId="20614192" w14:textId="270A1816" w:rsidR="0072658C" w:rsidRPr="0072658C" w:rsidRDefault="0072658C">
          <w:pPr>
            <w:pStyle w:val="TOC1"/>
            <w:tabs>
              <w:tab w:val="right" w:leader="dot" w:pos="9848"/>
            </w:tabs>
            <w:rPr>
              <w:rFonts w:ascii="Verdana" w:hAnsi="Verdana" w:cstheme="minorBidi"/>
              <w:noProof/>
              <w:sz w:val="24"/>
              <w:szCs w:val="24"/>
              <w:lang w:val="en-GB" w:eastAsia="en-GB"/>
            </w:rPr>
          </w:pPr>
          <w:hyperlink w:anchor="_Toc122344440" w:history="1">
            <w:r w:rsidRPr="0072658C">
              <w:rPr>
                <w:rStyle w:val="Hyperlink"/>
                <w:rFonts w:ascii="Verdana" w:hAnsi="Verdana"/>
                <w:noProof/>
                <w:sz w:val="24"/>
                <w:szCs w:val="24"/>
              </w:rPr>
              <w:t>3.0 Human Rights of Asylum Seekers in the UK</w:t>
            </w:r>
            <w:r w:rsidRPr="0072658C">
              <w:rPr>
                <w:rFonts w:ascii="Verdana" w:hAnsi="Verdana"/>
                <w:noProof/>
                <w:webHidden/>
                <w:sz w:val="24"/>
                <w:szCs w:val="24"/>
              </w:rPr>
              <w:tab/>
            </w:r>
            <w:r w:rsidRPr="0072658C">
              <w:rPr>
                <w:rFonts w:ascii="Verdana" w:hAnsi="Verdana"/>
                <w:noProof/>
                <w:webHidden/>
                <w:sz w:val="24"/>
                <w:szCs w:val="24"/>
              </w:rPr>
              <w:fldChar w:fldCharType="begin"/>
            </w:r>
            <w:r w:rsidRPr="0072658C">
              <w:rPr>
                <w:rFonts w:ascii="Verdana" w:hAnsi="Verdana"/>
                <w:noProof/>
                <w:webHidden/>
                <w:sz w:val="24"/>
                <w:szCs w:val="24"/>
              </w:rPr>
              <w:instrText xml:space="preserve"> PAGEREF _Toc122344440 \h </w:instrText>
            </w:r>
            <w:r w:rsidRPr="0072658C">
              <w:rPr>
                <w:rFonts w:ascii="Verdana" w:hAnsi="Verdana"/>
                <w:noProof/>
                <w:webHidden/>
                <w:sz w:val="24"/>
                <w:szCs w:val="24"/>
              </w:rPr>
            </w:r>
            <w:r w:rsidRPr="0072658C">
              <w:rPr>
                <w:rFonts w:ascii="Verdana" w:hAnsi="Verdana"/>
                <w:noProof/>
                <w:webHidden/>
                <w:sz w:val="24"/>
                <w:szCs w:val="24"/>
              </w:rPr>
              <w:fldChar w:fldCharType="separate"/>
            </w:r>
            <w:r w:rsidRPr="0072658C">
              <w:rPr>
                <w:rFonts w:ascii="Verdana" w:hAnsi="Verdana"/>
                <w:noProof/>
                <w:webHidden/>
                <w:sz w:val="24"/>
                <w:szCs w:val="24"/>
              </w:rPr>
              <w:t>6</w:t>
            </w:r>
            <w:r w:rsidRPr="0072658C">
              <w:rPr>
                <w:rFonts w:ascii="Verdana" w:hAnsi="Verdana"/>
                <w:noProof/>
                <w:webHidden/>
                <w:sz w:val="24"/>
                <w:szCs w:val="24"/>
              </w:rPr>
              <w:fldChar w:fldCharType="end"/>
            </w:r>
          </w:hyperlink>
        </w:p>
        <w:p w14:paraId="66AC0AE2" w14:textId="494AC029" w:rsidR="0072658C" w:rsidRDefault="0072658C">
          <w:r w:rsidRPr="0072658C">
            <w:rPr>
              <w:rFonts w:ascii="Verdana" w:hAnsi="Verdana"/>
              <w:b/>
              <w:bCs/>
              <w:noProof/>
            </w:rPr>
            <w:fldChar w:fldCharType="end"/>
          </w:r>
        </w:p>
      </w:sdtContent>
    </w:sdt>
    <w:p w14:paraId="424C47BF" w14:textId="41207DC5" w:rsidR="00820392" w:rsidRDefault="00820392" w:rsidP="00820392"/>
    <w:p w14:paraId="1685C3C3" w14:textId="638AA7A3" w:rsidR="00820392" w:rsidRDefault="00820392" w:rsidP="00820392"/>
    <w:p w14:paraId="594E12DF" w14:textId="3AC1CCFD" w:rsidR="00820392" w:rsidRDefault="00820392" w:rsidP="00820392"/>
    <w:p w14:paraId="37E1CF44" w14:textId="6BB39CFD" w:rsidR="00820392" w:rsidRDefault="00820392" w:rsidP="00820392"/>
    <w:p w14:paraId="649A8028" w14:textId="1BA35501" w:rsidR="00820392" w:rsidRDefault="00820392" w:rsidP="00820392"/>
    <w:p w14:paraId="6400D9B5" w14:textId="14F47F81" w:rsidR="00820392" w:rsidRDefault="00820392" w:rsidP="00820392"/>
    <w:p w14:paraId="02CC36E2" w14:textId="3C4B3493" w:rsidR="00820392" w:rsidRDefault="00820392" w:rsidP="00820392"/>
    <w:p w14:paraId="2C2CB9C7" w14:textId="2CAE1AB8" w:rsidR="00820392" w:rsidRDefault="00820392" w:rsidP="00820392"/>
    <w:p w14:paraId="2E43D3AB" w14:textId="0837A3D4" w:rsidR="00820392" w:rsidRDefault="00820392" w:rsidP="00820392"/>
    <w:p w14:paraId="5994BFF9" w14:textId="7A687411" w:rsidR="00820392" w:rsidRDefault="00820392" w:rsidP="00820392"/>
    <w:p w14:paraId="1439AD89" w14:textId="3EAF439A" w:rsidR="00820392" w:rsidRDefault="00820392" w:rsidP="00820392"/>
    <w:p w14:paraId="64C138A5" w14:textId="58E18DF8" w:rsidR="00820392" w:rsidRDefault="00820392" w:rsidP="00820392"/>
    <w:p w14:paraId="601048EB" w14:textId="00C61D31" w:rsidR="00820392" w:rsidRDefault="00820392" w:rsidP="00820392"/>
    <w:p w14:paraId="4B5A9480" w14:textId="3472805F" w:rsidR="00820392" w:rsidRDefault="00820392" w:rsidP="00820392"/>
    <w:p w14:paraId="27B37B4E" w14:textId="73FFE519" w:rsidR="00820392" w:rsidRDefault="00820392" w:rsidP="00820392"/>
    <w:p w14:paraId="3B04DF47" w14:textId="4954B0D3" w:rsidR="00820392" w:rsidRDefault="00820392" w:rsidP="00820392"/>
    <w:p w14:paraId="51106C63" w14:textId="1CFC1AA0" w:rsidR="00820392" w:rsidRDefault="00820392" w:rsidP="00820392"/>
    <w:p w14:paraId="0E963E8D" w14:textId="7BFB2C11" w:rsidR="00820392" w:rsidRDefault="00820392" w:rsidP="00820392"/>
    <w:p w14:paraId="6DD683E1" w14:textId="7E02EBFD" w:rsidR="00820392" w:rsidRDefault="00820392" w:rsidP="00820392"/>
    <w:p w14:paraId="51243ABA" w14:textId="46D66DF7" w:rsidR="00820392" w:rsidRDefault="00820392" w:rsidP="00820392"/>
    <w:p w14:paraId="2B4581CF" w14:textId="04E52637" w:rsidR="00820392" w:rsidRDefault="00820392" w:rsidP="00820392"/>
    <w:p w14:paraId="65F7B38A" w14:textId="13577212" w:rsidR="00820392" w:rsidRDefault="00820392" w:rsidP="00820392"/>
    <w:p w14:paraId="1CBFDC01" w14:textId="7E5449CF" w:rsidR="00820392" w:rsidRDefault="00820392" w:rsidP="00820392"/>
    <w:p w14:paraId="02A09139" w14:textId="72AE2E04" w:rsidR="00820392" w:rsidRDefault="00820392" w:rsidP="00820392"/>
    <w:p w14:paraId="1F283E6D" w14:textId="171DCE94" w:rsidR="00820392" w:rsidRDefault="00820392" w:rsidP="00820392"/>
    <w:p w14:paraId="6D8AAEC6" w14:textId="6BEC5E88" w:rsidR="00820392" w:rsidRDefault="00820392" w:rsidP="00820392"/>
    <w:p w14:paraId="65F36FA1" w14:textId="63603748" w:rsidR="00820392" w:rsidRDefault="00820392" w:rsidP="00820392"/>
    <w:p w14:paraId="7D35BC83" w14:textId="66786437" w:rsidR="00820392" w:rsidRDefault="00820392" w:rsidP="00820392"/>
    <w:p w14:paraId="33A97C01" w14:textId="4D677236" w:rsidR="00820392" w:rsidRDefault="00820392" w:rsidP="00820392"/>
    <w:p w14:paraId="1495511E" w14:textId="72317B3B" w:rsidR="00820392" w:rsidRDefault="00820392" w:rsidP="00820392"/>
    <w:p w14:paraId="6F51885B" w14:textId="4B150EE7" w:rsidR="00820392" w:rsidRDefault="00820392" w:rsidP="00820392"/>
    <w:p w14:paraId="01E994CE" w14:textId="16883740" w:rsidR="00820392" w:rsidRDefault="00820392" w:rsidP="00820392"/>
    <w:p w14:paraId="02BC3CF7" w14:textId="6133A164" w:rsidR="00820392" w:rsidRDefault="00820392" w:rsidP="00820392"/>
    <w:p w14:paraId="14C361DB" w14:textId="67C8C18C" w:rsidR="00820392" w:rsidRDefault="00820392" w:rsidP="00820392"/>
    <w:p w14:paraId="1BB61597" w14:textId="5FE958B3" w:rsidR="00820392" w:rsidRDefault="00820392" w:rsidP="00820392"/>
    <w:p w14:paraId="15FCAC36" w14:textId="655D3B5B" w:rsidR="00820392" w:rsidRDefault="00820392" w:rsidP="00820392"/>
    <w:p w14:paraId="44BB1110" w14:textId="461AE287" w:rsidR="00820392" w:rsidRDefault="00820392" w:rsidP="00820392"/>
    <w:p w14:paraId="10713E52" w14:textId="367DEAC6" w:rsidR="00820392" w:rsidRDefault="00820392" w:rsidP="00820392"/>
    <w:p w14:paraId="17A48FCA" w14:textId="0D6F7EC6" w:rsidR="00820392" w:rsidRDefault="00820392" w:rsidP="00820392"/>
    <w:p w14:paraId="095F3452" w14:textId="48C975D4" w:rsidR="00820392" w:rsidRDefault="00820392" w:rsidP="00820392"/>
    <w:p w14:paraId="73BA1822" w14:textId="75B4721C" w:rsidR="00820392" w:rsidRDefault="00820392" w:rsidP="00820392"/>
    <w:p w14:paraId="268A96E8" w14:textId="5172AC96" w:rsidR="00820392" w:rsidRDefault="0072658C" w:rsidP="00820392">
      <w:pPr>
        <w:pStyle w:val="Heading1"/>
      </w:pPr>
      <w:bookmarkStart w:id="0" w:name="_Toc122344437"/>
      <w:r>
        <w:rPr>
          <w:b w:val="0"/>
          <w:noProof/>
          <w:lang w:eastAsia="en-GB"/>
        </w:rPr>
        <w:lastRenderedPageBreak/>
        <mc:AlternateContent>
          <mc:Choice Requires="wps">
            <w:drawing>
              <wp:anchor distT="0" distB="0" distL="114300" distR="114300" simplePos="0" relativeHeight="251659264" behindDoc="0" locked="0" layoutInCell="1" allowOverlap="1" wp14:anchorId="0B2261A7" wp14:editId="47530351">
                <wp:simplePos x="0" y="0"/>
                <wp:positionH relativeFrom="column">
                  <wp:posOffset>-258721</wp:posOffset>
                </wp:positionH>
                <wp:positionV relativeFrom="paragraph">
                  <wp:posOffset>-187159</wp:posOffset>
                </wp:positionV>
                <wp:extent cx="6758609" cy="9716494"/>
                <wp:effectExtent l="57150" t="19050" r="80645" b="94615"/>
                <wp:wrapNone/>
                <wp:docPr id="2" name="Rectangle 2"/>
                <wp:cNvGraphicFramePr/>
                <a:graphic xmlns:a="http://schemas.openxmlformats.org/drawingml/2006/main">
                  <a:graphicData uri="http://schemas.microsoft.com/office/word/2010/wordprocessingShape">
                    <wps:wsp>
                      <wps:cNvSpPr/>
                      <wps:spPr>
                        <a:xfrm>
                          <a:off x="0" y="0"/>
                          <a:ext cx="6758609" cy="9716494"/>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67E5E" id="Rectangle 2" o:spid="_x0000_s1026" style="position:absolute;margin-left:-20.35pt;margin-top:-14.75pt;width:532.15pt;height:76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" filled="f" strokecolor="black [3213]">
                <v:shadow on="t" color="black" opacity="22937f" origin=",.5" offset="0,.63889mm"/>
              </v:rect>
            </w:pict>
          </mc:Fallback>
        </mc:AlternateContent>
      </w:r>
      <w:r w:rsidR="00820392">
        <w:t>Summary of Recommendations</w:t>
      </w:r>
      <w:bookmarkEnd w:id="0"/>
    </w:p>
    <w:p w14:paraId="43576D0A" w14:textId="14397C15" w:rsidR="00820392" w:rsidRDefault="00820392" w:rsidP="00820392"/>
    <w:p w14:paraId="4049D6AE" w14:textId="49F66F36" w:rsidR="00820392" w:rsidRDefault="00820392" w:rsidP="00820392">
      <w:pPr>
        <w:pStyle w:val="BasicParagraph"/>
        <w:suppressAutoHyphens/>
        <w:ind w:left="720" w:hanging="720"/>
        <w:rPr>
          <w:rFonts w:ascii="Verdana" w:hAnsi="Verdana" w:cs="Arial"/>
          <w:b/>
          <w:color w:val="auto"/>
        </w:rPr>
      </w:pPr>
      <w:r>
        <w:rPr>
          <w:rFonts w:ascii="Verdana" w:hAnsi="Verdana"/>
          <w:b/>
        </w:rPr>
        <w:t xml:space="preserve">3.4 </w:t>
      </w:r>
      <w:r>
        <w:rPr>
          <w:rFonts w:ascii="Verdana" w:hAnsi="Verdana"/>
          <w:b/>
        </w:rPr>
        <w:tab/>
      </w:r>
      <w:r>
        <w:rPr>
          <w:rFonts w:ascii="Verdana" w:hAnsi="Verdana" w:cs="Arial"/>
          <w:b/>
          <w:color w:val="auto"/>
        </w:rPr>
        <w:t xml:space="preserve">The </w:t>
      </w:r>
      <w:r>
        <w:rPr>
          <w:rFonts w:ascii="Verdana" w:hAnsi="Verdana" w:cs="Arial"/>
          <w:b/>
          <w:color w:val="auto"/>
        </w:rPr>
        <w:t>NIHRC</w:t>
      </w:r>
      <w:r>
        <w:rPr>
          <w:rFonts w:ascii="Verdana" w:hAnsi="Verdana" w:cs="Arial"/>
          <w:b/>
          <w:color w:val="auto"/>
        </w:rPr>
        <w:t xml:space="preserve"> recommends that the Home Office ensures that there are safe and effective routes for people to exercise their right to claim asylum in the UK and that those who come by alternative routes are not discriminated against for doing so.</w:t>
      </w:r>
    </w:p>
    <w:p w14:paraId="0F7E7E74" w14:textId="3BCD6399" w:rsidR="00820392" w:rsidRDefault="00820392" w:rsidP="00820392">
      <w:pPr>
        <w:pStyle w:val="BasicParagraph"/>
        <w:suppressAutoHyphens/>
        <w:ind w:left="720" w:hanging="720"/>
        <w:rPr>
          <w:rFonts w:ascii="Verdana" w:hAnsi="Verdana" w:cs="Arial"/>
          <w:b/>
          <w:color w:val="77328A"/>
          <w:sz w:val="30"/>
          <w:szCs w:val="30"/>
        </w:rPr>
      </w:pPr>
    </w:p>
    <w:p w14:paraId="4FA36024" w14:textId="74E02C45" w:rsidR="00820392" w:rsidRPr="001361D5" w:rsidRDefault="00820392" w:rsidP="00820392">
      <w:pPr>
        <w:pStyle w:val="BasicParagraph"/>
        <w:suppressAutoHyphens/>
        <w:ind w:left="720" w:hanging="720"/>
        <w:rPr>
          <w:rFonts w:ascii="Verdana" w:hAnsi="Verdana" w:cs="Arial"/>
          <w:b/>
          <w:color w:val="77328A"/>
          <w:sz w:val="30"/>
          <w:szCs w:val="30"/>
        </w:rPr>
      </w:pPr>
      <w:r>
        <w:rPr>
          <w:rFonts w:ascii="Verdana" w:hAnsi="Verdana"/>
          <w:b/>
        </w:rPr>
        <w:t>3.8</w:t>
      </w:r>
      <w:r>
        <w:rPr>
          <w:rFonts w:ascii="Verdana" w:hAnsi="Verdana"/>
          <w:b/>
        </w:rPr>
        <w:tab/>
      </w:r>
      <w:r w:rsidRPr="00BF1279">
        <w:rPr>
          <w:rFonts w:ascii="Verdana" w:hAnsi="Verdana" w:cs="Arial"/>
          <w:b/>
          <w:color w:val="auto"/>
        </w:rPr>
        <w:t>The</w:t>
      </w:r>
      <w:r>
        <w:rPr>
          <w:rFonts w:ascii="Verdana" w:hAnsi="Verdana" w:cs="Arial"/>
          <w:color w:val="auto"/>
        </w:rPr>
        <w:t xml:space="preserve"> </w:t>
      </w:r>
      <w:r>
        <w:rPr>
          <w:rFonts w:ascii="Verdana" w:hAnsi="Verdana"/>
          <w:b/>
        </w:rPr>
        <w:t>NIHRC recommends that the UK Government revokes the Memorandum of Understanding with Rwanda and ensures all people seeking asylum in the UK are processed in a manner compliant with human rights standards and accounts for the trauma experienced by many prior to arrival in the UK.</w:t>
      </w:r>
    </w:p>
    <w:p w14:paraId="26605A68" w14:textId="2F5F1502" w:rsidR="00820392" w:rsidRPr="00820392" w:rsidRDefault="00820392" w:rsidP="00820392">
      <w:pPr>
        <w:rPr>
          <w:rFonts w:ascii="Verdana" w:hAnsi="Verdana"/>
          <w:b/>
        </w:rPr>
      </w:pPr>
    </w:p>
    <w:p w14:paraId="031D0A3F" w14:textId="7736AAAD" w:rsidR="00820392" w:rsidRPr="001361D5" w:rsidRDefault="00820392" w:rsidP="00820392">
      <w:pPr>
        <w:pStyle w:val="BasicParagraph"/>
        <w:numPr>
          <w:ilvl w:val="1"/>
          <w:numId w:val="15"/>
        </w:numPr>
        <w:suppressAutoHyphens/>
        <w:rPr>
          <w:rFonts w:ascii="Verdana" w:hAnsi="Verdana" w:cs="Arial"/>
          <w:b/>
          <w:color w:val="77328A"/>
          <w:sz w:val="30"/>
          <w:szCs w:val="30"/>
        </w:rPr>
      </w:pPr>
      <w:r w:rsidRPr="001361D5">
        <w:rPr>
          <w:rFonts w:ascii="Verdana" w:hAnsi="Verdana"/>
          <w:b/>
        </w:rPr>
        <w:t>The NIHRC recommends the Home Office ensure</w:t>
      </w:r>
      <w:r>
        <w:rPr>
          <w:rFonts w:ascii="Verdana" w:hAnsi="Verdana"/>
          <w:b/>
        </w:rPr>
        <w:t>s</w:t>
      </w:r>
      <w:r w:rsidRPr="001361D5">
        <w:rPr>
          <w:rFonts w:ascii="Verdana" w:hAnsi="Verdana"/>
          <w:b/>
        </w:rPr>
        <w:t xml:space="preserve"> that immigration detention is a measure of last resort and that </w:t>
      </w:r>
      <w:r>
        <w:rPr>
          <w:rFonts w:ascii="Verdana" w:hAnsi="Verdana"/>
          <w:b/>
        </w:rPr>
        <w:t>appropriate</w:t>
      </w:r>
      <w:r w:rsidRPr="001361D5">
        <w:rPr>
          <w:rFonts w:ascii="Verdana" w:hAnsi="Verdana"/>
          <w:b/>
        </w:rPr>
        <w:t xml:space="preserve"> alternatives to detention </w:t>
      </w:r>
      <w:r>
        <w:rPr>
          <w:rFonts w:ascii="Verdana" w:hAnsi="Verdana"/>
          <w:b/>
        </w:rPr>
        <w:t xml:space="preserve">that meet the demand and consider specific needs </w:t>
      </w:r>
      <w:r w:rsidRPr="001361D5">
        <w:rPr>
          <w:rFonts w:ascii="Verdana" w:hAnsi="Verdana"/>
          <w:b/>
        </w:rPr>
        <w:t>are available.</w:t>
      </w:r>
      <w:r>
        <w:rPr>
          <w:rFonts w:ascii="Verdana" w:hAnsi="Verdana"/>
          <w:b/>
        </w:rPr>
        <w:t xml:space="preserve"> </w:t>
      </w:r>
      <w:r w:rsidRPr="000D3990">
        <w:rPr>
          <w:rFonts w:ascii="Verdana" w:hAnsi="Verdana"/>
          <w:b/>
        </w:rPr>
        <w:t xml:space="preserve">This includes ensuring that </w:t>
      </w:r>
      <w:r w:rsidRPr="000D3990">
        <w:rPr>
          <w:rFonts w:ascii="Verdana" w:eastAsia="Calibri" w:hAnsi="Verdana" w:cs="Times New Roman"/>
          <w:b/>
          <w:bCs/>
          <w:szCs w:val="20"/>
        </w:rPr>
        <w:t>hotels are not used as contingency accommodation for people seeking asylum in NI.</w:t>
      </w:r>
    </w:p>
    <w:p w14:paraId="0C1ED221" w14:textId="77777777" w:rsidR="00820392" w:rsidRDefault="00820392" w:rsidP="00820392">
      <w:pPr>
        <w:pStyle w:val="ListParagraph"/>
        <w:rPr>
          <w:rFonts w:ascii="Verdana" w:hAnsi="Verdana"/>
          <w:b/>
        </w:rPr>
      </w:pPr>
    </w:p>
    <w:p w14:paraId="156FFB28" w14:textId="76E9C51F" w:rsidR="00820392" w:rsidRPr="00820392" w:rsidRDefault="00820392" w:rsidP="00820392">
      <w:pPr>
        <w:pStyle w:val="BasicParagraph"/>
        <w:numPr>
          <w:ilvl w:val="1"/>
          <w:numId w:val="15"/>
        </w:numPr>
        <w:suppressAutoHyphens/>
        <w:rPr>
          <w:rFonts w:ascii="Verdana" w:hAnsi="Verdana" w:cs="Arial"/>
          <w:b/>
          <w:color w:val="77328A"/>
          <w:sz w:val="30"/>
          <w:szCs w:val="30"/>
        </w:rPr>
      </w:pPr>
      <w:r w:rsidRPr="001361D5">
        <w:rPr>
          <w:rFonts w:ascii="Verdana" w:hAnsi="Verdana"/>
          <w:b/>
        </w:rPr>
        <w:t>The NIHRC recommends that</w:t>
      </w:r>
      <w:r>
        <w:rPr>
          <w:rFonts w:ascii="Verdana" w:hAnsi="Verdana"/>
          <w:b/>
        </w:rPr>
        <w:t>,</w:t>
      </w:r>
      <w:r w:rsidRPr="001361D5">
        <w:rPr>
          <w:rFonts w:ascii="Verdana" w:hAnsi="Verdana"/>
          <w:b/>
        </w:rPr>
        <w:t xml:space="preserve"> </w:t>
      </w:r>
      <w:r>
        <w:rPr>
          <w:rFonts w:ascii="Verdana" w:hAnsi="Verdana"/>
          <w:b/>
        </w:rPr>
        <w:t xml:space="preserve">in line with international obligations and Protocol Article 2, </w:t>
      </w:r>
      <w:r w:rsidRPr="001361D5">
        <w:rPr>
          <w:rFonts w:ascii="Verdana" w:hAnsi="Verdana"/>
          <w:b/>
        </w:rPr>
        <w:t>the Home Office promptly takes effective steps to ensure that women immigration detainees are safe and have the option of gender-specific communal areas and take</w:t>
      </w:r>
      <w:r w:rsidRPr="001361D5">
        <w:rPr>
          <w:rFonts w:ascii="Verdana" w:eastAsia="Verdana" w:hAnsi="Verdana" w:cs="Verdana"/>
          <w:b/>
          <w:lang w:eastAsia="en-GB"/>
        </w:rPr>
        <w:t xml:space="preserve"> immediate steps to end detention of pregnant women and nursing mothers in NI.</w:t>
      </w:r>
    </w:p>
    <w:p w14:paraId="156CFAA4" w14:textId="77777777" w:rsidR="00820392" w:rsidRDefault="00820392" w:rsidP="00820392">
      <w:pPr>
        <w:pStyle w:val="ListParagraph"/>
        <w:rPr>
          <w:rFonts w:ascii="Verdana" w:hAnsi="Verdana" w:cs="Arial"/>
          <w:b/>
          <w:color w:val="77328A"/>
          <w:sz w:val="30"/>
          <w:szCs w:val="30"/>
        </w:rPr>
      </w:pPr>
    </w:p>
    <w:p w14:paraId="7FCD3CA8" w14:textId="3E5C06CA" w:rsidR="00820392" w:rsidRPr="00142244" w:rsidRDefault="00820392" w:rsidP="00820392">
      <w:pPr>
        <w:pStyle w:val="BasicParagraph"/>
        <w:numPr>
          <w:ilvl w:val="1"/>
          <w:numId w:val="17"/>
        </w:numPr>
        <w:suppressAutoHyphens/>
        <w:rPr>
          <w:rFonts w:ascii="Verdana" w:hAnsi="Verdana" w:cs="Arial"/>
          <w:b/>
          <w:color w:val="77328A"/>
          <w:sz w:val="30"/>
          <w:szCs w:val="30"/>
        </w:rPr>
      </w:pPr>
      <w:r>
        <w:rPr>
          <w:rFonts w:ascii="Verdana" w:hAnsi="Verdana" w:cs="Arial"/>
          <w:b/>
          <w:color w:val="auto"/>
        </w:rPr>
        <w:t>The Commission recommends that the Home Office does not apply an electronic tag to any person who has not been charged with an offence.</w:t>
      </w:r>
    </w:p>
    <w:p w14:paraId="013C222A" w14:textId="77777777" w:rsidR="00820392" w:rsidRPr="003C4584" w:rsidRDefault="00820392" w:rsidP="00820392">
      <w:pPr>
        <w:pStyle w:val="BasicParagraph"/>
        <w:suppressAutoHyphens/>
        <w:rPr>
          <w:rFonts w:ascii="Verdana" w:hAnsi="Verdana" w:cs="Arial"/>
          <w:b/>
          <w:color w:val="77328A"/>
          <w:sz w:val="30"/>
          <w:szCs w:val="30"/>
        </w:rPr>
      </w:pPr>
    </w:p>
    <w:p w14:paraId="2BC4DBC9" w14:textId="154A63FC" w:rsidR="00820392" w:rsidRPr="005B3287" w:rsidRDefault="00820392" w:rsidP="00820392">
      <w:pPr>
        <w:pStyle w:val="BasicParagraph"/>
        <w:numPr>
          <w:ilvl w:val="1"/>
          <w:numId w:val="18"/>
        </w:numPr>
        <w:suppressAutoHyphens/>
        <w:rPr>
          <w:rFonts w:ascii="Verdana" w:hAnsi="Verdana" w:cs="Arial"/>
          <w:b/>
          <w:color w:val="77328A"/>
          <w:sz w:val="30"/>
          <w:szCs w:val="30"/>
        </w:rPr>
      </w:pPr>
      <w:r w:rsidRPr="001361D5">
        <w:rPr>
          <w:rFonts w:ascii="Verdana" w:hAnsi="Verdana"/>
          <w:b/>
        </w:rPr>
        <w:t>The NIHRC recommends that the Home Office and the Executive Office urgently review the support and accommodation provided to refugees and people seeking asylum in NI to ensure it is adequate, fit for purpose and culturally appropriate in compliance with international human rights standards and Protocol Article 2. This review should be conducted in consultation with refugees, people that are seeking asylum and their representative organisations.</w:t>
      </w:r>
    </w:p>
    <w:p w14:paraId="3A306937" w14:textId="77777777" w:rsidR="00820392" w:rsidRPr="000A75D1" w:rsidRDefault="00820392" w:rsidP="00820392">
      <w:pPr>
        <w:pStyle w:val="ListParagraph"/>
        <w:rPr>
          <w:rFonts w:ascii="Verdana" w:hAnsi="Verdana" w:cs="Arial"/>
          <w:b/>
          <w:color w:val="77328A"/>
        </w:rPr>
      </w:pPr>
    </w:p>
    <w:p w14:paraId="6E41297C" w14:textId="6025B69E" w:rsidR="00820392" w:rsidRPr="005060BE" w:rsidRDefault="00820392" w:rsidP="00820392">
      <w:pPr>
        <w:pStyle w:val="BasicParagraph"/>
        <w:numPr>
          <w:ilvl w:val="1"/>
          <w:numId w:val="18"/>
        </w:numPr>
        <w:suppressAutoHyphens/>
        <w:rPr>
          <w:rFonts w:ascii="Verdana" w:hAnsi="Verdana" w:cs="Arial"/>
          <w:b/>
          <w:color w:val="77328A"/>
          <w:sz w:val="30"/>
          <w:szCs w:val="30"/>
        </w:rPr>
      </w:pPr>
      <w:r>
        <w:rPr>
          <w:rFonts w:ascii="Verdana" w:hAnsi="Verdana" w:cs="Arial"/>
          <w:b/>
          <w:color w:val="auto"/>
        </w:rPr>
        <w:t xml:space="preserve">The NIHRC recommends the UK Government takes immediate steps to ensure people seeking asylum in NI are not destitute and </w:t>
      </w:r>
      <w:r w:rsidR="0072658C">
        <w:rPr>
          <w:rFonts w:ascii="Verdana" w:hAnsi="Verdana"/>
          <w:b/>
          <w:noProof/>
          <w:lang w:eastAsia="en-GB"/>
        </w:rPr>
        <w:lastRenderedPageBreak/>
        <mc:AlternateContent>
          <mc:Choice Requires="wps">
            <w:drawing>
              <wp:anchor distT="0" distB="0" distL="114300" distR="114300" simplePos="0" relativeHeight="251661312" behindDoc="0" locked="0" layoutInCell="1" allowOverlap="1" wp14:anchorId="77362E0F" wp14:editId="0ABDF280">
                <wp:simplePos x="0" y="0"/>
                <wp:positionH relativeFrom="column">
                  <wp:posOffset>-242818</wp:posOffset>
                </wp:positionH>
                <wp:positionV relativeFrom="paragraph">
                  <wp:posOffset>-226916</wp:posOffset>
                </wp:positionV>
                <wp:extent cx="6742706" cy="8256794"/>
                <wp:effectExtent l="57150" t="19050" r="77470" b="87630"/>
                <wp:wrapNone/>
                <wp:docPr id="4" name="Rectangle 4"/>
                <wp:cNvGraphicFramePr/>
                <a:graphic xmlns:a="http://schemas.openxmlformats.org/drawingml/2006/main">
                  <a:graphicData uri="http://schemas.microsoft.com/office/word/2010/wordprocessingShape">
                    <wps:wsp>
                      <wps:cNvSpPr/>
                      <wps:spPr>
                        <a:xfrm>
                          <a:off x="0" y="0"/>
                          <a:ext cx="6742706" cy="8256794"/>
                        </a:xfrm>
                        <a:prstGeom prst="rect">
                          <a:avLst/>
                        </a:prstGeom>
                        <a:no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67761" id="Rectangle 4" o:spid="_x0000_s1026" style="position:absolute;margin-left:-19.1pt;margin-top:-17.85pt;width:530.9pt;height:65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" filled="f" strokecolor="windowText">
                <v:shadow on="t" color="black" opacity="22937f" origin=",.5" offset="0,.63889mm"/>
              </v:rect>
            </w:pict>
          </mc:Fallback>
        </mc:AlternateContent>
      </w:r>
      <w:r>
        <w:rPr>
          <w:rFonts w:ascii="Verdana" w:hAnsi="Verdana" w:cs="Arial"/>
          <w:b/>
          <w:color w:val="auto"/>
        </w:rPr>
        <w:t>are provided with financial support proportional to the cost of living and takes account of specific needs.</w:t>
      </w:r>
    </w:p>
    <w:p w14:paraId="7C59E540" w14:textId="094611CE" w:rsidR="00820392" w:rsidRPr="00820392" w:rsidRDefault="00820392" w:rsidP="00820392">
      <w:pPr>
        <w:rPr>
          <w:rFonts w:ascii="Verdana" w:hAnsi="Verdana"/>
          <w:b/>
        </w:rPr>
      </w:pPr>
    </w:p>
    <w:p w14:paraId="1B8F9E87" w14:textId="64E06339" w:rsidR="00820392" w:rsidRPr="00EF14BB" w:rsidRDefault="00820392" w:rsidP="00820392">
      <w:pPr>
        <w:pStyle w:val="BasicParagraph"/>
        <w:numPr>
          <w:ilvl w:val="1"/>
          <w:numId w:val="21"/>
        </w:numPr>
        <w:suppressAutoHyphens/>
        <w:rPr>
          <w:rFonts w:ascii="Verdana" w:hAnsi="Verdana" w:cs="Arial"/>
          <w:b/>
          <w:color w:val="77328A"/>
        </w:rPr>
      </w:pPr>
      <w:r w:rsidRPr="00AE2918">
        <w:rPr>
          <w:rFonts w:ascii="Verdana" w:hAnsi="Verdana"/>
          <w:b/>
        </w:rPr>
        <w:t xml:space="preserve">The Commission </w:t>
      </w:r>
      <w:r>
        <w:rPr>
          <w:rFonts w:ascii="Verdana" w:hAnsi="Verdana"/>
          <w:b/>
        </w:rPr>
        <w:t>recommends</w:t>
      </w:r>
      <w:r w:rsidRPr="00AE2918">
        <w:rPr>
          <w:rFonts w:ascii="Verdana" w:hAnsi="Verdana"/>
          <w:b/>
        </w:rPr>
        <w:t xml:space="preserve"> the UK Home Office review</w:t>
      </w:r>
      <w:r>
        <w:rPr>
          <w:rFonts w:ascii="Verdana" w:hAnsi="Verdana"/>
          <w:b/>
        </w:rPr>
        <w:t>s</w:t>
      </w:r>
      <w:r w:rsidRPr="00AE2918">
        <w:rPr>
          <w:rFonts w:ascii="Verdana" w:hAnsi="Verdana"/>
          <w:b/>
        </w:rPr>
        <w:t xml:space="preserve"> the restrictions placed on people seeking asylum, </w:t>
      </w:r>
      <w:r>
        <w:rPr>
          <w:rFonts w:ascii="Verdana" w:hAnsi="Verdana"/>
          <w:b/>
        </w:rPr>
        <w:t>including a prohibition on</w:t>
      </w:r>
      <w:r w:rsidRPr="00AE2918">
        <w:rPr>
          <w:rFonts w:ascii="Verdana" w:hAnsi="Verdana"/>
          <w:b/>
        </w:rPr>
        <w:t xml:space="preserve"> taking up work while claims are being processed.</w:t>
      </w:r>
    </w:p>
    <w:p w14:paraId="539AD154" w14:textId="732B6745" w:rsidR="00820392" w:rsidRDefault="00820392" w:rsidP="00820392"/>
    <w:p w14:paraId="1CCA22F0" w14:textId="64EDCB5A" w:rsidR="00820392" w:rsidRPr="00925B4D" w:rsidRDefault="00820392" w:rsidP="00820392">
      <w:pPr>
        <w:pStyle w:val="BasicParagraph"/>
        <w:numPr>
          <w:ilvl w:val="1"/>
          <w:numId w:val="22"/>
        </w:numPr>
        <w:suppressAutoHyphens/>
        <w:rPr>
          <w:rFonts w:ascii="Verdana" w:hAnsi="Verdana" w:cs="Arial"/>
          <w:b/>
          <w:color w:val="77328A"/>
        </w:rPr>
      </w:pPr>
      <w:r w:rsidRPr="00925B4D">
        <w:rPr>
          <w:rFonts w:ascii="Verdana" w:hAnsi="Verdana"/>
          <w:b/>
        </w:rPr>
        <w:t xml:space="preserve">The Commission recommends that the Home Office embeds consideration of Protocol Article 2 </w:t>
      </w:r>
      <w:r>
        <w:rPr>
          <w:rFonts w:ascii="Verdana" w:hAnsi="Verdana"/>
          <w:b/>
        </w:rPr>
        <w:t xml:space="preserve">to ensure compliance </w:t>
      </w:r>
      <w:r w:rsidRPr="00925B4D">
        <w:rPr>
          <w:rFonts w:ascii="Verdana" w:hAnsi="Verdana"/>
          <w:b/>
        </w:rPr>
        <w:t xml:space="preserve">in the development and implementation of subsequent Regulations and Guidance on human trafficking resulting from the Nationality and Borders Act 2022. </w:t>
      </w:r>
    </w:p>
    <w:p w14:paraId="11AB1AD8" w14:textId="77777777" w:rsidR="00820392" w:rsidRDefault="00820392" w:rsidP="00820392">
      <w:pPr>
        <w:pStyle w:val="ListParagraph"/>
        <w:rPr>
          <w:rFonts w:ascii="Verdana" w:hAnsi="Verdana"/>
          <w:b/>
        </w:rPr>
      </w:pPr>
    </w:p>
    <w:p w14:paraId="6C319926" w14:textId="014B24FA" w:rsidR="00820392" w:rsidRPr="0072658C" w:rsidRDefault="00820392" w:rsidP="00820392">
      <w:pPr>
        <w:pStyle w:val="BasicParagraph"/>
        <w:numPr>
          <w:ilvl w:val="1"/>
          <w:numId w:val="22"/>
        </w:numPr>
        <w:suppressAutoHyphens/>
        <w:rPr>
          <w:rFonts w:ascii="Verdana" w:hAnsi="Verdana" w:cs="Arial"/>
          <w:b/>
          <w:color w:val="77328A"/>
        </w:rPr>
      </w:pPr>
      <w:r w:rsidRPr="00925B4D">
        <w:rPr>
          <w:rFonts w:ascii="Verdana" w:hAnsi="Verdana"/>
          <w:b/>
        </w:rPr>
        <w:t>The Commission further recommends that subsequent regulations and guidance should ensure the needs of child victims of modern slavery and human trafficking are safeguarded and the best interests principle is embedded.</w:t>
      </w:r>
    </w:p>
    <w:p w14:paraId="70559323" w14:textId="77777777" w:rsidR="0072658C" w:rsidRDefault="0072658C" w:rsidP="0072658C">
      <w:pPr>
        <w:pStyle w:val="ListParagraph"/>
        <w:rPr>
          <w:rFonts w:ascii="Verdana" w:hAnsi="Verdana" w:cs="Arial"/>
          <w:b/>
          <w:color w:val="77328A"/>
        </w:rPr>
      </w:pPr>
    </w:p>
    <w:p w14:paraId="36C584F3" w14:textId="02B48191" w:rsidR="0072658C" w:rsidRPr="00E31815" w:rsidRDefault="0072658C" w:rsidP="0072658C">
      <w:pPr>
        <w:pStyle w:val="BasicParagraph"/>
        <w:numPr>
          <w:ilvl w:val="1"/>
          <w:numId w:val="24"/>
        </w:numPr>
        <w:suppressAutoHyphens/>
        <w:rPr>
          <w:rFonts w:ascii="Verdana" w:hAnsi="Verdana" w:cs="Arial"/>
          <w:b/>
          <w:color w:val="77328A"/>
        </w:rPr>
      </w:pPr>
      <w:r w:rsidRPr="00925B4D">
        <w:rPr>
          <w:rFonts w:ascii="Verdana" w:hAnsi="Verdana"/>
          <w:b/>
        </w:rPr>
        <w:t xml:space="preserve">The Commission recommends </w:t>
      </w:r>
      <w:r>
        <w:rPr>
          <w:rFonts w:ascii="Verdana" w:hAnsi="Verdana"/>
          <w:b/>
        </w:rPr>
        <w:t>that</w:t>
      </w:r>
      <w:r w:rsidRPr="00925B4D">
        <w:rPr>
          <w:rFonts w:ascii="Verdana" w:hAnsi="Verdana"/>
          <w:b/>
        </w:rPr>
        <w:t xml:space="preserve"> appropriate safeguards </w:t>
      </w:r>
      <w:r>
        <w:rPr>
          <w:rFonts w:ascii="Verdana" w:hAnsi="Verdana"/>
          <w:b/>
        </w:rPr>
        <w:t xml:space="preserve">are developed </w:t>
      </w:r>
      <w:r w:rsidRPr="00925B4D">
        <w:rPr>
          <w:rFonts w:ascii="Verdana" w:hAnsi="Verdana"/>
          <w:b/>
        </w:rPr>
        <w:t>through statutory regulations and guidance to ensure the enactment of the Nationality and Borders Act 2022 does not have a negative effect on refugees and people seeking asylum.</w:t>
      </w:r>
    </w:p>
    <w:p w14:paraId="528A1FC4" w14:textId="77777777" w:rsidR="0072658C" w:rsidRDefault="0072658C" w:rsidP="0072658C">
      <w:pPr>
        <w:pStyle w:val="ListParagraph"/>
        <w:rPr>
          <w:rFonts w:ascii="Verdana" w:hAnsi="Verdana" w:cs="Arial"/>
          <w:bCs/>
        </w:rPr>
      </w:pPr>
    </w:p>
    <w:p w14:paraId="17F1729B" w14:textId="77777777" w:rsidR="0072658C" w:rsidRPr="00E31815" w:rsidRDefault="0072658C" w:rsidP="0072658C">
      <w:pPr>
        <w:pStyle w:val="BasicParagraph"/>
        <w:numPr>
          <w:ilvl w:val="1"/>
          <w:numId w:val="24"/>
        </w:numPr>
        <w:suppressAutoHyphens/>
        <w:rPr>
          <w:rFonts w:ascii="Verdana" w:hAnsi="Verdana" w:cs="Arial"/>
          <w:b/>
          <w:color w:val="77328A"/>
        </w:rPr>
      </w:pPr>
      <w:r w:rsidRPr="00E31815">
        <w:rPr>
          <w:rFonts w:ascii="Verdana" w:hAnsi="Verdana" w:cs="Arial"/>
          <w:b/>
          <w:bCs/>
        </w:rPr>
        <w:t>The Commission recommends that effective steps are taken by the Home Office to prevent and address racial profiling, including through appropriate training and monitoring, in the implementation of the revised guidance on the Common Travel Area and Electronic Travel Authorisation requirements, including at entry to NI at ports and airports and in the context of cross-border travel.</w:t>
      </w:r>
    </w:p>
    <w:p w14:paraId="24C653F7" w14:textId="77777777" w:rsidR="0072658C" w:rsidRDefault="0072658C" w:rsidP="0072658C">
      <w:pPr>
        <w:pStyle w:val="ListParagraph"/>
        <w:rPr>
          <w:rFonts w:ascii="Verdana" w:hAnsi="Verdana" w:cs="Arial"/>
          <w:bCs/>
        </w:rPr>
      </w:pPr>
    </w:p>
    <w:p w14:paraId="678FF249" w14:textId="77777777" w:rsidR="0072658C" w:rsidRPr="00E31815" w:rsidRDefault="0072658C" w:rsidP="0072658C">
      <w:pPr>
        <w:pStyle w:val="BasicParagraph"/>
        <w:numPr>
          <w:ilvl w:val="1"/>
          <w:numId w:val="24"/>
        </w:numPr>
        <w:suppressAutoHyphens/>
        <w:rPr>
          <w:rFonts w:ascii="Verdana" w:hAnsi="Verdana" w:cs="Arial"/>
          <w:b/>
          <w:color w:val="77328A"/>
        </w:rPr>
      </w:pPr>
      <w:r w:rsidRPr="00E31815">
        <w:rPr>
          <w:rFonts w:ascii="Verdana" w:hAnsi="Verdana" w:cs="Arial"/>
          <w:b/>
          <w:bCs/>
        </w:rPr>
        <w:t>The Commission recommends that the Home Office ensures that all journeys into NI, originating from Ireland, are exempt from Electronic Travel Authorisation requirements.</w:t>
      </w:r>
    </w:p>
    <w:p w14:paraId="385F48B2" w14:textId="1DC6318B" w:rsidR="00820392" w:rsidRDefault="00820392" w:rsidP="00820392"/>
    <w:p w14:paraId="57676A7A" w14:textId="7744E2E0" w:rsidR="0072658C" w:rsidRDefault="0072658C" w:rsidP="00820392"/>
    <w:p w14:paraId="28C097A6" w14:textId="3BA2B233" w:rsidR="0072658C" w:rsidRDefault="0072658C" w:rsidP="00820392"/>
    <w:p w14:paraId="6B9B1CAD" w14:textId="71B45307" w:rsidR="0072658C" w:rsidRDefault="0072658C" w:rsidP="00820392"/>
    <w:p w14:paraId="2DE23266" w14:textId="43333C98" w:rsidR="0072658C" w:rsidRDefault="0072658C" w:rsidP="00820392"/>
    <w:p w14:paraId="1FA8748E" w14:textId="1CC3001C" w:rsidR="0072658C" w:rsidRDefault="0072658C" w:rsidP="00820392"/>
    <w:p w14:paraId="7FE7F84D" w14:textId="501760B6" w:rsidR="0072658C" w:rsidRDefault="0072658C" w:rsidP="00820392"/>
    <w:p w14:paraId="2BE614F0" w14:textId="77777777" w:rsidR="0072658C" w:rsidRPr="00820392" w:rsidRDefault="0072658C" w:rsidP="00820392"/>
    <w:p w14:paraId="3602B623" w14:textId="7AA7E1C3" w:rsidR="007569C1" w:rsidRPr="003B7D0E" w:rsidRDefault="00820392" w:rsidP="00820392">
      <w:pPr>
        <w:pStyle w:val="Heading1"/>
      </w:pPr>
      <w:bookmarkStart w:id="1" w:name="_Toc122344438"/>
      <w:r>
        <w:lastRenderedPageBreak/>
        <w:t xml:space="preserve">1.0 </w:t>
      </w:r>
      <w:r w:rsidR="00ED40E9">
        <w:t>Introduction</w:t>
      </w:r>
      <w:bookmarkEnd w:id="1"/>
    </w:p>
    <w:p w14:paraId="21123DE6" w14:textId="77777777" w:rsidR="00245151" w:rsidRPr="00000FC3" w:rsidRDefault="00245151" w:rsidP="00000FC3">
      <w:pPr>
        <w:rPr>
          <w:rFonts w:ascii="Verdana" w:hAnsi="Verdana"/>
        </w:rPr>
      </w:pPr>
    </w:p>
    <w:p w14:paraId="53DD6A95" w14:textId="54C06E30" w:rsidR="008A4C43" w:rsidRPr="00BF1279" w:rsidRDefault="00BF1279" w:rsidP="00BF1279">
      <w:pPr>
        <w:pStyle w:val="BasicParagraph"/>
        <w:numPr>
          <w:ilvl w:val="1"/>
          <w:numId w:val="9"/>
        </w:numPr>
        <w:suppressAutoHyphens/>
        <w:ind w:left="709"/>
        <w:rPr>
          <w:rFonts w:ascii="Verdana" w:hAnsi="Verdana" w:cs="Arial"/>
          <w:color w:val="77328A"/>
          <w:sz w:val="30"/>
          <w:szCs w:val="30"/>
        </w:rPr>
      </w:pPr>
      <w:r w:rsidRPr="00BF1279">
        <w:rPr>
          <w:rFonts w:ascii="Verdana" w:hAnsi="Verdana"/>
        </w:rPr>
        <w:t xml:space="preserve">The Northern Ireland Human Rights Commission (NIHRC), pursuant to section 69(1) of the Northern Ireland (NI) Act 1998, reviews the adequacy and effectiveness of law and practice relating to the protection of human rights in NI. The NIHRC is also mandated, under section 78A(1) to monitor the implementation of Article 2(1) of the Protocol on Ireland/NI of the </w:t>
      </w:r>
      <w:r w:rsidR="006E55B5">
        <w:rPr>
          <w:rFonts w:ascii="Verdana" w:hAnsi="Verdana"/>
        </w:rPr>
        <w:t>UK-EU</w:t>
      </w:r>
      <w:r w:rsidRPr="00BF1279">
        <w:rPr>
          <w:rFonts w:ascii="Verdana" w:hAnsi="Verdana"/>
        </w:rPr>
        <w:t xml:space="preserve"> Withdrawal Agreement, to ensure there is no diminution of rights protected in the ‘Rights, Safeguards and Equality of Opportunity’ chapter of the Belfast (Good Friday) Agreement 1998 as a result of the United Kingdom (UK)’s withdrawal from the EU. In accordance with these functions, the following evidence is submitted to the Joint Committee on Human Rights (Joint Committee) for its </w:t>
      </w:r>
      <w:r w:rsidR="00C143FA">
        <w:rPr>
          <w:rFonts w:ascii="Verdana" w:hAnsi="Verdana"/>
        </w:rPr>
        <w:t xml:space="preserve">call for evidence </w:t>
      </w:r>
      <w:r w:rsidR="001361D5">
        <w:rPr>
          <w:rFonts w:ascii="Verdana" w:hAnsi="Verdana"/>
        </w:rPr>
        <w:t>on the human rights of asylum seekers</w:t>
      </w:r>
      <w:r w:rsidRPr="00BF1279">
        <w:rPr>
          <w:rFonts w:ascii="Verdana" w:hAnsi="Verdana"/>
        </w:rPr>
        <w:t>.</w:t>
      </w:r>
    </w:p>
    <w:p w14:paraId="704EC1A6" w14:textId="77777777" w:rsidR="00BF1279" w:rsidRPr="00BF1279" w:rsidRDefault="00BF1279" w:rsidP="00BF1279">
      <w:pPr>
        <w:pStyle w:val="BasicParagraph"/>
        <w:suppressAutoHyphens/>
        <w:ind w:left="709"/>
        <w:rPr>
          <w:rFonts w:ascii="Verdana" w:hAnsi="Verdana" w:cs="Arial"/>
          <w:color w:val="77328A"/>
          <w:sz w:val="30"/>
          <w:szCs w:val="30"/>
        </w:rPr>
      </w:pPr>
    </w:p>
    <w:p w14:paraId="1867F03F" w14:textId="77777777" w:rsidR="009923C6" w:rsidRDefault="009923C6" w:rsidP="00804D64">
      <w:pPr>
        <w:pStyle w:val="Heading1"/>
        <w:numPr>
          <w:ilvl w:val="0"/>
          <w:numId w:val="9"/>
        </w:numPr>
      </w:pPr>
      <w:bookmarkStart w:id="2" w:name="_Toc122344439"/>
      <w:r>
        <w:t>Article 2 of the Ireland/Northern Ireland Protocol</w:t>
      </w:r>
      <w:bookmarkEnd w:id="2"/>
    </w:p>
    <w:p w14:paraId="66786CF0" w14:textId="77777777" w:rsidR="00804D64" w:rsidRPr="00804D64" w:rsidRDefault="00804D64" w:rsidP="00804D64"/>
    <w:p w14:paraId="34F81B0A" w14:textId="60F3DEBE" w:rsidR="00804D64" w:rsidRDefault="00804D64" w:rsidP="00804D64">
      <w:pPr>
        <w:pStyle w:val="ListParagraph"/>
        <w:numPr>
          <w:ilvl w:val="1"/>
          <w:numId w:val="9"/>
        </w:numPr>
        <w:ind w:left="709"/>
        <w:rPr>
          <w:rFonts w:ascii="Verdana" w:hAnsi="Verdana"/>
        </w:rPr>
      </w:pPr>
      <w:r w:rsidRPr="00804D64">
        <w:rPr>
          <w:rFonts w:ascii="Verdana" w:hAnsi="Verdana"/>
        </w:rPr>
        <w:t xml:space="preserve">Section 7A EU (Withdrawal) Act 2018 provides that all rights, obligations and remedies from </w:t>
      </w:r>
      <w:r w:rsidR="006E55B5">
        <w:rPr>
          <w:rFonts w:ascii="Verdana" w:hAnsi="Verdana"/>
        </w:rPr>
        <w:t xml:space="preserve">UK-EU </w:t>
      </w:r>
      <w:r w:rsidRPr="00804D64">
        <w:rPr>
          <w:rFonts w:ascii="Verdana" w:hAnsi="Verdana"/>
        </w:rPr>
        <w:t>Withdrawal Agreement, including Protocol Article 2, are recognised and available in domestic law.</w:t>
      </w:r>
      <w:r w:rsidR="006E55B5">
        <w:rPr>
          <w:rStyle w:val="FootnoteReference"/>
          <w:rFonts w:ascii="Verdana" w:hAnsi="Verdana"/>
        </w:rPr>
        <w:footnoteReference w:id="2"/>
      </w:r>
    </w:p>
    <w:p w14:paraId="2D321F08" w14:textId="77777777" w:rsidR="00804D64" w:rsidRPr="00804D64" w:rsidRDefault="00804D64" w:rsidP="00804D64">
      <w:pPr>
        <w:pStyle w:val="ListParagraph"/>
        <w:ind w:left="709"/>
        <w:rPr>
          <w:rFonts w:ascii="Verdana" w:hAnsi="Verdana"/>
        </w:rPr>
      </w:pPr>
    </w:p>
    <w:p w14:paraId="76DD4BEC" w14:textId="77777777" w:rsidR="00804D64" w:rsidRDefault="00804D64" w:rsidP="00804D64">
      <w:pPr>
        <w:pStyle w:val="ListParagraph"/>
        <w:numPr>
          <w:ilvl w:val="1"/>
          <w:numId w:val="9"/>
        </w:numPr>
        <w:ind w:left="709"/>
        <w:rPr>
          <w:rFonts w:ascii="Verdana" w:hAnsi="Verdana"/>
        </w:rPr>
      </w:pPr>
      <w:r w:rsidRPr="00804D64">
        <w:rPr>
          <w:rFonts w:ascii="Verdana" w:hAnsi="Verdana"/>
        </w:rPr>
        <w:t>Protocol Article 2 requires the UK Government to ensure there is no diminution of rights, safeguards and equality of opportunity, as set out in the relevant chapter of the Belfast (Good Friday) Agreement 1998, as a result of the UK’s withdrawal from the EU. That chapter includes a commitment to the “civil rights and religious liberties of everyone in the community” and a non-exhaustive list of rights. In addition to a number of rights which are “affirmed in particular”, the relevant chapter specifically recognises the right of victims to remember, as well as to con</w:t>
      </w:r>
      <w:r>
        <w:rPr>
          <w:rFonts w:ascii="Verdana" w:hAnsi="Verdana"/>
        </w:rPr>
        <w:t>tribute to, a changed society.</w:t>
      </w:r>
      <w:r>
        <w:rPr>
          <w:rStyle w:val="FootnoteReference"/>
          <w:rFonts w:ascii="Verdana" w:hAnsi="Verdana"/>
        </w:rPr>
        <w:footnoteReference w:id="3"/>
      </w:r>
    </w:p>
    <w:p w14:paraId="22B68AA8" w14:textId="77777777" w:rsidR="00804D64" w:rsidRPr="00804D64" w:rsidRDefault="00804D64" w:rsidP="00804D64">
      <w:pPr>
        <w:pStyle w:val="ListParagraph"/>
        <w:rPr>
          <w:rFonts w:ascii="Verdana" w:hAnsi="Verdana"/>
        </w:rPr>
      </w:pPr>
    </w:p>
    <w:p w14:paraId="4FF2147D" w14:textId="3BB97007" w:rsidR="00804D64" w:rsidRDefault="00804D64" w:rsidP="00804D64">
      <w:pPr>
        <w:pStyle w:val="ListParagraph"/>
        <w:numPr>
          <w:ilvl w:val="1"/>
          <w:numId w:val="9"/>
        </w:numPr>
        <w:ind w:left="709"/>
        <w:rPr>
          <w:rFonts w:ascii="Verdana" w:hAnsi="Verdana"/>
        </w:rPr>
      </w:pPr>
      <w:r w:rsidRPr="00804D64">
        <w:rPr>
          <w:rFonts w:ascii="Verdana" w:hAnsi="Verdana"/>
        </w:rPr>
        <w:t>Protocol Article 2 includes a commitment to ‘keep pace’ with EU law developments falling within the six EU Equality Directives listed in Annex 1 to the Protocol which improve the minimum levels of protection available after 1 January 2021, including relevant case law of th</w:t>
      </w:r>
      <w:r>
        <w:rPr>
          <w:rFonts w:ascii="Verdana" w:hAnsi="Verdana"/>
        </w:rPr>
        <w:t>e Court of Justice of the EU.</w:t>
      </w:r>
      <w:r>
        <w:rPr>
          <w:rStyle w:val="FootnoteReference"/>
          <w:rFonts w:ascii="Verdana" w:hAnsi="Verdana"/>
        </w:rPr>
        <w:footnoteReference w:id="4"/>
      </w:r>
      <w:r w:rsidRPr="00804D64">
        <w:rPr>
          <w:rFonts w:ascii="Verdana" w:hAnsi="Verdana"/>
        </w:rPr>
        <w:t xml:space="preserve"> </w:t>
      </w:r>
      <w:r w:rsidR="0028647C">
        <w:rPr>
          <w:rFonts w:ascii="Verdana" w:hAnsi="Verdana"/>
        </w:rPr>
        <w:t>This</w:t>
      </w:r>
      <w:r w:rsidR="0028647C" w:rsidRPr="00804D64">
        <w:rPr>
          <w:rFonts w:ascii="Verdana" w:hAnsi="Verdana"/>
        </w:rPr>
        <w:t xml:space="preserve"> </w:t>
      </w:r>
      <w:r w:rsidRPr="00804D64">
        <w:rPr>
          <w:rFonts w:ascii="Verdana" w:hAnsi="Verdana"/>
        </w:rPr>
        <w:t xml:space="preserve">means that if the minimum standards in the Annex 1 Equality </w:t>
      </w:r>
      <w:r w:rsidRPr="00804D64">
        <w:rPr>
          <w:rFonts w:ascii="Verdana" w:hAnsi="Verdana"/>
        </w:rPr>
        <w:lastRenderedPageBreak/>
        <w:t>Directives are amended or replaced, the UK Government and NI Executive must ensure that domestic legislation in NI reflects any substantive enhance</w:t>
      </w:r>
      <w:r>
        <w:rPr>
          <w:rFonts w:ascii="Verdana" w:hAnsi="Verdana"/>
        </w:rPr>
        <w:t>ments in relevant protections.</w:t>
      </w:r>
      <w:r>
        <w:rPr>
          <w:rStyle w:val="FootnoteReference"/>
          <w:rFonts w:ascii="Verdana" w:hAnsi="Verdana"/>
        </w:rPr>
        <w:footnoteReference w:id="5"/>
      </w:r>
    </w:p>
    <w:p w14:paraId="1508E7DD" w14:textId="77777777" w:rsidR="00804D64" w:rsidRPr="00804D64" w:rsidRDefault="00804D64" w:rsidP="00804D64">
      <w:pPr>
        <w:pStyle w:val="ListParagraph"/>
        <w:rPr>
          <w:rFonts w:ascii="Verdana" w:hAnsi="Verdana"/>
        </w:rPr>
      </w:pPr>
    </w:p>
    <w:p w14:paraId="11B3C4B5" w14:textId="0139F94A" w:rsidR="00804D64" w:rsidRDefault="00804D64" w:rsidP="00804D64">
      <w:pPr>
        <w:pStyle w:val="ListParagraph"/>
        <w:numPr>
          <w:ilvl w:val="1"/>
          <w:numId w:val="9"/>
        </w:numPr>
        <w:ind w:left="709"/>
        <w:rPr>
          <w:rFonts w:ascii="Verdana" w:hAnsi="Verdana"/>
        </w:rPr>
      </w:pPr>
      <w:r w:rsidRPr="00804D64">
        <w:rPr>
          <w:rFonts w:ascii="Verdana" w:hAnsi="Verdana"/>
        </w:rPr>
        <w:t>In addition to the six Annex 1 Equality Directives, there is other relevant EU law that underpins rights set out in the relevant chapter of the Belfast (Good Friday) Agreement. The UK Government has committed to ensuring that there will be no diminution of protections as were contained in releva</w:t>
      </w:r>
      <w:r>
        <w:rPr>
          <w:rFonts w:ascii="Verdana" w:hAnsi="Verdana"/>
        </w:rPr>
        <w:t>nt EU law on 31 December 2020.</w:t>
      </w:r>
    </w:p>
    <w:p w14:paraId="03E3CBCF" w14:textId="77777777" w:rsidR="0034651C" w:rsidRPr="00195313" w:rsidRDefault="0034651C" w:rsidP="00195313">
      <w:pPr>
        <w:pStyle w:val="ListParagraph"/>
        <w:rPr>
          <w:rFonts w:ascii="Verdana" w:hAnsi="Verdana"/>
        </w:rPr>
      </w:pPr>
    </w:p>
    <w:p w14:paraId="281D376B" w14:textId="669E7C55" w:rsidR="0034651C" w:rsidRDefault="0034651C" w:rsidP="00804D64">
      <w:pPr>
        <w:pStyle w:val="ListParagraph"/>
        <w:numPr>
          <w:ilvl w:val="1"/>
          <w:numId w:val="9"/>
        </w:numPr>
        <w:ind w:left="709"/>
        <w:rPr>
          <w:rFonts w:ascii="Verdana" w:hAnsi="Verdana"/>
        </w:rPr>
      </w:pPr>
      <w:r w:rsidRPr="0034651C">
        <w:rPr>
          <w:rFonts w:ascii="Verdana" w:hAnsi="Verdana"/>
        </w:rPr>
        <w:t>Protocol Article 2 protects everyone subject to the law in NI, regardless of immigration status. The UK Government recognises that Protocol Article 2 applies to “everyone who is subject to NI law – irrespective of whether that law has been passed by the NI legislature or Westminster”.</w:t>
      </w:r>
      <w:r>
        <w:rPr>
          <w:rStyle w:val="FootnoteReference"/>
          <w:rFonts w:ascii="Verdana" w:hAnsi="Verdana"/>
        </w:rPr>
        <w:footnoteReference w:id="6"/>
      </w:r>
    </w:p>
    <w:p w14:paraId="388E08CE" w14:textId="77777777" w:rsidR="00B463D2" w:rsidRPr="00B463D2" w:rsidRDefault="00B463D2" w:rsidP="00B463D2">
      <w:pPr>
        <w:pStyle w:val="ListParagraph"/>
        <w:rPr>
          <w:rFonts w:ascii="Verdana" w:hAnsi="Verdana"/>
        </w:rPr>
      </w:pPr>
    </w:p>
    <w:p w14:paraId="3BF49164" w14:textId="3CEDB866" w:rsidR="00B463D2" w:rsidRPr="00B463D2" w:rsidRDefault="00B463D2" w:rsidP="00804D64">
      <w:pPr>
        <w:pStyle w:val="ListParagraph"/>
        <w:numPr>
          <w:ilvl w:val="1"/>
          <w:numId w:val="9"/>
        </w:numPr>
        <w:ind w:left="709"/>
        <w:rPr>
          <w:rFonts w:ascii="Verdana" w:hAnsi="Verdana"/>
        </w:rPr>
      </w:pPr>
      <w:r w:rsidRPr="00B463D2">
        <w:rPr>
          <w:rFonts w:ascii="Verdana" w:hAnsi="Verdana"/>
        </w:rPr>
        <w:t xml:space="preserve">The non-exhaustive list of rights which are “affirmed in particular” in the relevant chapter of the Belfast (Good Friday) Agreement 1998 include the right to freely choose one’s place of residence and the right to equal opportunity in all social and economic activity, regardless </w:t>
      </w:r>
      <w:r w:rsidR="003520AF">
        <w:rPr>
          <w:rFonts w:ascii="Verdana" w:hAnsi="Verdana"/>
        </w:rPr>
        <w:t>of</w:t>
      </w:r>
      <w:r w:rsidR="0034651C">
        <w:rPr>
          <w:rFonts w:ascii="Verdana" w:hAnsi="Verdana"/>
        </w:rPr>
        <w:t xml:space="preserve"> </w:t>
      </w:r>
      <w:r w:rsidR="0034651C" w:rsidRPr="0034651C">
        <w:rPr>
          <w:rFonts w:ascii="Verdana" w:hAnsi="Verdana"/>
        </w:rPr>
        <w:t>class, creed, disability, gender or</w:t>
      </w:r>
      <w:r w:rsidRPr="00B463D2">
        <w:rPr>
          <w:rFonts w:ascii="Verdana" w:hAnsi="Verdana"/>
        </w:rPr>
        <w:t xml:space="preserve"> ethnicity.</w:t>
      </w:r>
      <w:r w:rsidRPr="00B463D2">
        <w:rPr>
          <w:rStyle w:val="FootnoteReference"/>
          <w:rFonts w:ascii="Verdana" w:hAnsi="Verdana"/>
        </w:rPr>
        <w:footnoteReference w:id="7"/>
      </w:r>
      <w:r w:rsidRPr="00B463D2">
        <w:rPr>
          <w:rFonts w:ascii="Verdana" w:hAnsi="Verdana"/>
        </w:rPr>
        <w:t xml:space="preserve"> </w:t>
      </w:r>
      <w:r w:rsidR="0034651C">
        <w:rPr>
          <w:rFonts w:ascii="Verdana" w:hAnsi="Verdana"/>
        </w:rPr>
        <w:t xml:space="preserve">The NIHRC considers that </w:t>
      </w:r>
      <w:r w:rsidR="0034651C" w:rsidRPr="0034651C">
        <w:rPr>
          <w:rFonts w:ascii="Verdana" w:hAnsi="Verdana"/>
        </w:rPr>
        <w:t>all EU law in force in NI on or before 31 December 2020 which underpins an ECHR right falls within scope of the non-diminution commitment in Protocol Article 2.</w:t>
      </w:r>
      <w:r w:rsidR="0059457A">
        <w:rPr>
          <w:rStyle w:val="FootnoteReference"/>
          <w:rFonts w:ascii="Verdana" w:hAnsi="Verdana"/>
        </w:rPr>
        <w:footnoteReference w:id="8"/>
      </w:r>
      <w:r>
        <w:rPr>
          <w:rFonts w:ascii="Verdana" w:hAnsi="Verdana"/>
        </w:rPr>
        <w:t xml:space="preserve"> </w:t>
      </w:r>
      <w:r w:rsidR="00E92C63" w:rsidRPr="00E92C63">
        <w:rPr>
          <w:rFonts w:ascii="Verdana" w:hAnsi="Verdana"/>
        </w:rPr>
        <w:t xml:space="preserve"> </w:t>
      </w:r>
      <w:r w:rsidR="00E92C63">
        <w:rPr>
          <w:rFonts w:ascii="Verdana" w:hAnsi="Verdana"/>
        </w:rPr>
        <w:t xml:space="preserve">The Directives also underpin rights protected by Articles 2, 3, 8 and 13 of the ECHR. </w:t>
      </w:r>
      <w:r>
        <w:rPr>
          <w:rFonts w:ascii="Verdana" w:hAnsi="Verdana"/>
        </w:rPr>
        <w:t>The EU Reception Directive</w:t>
      </w:r>
      <w:r w:rsidR="00452453">
        <w:rPr>
          <w:rStyle w:val="FootnoteReference"/>
          <w:rFonts w:ascii="Verdana" w:hAnsi="Verdana"/>
        </w:rPr>
        <w:footnoteReference w:id="9"/>
      </w:r>
      <w:r w:rsidR="00A1169D">
        <w:rPr>
          <w:rFonts w:ascii="Verdana" w:hAnsi="Verdana"/>
        </w:rPr>
        <w:t xml:space="preserve"> and the EU Procedures Directive underpin the non-diminution commitment with respect to refugees and people seeking asylum.</w:t>
      </w:r>
      <w:r w:rsidR="00A1169D">
        <w:rPr>
          <w:rStyle w:val="FootnoteReference"/>
          <w:rFonts w:ascii="Verdana" w:hAnsi="Verdana"/>
        </w:rPr>
        <w:footnoteReference w:id="10"/>
      </w:r>
      <w:r>
        <w:rPr>
          <w:rFonts w:ascii="Verdana" w:hAnsi="Verdana"/>
        </w:rPr>
        <w:t xml:space="preserve"> </w:t>
      </w:r>
      <w:r w:rsidR="00EF65AC">
        <w:rPr>
          <w:rFonts w:ascii="Verdana" w:hAnsi="Verdana"/>
        </w:rPr>
        <w:t>The Directive</w:t>
      </w:r>
      <w:r w:rsidR="00E11FF2">
        <w:rPr>
          <w:rFonts w:ascii="Verdana" w:hAnsi="Verdana"/>
        </w:rPr>
        <w:t>s</w:t>
      </w:r>
      <w:r w:rsidR="00EF65AC">
        <w:rPr>
          <w:rFonts w:ascii="Verdana" w:hAnsi="Verdana"/>
        </w:rPr>
        <w:t xml:space="preserve"> create minimum standards for the treatment of asylum seekers, including children, which remain relevant to NI.</w:t>
      </w:r>
      <w:r w:rsidR="00861919">
        <w:rPr>
          <w:rFonts w:ascii="Verdana" w:hAnsi="Verdana"/>
        </w:rPr>
        <w:t xml:space="preserve"> </w:t>
      </w:r>
    </w:p>
    <w:p w14:paraId="307A78E7" w14:textId="77777777" w:rsidR="00B463D2" w:rsidRPr="00B463D2" w:rsidRDefault="00B463D2" w:rsidP="00B463D2">
      <w:pPr>
        <w:pStyle w:val="ListParagraph"/>
        <w:rPr>
          <w:rFonts w:ascii="Verdana" w:hAnsi="Verdana"/>
        </w:rPr>
      </w:pPr>
    </w:p>
    <w:p w14:paraId="657D0C02" w14:textId="77777777" w:rsidR="009923C6" w:rsidRDefault="009923C6" w:rsidP="009923C6">
      <w:pPr>
        <w:pStyle w:val="ListParagraph"/>
        <w:rPr>
          <w:rFonts w:ascii="Verdana" w:hAnsi="Verdana" w:cs="Arial"/>
          <w:b/>
        </w:rPr>
      </w:pPr>
    </w:p>
    <w:p w14:paraId="09429D9E" w14:textId="3F7E0CF2" w:rsidR="00BF1279" w:rsidRDefault="00820392" w:rsidP="00820392">
      <w:pPr>
        <w:pStyle w:val="Heading1"/>
      </w:pPr>
      <w:bookmarkStart w:id="3" w:name="_Toc122344440"/>
      <w:r>
        <w:t xml:space="preserve">3.0 </w:t>
      </w:r>
      <w:r w:rsidR="00BF1279">
        <w:t>Human Rights of Asylum Seekers in the UK</w:t>
      </w:r>
      <w:bookmarkEnd w:id="3"/>
    </w:p>
    <w:p w14:paraId="5BA577A9" w14:textId="77777777" w:rsidR="00BF1279" w:rsidRDefault="00BF1279" w:rsidP="00BF1279">
      <w:pPr>
        <w:rPr>
          <w:rFonts w:ascii="Verdana" w:hAnsi="Verdana" w:cs="Arial"/>
          <w:b/>
          <w:color w:val="77328A"/>
          <w:sz w:val="30"/>
          <w:szCs w:val="30"/>
        </w:rPr>
      </w:pPr>
    </w:p>
    <w:p w14:paraId="75EC703F" w14:textId="6A125161" w:rsidR="001361D5" w:rsidRDefault="001361D5" w:rsidP="00BF1279">
      <w:pPr>
        <w:rPr>
          <w:rFonts w:ascii="Verdana" w:hAnsi="Verdana" w:cs="Arial"/>
          <w:i/>
        </w:rPr>
      </w:pPr>
      <w:r>
        <w:rPr>
          <w:rFonts w:ascii="Verdana" w:hAnsi="Verdana" w:cs="Arial"/>
          <w:i/>
        </w:rPr>
        <w:t>Safe and Legal Routes</w:t>
      </w:r>
    </w:p>
    <w:p w14:paraId="5BC8EDD3" w14:textId="77777777" w:rsidR="00452453" w:rsidRPr="001361D5" w:rsidRDefault="00452453" w:rsidP="00BF1279">
      <w:pPr>
        <w:rPr>
          <w:rFonts w:ascii="Verdana" w:hAnsi="Verdana" w:cs="Arial"/>
          <w:i/>
        </w:rPr>
      </w:pPr>
    </w:p>
    <w:p w14:paraId="0A9B29A2" w14:textId="685AFF2E" w:rsidR="00BF1279" w:rsidRPr="007C4D7B" w:rsidRDefault="0046120B" w:rsidP="00820392">
      <w:pPr>
        <w:pStyle w:val="BasicParagraph"/>
        <w:numPr>
          <w:ilvl w:val="1"/>
          <w:numId w:val="23"/>
        </w:numPr>
        <w:suppressAutoHyphens/>
        <w:rPr>
          <w:rFonts w:ascii="Verdana" w:hAnsi="Verdana" w:cs="Arial"/>
          <w:b/>
          <w:color w:val="77328A"/>
        </w:rPr>
      </w:pPr>
      <w:r w:rsidRPr="007C4D7B">
        <w:rPr>
          <w:rFonts w:ascii="Verdana" w:hAnsi="Verdana" w:cs="Arial"/>
          <w:color w:val="auto"/>
        </w:rPr>
        <w:t xml:space="preserve">Article 31 of the Refugee Convention 1951 stipulates that Contracting </w:t>
      </w:r>
      <w:r w:rsidRPr="007C4D7B">
        <w:rPr>
          <w:rFonts w:ascii="Verdana" w:hAnsi="Verdana" w:cs="Arial"/>
          <w:color w:val="auto"/>
        </w:rPr>
        <w:lastRenderedPageBreak/>
        <w:t>States:</w:t>
      </w:r>
    </w:p>
    <w:p w14:paraId="05FC8093" w14:textId="77777777" w:rsidR="004E3A22" w:rsidRPr="0046120B" w:rsidRDefault="004E3A22" w:rsidP="004E3A22">
      <w:pPr>
        <w:pStyle w:val="BasicParagraph"/>
        <w:suppressAutoHyphens/>
        <w:ind w:left="709"/>
        <w:rPr>
          <w:rFonts w:ascii="Verdana" w:hAnsi="Verdana" w:cs="Arial"/>
          <w:b/>
          <w:color w:val="77328A"/>
          <w:sz w:val="30"/>
          <w:szCs w:val="30"/>
        </w:rPr>
      </w:pPr>
    </w:p>
    <w:p w14:paraId="7D98F25B" w14:textId="059586FD" w:rsidR="0046120B" w:rsidRDefault="0046120B" w:rsidP="004E3A22">
      <w:pPr>
        <w:pStyle w:val="Quote"/>
      </w:pPr>
      <w:r w:rsidRPr="0046120B">
        <w:t xml:space="preserve">shall not impose penalties, on account of their illegal entry or presence, on refugees who, coming directly from a territory where their life or freedom was threatened in the sense of </w:t>
      </w:r>
      <w:r w:rsidR="00C247D6">
        <w:t>A</w:t>
      </w:r>
      <w:r w:rsidRPr="0046120B">
        <w:t>rticle 1, enter or are present in their territory without authorization, provided they present themselves without delay to the authorities and show good cause for their illegal entry or presence.</w:t>
      </w:r>
    </w:p>
    <w:p w14:paraId="6F968A56" w14:textId="77777777" w:rsidR="0046120B" w:rsidRPr="0046120B" w:rsidRDefault="0046120B" w:rsidP="0046120B">
      <w:pPr>
        <w:pStyle w:val="BasicParagraph"/>
        <w:suppressAutoHyphens/>
        <w:ind w:left="1440"/>
        <w:rPr>
          <w:rFonts w:ascii="Verdana" w:hAnsi="Verdana" w:cs="Arial"/>
          <w:b/>
          <w:color w:val="77328A"/>
          <w:sz w:val="30"/>
          <w:szCs w:val="30"/>
        </w:rPr>
      </w:pPr>
    </w:p>
    <w:p w14:paraId="7D45FA0D" w14:textId="77777777" w:rsidR="0046120B" w:rsidRPr="003A133F" w:rsidRDefault="00F04B5A" w:rsidP="00820392">
      <w:pPr>
        <w:pStyle w:val="BasicParagraph"/>
        <w:numPr>
          <w:ilvl w:val="1"/>
          <w:numId w:val="23"/>
        </w:numPr>
        <w:suppressAutoHyphens/>
        <w:ind w:left="709"/>
        <w:rPr>
          <w:rFonts w:ascii="Verdana" w:hAnsi="Verdana" w:cs="Arial"/>
          <w:b/>
          <w:color w:val="77328A"/>
          <w:sz w:val="30"/>
          <w:szCs w:val="30"/>
        </w:rPr>
      </w:pPr>
      <w:r w:rsidRPr="00F04B5A">
        <w:rPr>
          <w:rFonts w:ascii="Verdana" w:hAnsi="Verdana"/>
        </w:rPr>
        <w:t>The UN High Commissioner for Refugees noted “the right to seek and enjoy asylum does not depend on the regularity of arrival of an asylum-seeker to a country. In reality, asylum-seekers are often forced to arrive at or enter a territory</w:t>
      </w:r>
      <w:r>
        <w:rPr>
          <w:rFonts w:ascii="Verdana" w:hAnsi="Verdana"/>
        </w:rPr>
        <w:t xml:space="preserve"> without prior authorisation”.</w:t>
      </w:r>
      <w:r>
        <w:rPr>
          <w:rStyle w:val="FootnoteReference"/>
          <w:rFonts w:ascii="Verdana" w:hAnsi="Verdana"/>
        </w:rPr>
        <w:footnoteReference w:id="11"/>
      </w:r>
    </w:p>
    <w:p w14:paraId="0096CBD3" w14:textId="77777777" w:rsidR="003A133F" w:rsidRPr="003A133F" w:rsidRDefault="003A133F" w:rsidP="003A133F">
      <w:pPr>
        <w:pStyle w:val="BasicParagraph"/>
        <w:suppressAutoHyphens/>
        <w:ind w:left="709"/>
        <w:rPr>
          <w:rFonts w:ascii="Verdana" w:hAnsi="Verdana" w:cs="Arial"/>
          <w:b/>
          <w:color w:val="77328A"/>
          <w:sz w:val="30"/>
          <w:szCs w:val="30"/>
        </w:rPr>
      </w:pPr>
    </w:p>
    <w:p w14:paraId="3415FDF3" w14:textId="42358F31" w:rsidR="003A133F" w:rsidRPr="003A133F" w:rsidRDefault="003A133F" w:rsidP="00820392">
      <w:pPr>
        <w:pStyle w:val="BasicParagraph"/>
        <w:numPr>
          <w:ilvl w:val="1"/>
          <w:numId w:val="23"/>
        </w:numPr>
        <w:suppressAutoHyphens/>
        <w:ind w:left="709"/>
        <w:rPr>
          <w:rFonts w:ascii="Verdana" w:hAnsi="Verdana" w:cs="Arial"/>
          <w:b/>
          <w:color w:val="77328A"/>
          <w:sz w:val="30"/>
          <w:szCs w:val="30"/>
        </w:rPr>
      </w:pPr>
      <w:r>
        <w:rPr>
          <w:rFonts w:ascii="Verdana" w:hAnsi="Verdana"/>
        </w:rPr>
        <w:t>In the year ended June 2022, 76</w:t>
      </w:r>
      <w:r w:rsidR="00C73F6D">
        <w:rPr>
          <w:rFonts w:ascii="Verdana" w:hAnsi="Verdana"/>
        </w:rPr>
        <w:t xml:space="preserve"> per cent</w:t>
      </w:r>
      <w:r>
        <w:rPr>
          <w:rFonts w:ascii="Verdana" w:hAnsi="Verdana"/>
        </w:rPr>
        <w:t xml:space="preserve"> of initial decisions resulted in the gran</w:t>
      </w:r>
      <w:r w:rsidR="004B1DA0">
        <w:rPr>
          <w:rFonts w:ascii="Verdana" w:hAnsi="Verdana"/>
        </w:rPr>
        <w:t>t</w:t>
      </w:r>
      <w:r>
        <w:rPr>
          <w:rFonts w:ascii="Verdana" w:hAnsi="Verdana"/>
        </w:rPr>
        <w:t xml:space="preserve"> of asylum or humanitarian protection.</w:t>
      </w:r>
      <w:r>
        <w:rPr>
          <w:rStyle w:val="FootnoteReference"/>
          <w:rFonts w:ascii="Verdana" w:hAnsi="Verdana"/>
        </w:rPr>
        <w:footnoteReference w:id="12"/>
      </w:r>
      <w:r>
        <w:rPr>
          <w:rFonts w:ascii="Verdana" w:hAnsi="Verdana"/>
        </w:rPr>
        <w:t xml:space="preserve"> </w:t>
      </w:r>
      <w:r w:rsidR="004B1DA0">
        <w:rPr>
          <w:rFonts w:ascii="Verdana" w:hAnsi="Verdana"/>
        </w:rPr>
        <w:t>The</w:t>
      </w:r>
      <w:r>
        <w:rPr>
          <w:rFonts w:ascii="Verdana" w:hAnsi="Verdana"/>
        </w:rPr>
        <w:t xml:space="preserve"> number of positive outcomes suggests the need to ensure safe routes for people seeking asylum in the UK and that people arriving by other routes are not penalised for doing so.</w:t>
      </w:r>
    </w:p>
    <w:p w14:paraId="4ABC11C5" w14:textId="77777777" w:rsidR="003A133F" w:rsidRDefault="003A133F" w:rsidP="003A133F">
      <w:pPr>
        <w:pStyle w:val="ListParagraph"/>
        <w:rPr>
          <w:rFonts w:ascii="Verdana" w:hAnsi="Verdana" w:cs="Arial"/>
          <w:b/>
          <w:color w:val="77328A"/>
          <w:sz w:val="30"/>
          <w:szCs w:val="30"/>
        </w:rPr>
      </w:pPr>
    </w:p>
    <w:p w14:paraId="2C028447" w14:textId="77777777" w:rsidR="003A133F" w:rsidRPr="00F04B5A" w:rsidRDefault="003A133F" w:rsidP="00820392">
      <w:pPr>
        <w:pStyle w:val="BasicParagraph"/>
        <w:numPr>
          <w:ilvl w:val="1"/>
          <w:numId w:val="23"/>
        </w:numPr>
        <w:suppressAutoHyphens/>
        <w:ind w:left="709"/>
        <w:rPr>
          <w:rFonts w:ascii="Verdana" w:hAnsi="Verdana" w:cs="Arial"/>
          <w:b/>
          <w:color w:val="77328A"/>
          <w:sz w:val="30"/>
          <w:szCs w:val="30"/>
        </w:rPr>
      </w:pPr>
      <w:r>
        <w:rPr>
          <w:rFonts w:ascii="Verdana" w:hAnsi="Verdana" w:cs="Arial"/>
          <w:b/>
          <w:color w:val="auto"/>
        </w:rPr>
        <w:t xml:space="preserve">The Commission recommends </w:t>
      </w:r>
      <w:r w:rsidR="00ED78B5">
        <w:rPr>
          <w:rFonts w:ascii="Verdana" w:hAnsi="Verdana" w:cs="Arial"/>
          <w:b/>
          <w:color w:val="auto"/>
        </w:rPr>
        <w:t>that the Home Office ensures that there are safe and effective routes for people to exercise their right to claim asylum in the UK and that those who come by alternative routes are not discriminated against for doing so.</w:t>
      </w:r>
    </w:p>
    <w:p w14:paraId="77996185" w14:textId="77777777" w:rsidR="00BF1279" w:rsidRDefault="00BF1279" w:rsidP="00BF1279">
      <w:pPr>
        <w:pStyle w:val="BasicParagraph"/>
        <w:suppressAutoHyphens/>
        <w:ind w:left="-11"/>
        <w:rPr>
          <w:rFonts w:ascii="Verdana" w:hAnsi="Verdana" w:cs="Arial"/>
          <w:b/>
          <w:color w:val="auto"/>
        </w:rPr>
      </w:pPr>
    </w:p>
    <w:p w14:paraId="523F2154" w14:textId="77777777" w:rsidR="00BF1279" w:rsidRDefault="00BF1279" w:rsidP="00BF1279">
      <w:pPr>
        <w:pStyle w:val="BasicParagraph"/>
        <w:suppressAutoHyphens/>
        <w:ind w:left="-11"/>
        <w:rPr>
          <w:rFonts w:ascii="Verdana" w:hAnsi="Verdana" w:cs="Arial"/>
          <w:i/>
          <w:color w:val="auto"/>
        </w:rPr>
      </w:pPr>
      <w:r>
        <w:rPr>
          <w:rFonts w:ascii="Verdana" w:hAnsi="Verdana" w:cs="Arial"/>
          <w:i/>
          <w:color w:val="auto"/>
        </w:rPr>
        <w:t>Relocation of asylum seekers</w:t>
      </w:r>
    </w:p>
    <w:p w14:paraId="5AEE70A6" w14:textId="77777777" w:rsidR="00361AE2" w:rsidRPr="00BF1279" w:rsidRDefault="00361AE2" w:rsidP="00361AE2">
      <w:pPr>
        <w:pStyle w:val="BasicParagraph"/>
        <w:suppressAutoHyphens/>
        <w:rPr>
          <w:rFonts w:ascii="Verdana" w:hAnsi="Verdana" w:cs="Arial"/>
          <w:i/>
          <w:color w:val="77328A"/>
          <w:sz w:val="30"/>
          <w:szCs w:val="30"/>
        </w:rPr>
      </w:pPr>
    </w:p>
    <w:p w14:paraId="0864880B" w14:textId="799F21D3" w:rsidR="00BF1279" w:rsidRPr="00BF1279" w:rsidRDefault="00BF1279" w:rsidP="00820392">
      <w:pPr>
        <w:pStyle w:val="BasicParagraph"/>
        <w:numPr>
          <w:ilvl w:val="1"/>
          <w:numId w:val="23"/>
        </w:numPr>
        <w:suppressAutoHyphens/>
        <w:ind w:left="709"/>
        <w:rPr>
          <w:rFonts w:ascii="Verdana" w:hAnsi="Verdana" w:cs="Arial"/>
          <w:b/>
          <w:color w:val="77328A"/>
          <w:sz w:val="30"/>
          <w:szCs w:val="30"/>
        </w:rPr>
      </w:pPr>
      <w:r>
        <w:rPr>
          <w:rFonts w:ascii="Verdana" w:hAnsi="Verdana" w:cs="Arial"/>
          <w:color w:val="auto"/>
        </w:rPr>
        <w:t xml:space="preserve">In June 2022, </w:t>
      </w:r>
      <w:r w:rsidR="00FE0AF7">
        <w:rPr>
          <w:rFonts w:ascii="Verdana" w:hAnsi="Verdana" w:cs="Arial"/>
          <w:color w:val="auto"/>
        </w:rPr>
        <w:t xml:space="preserve">following domestic </w:t>
      </w:r>
      <w:r>
        <w:rPr>
          <w:rFonts w:ascii="Verdana" w:hAnsi="Verdana"/>
        </w:rPr>
        <w:t>legal action against the UK Government’s Rwanda policy</w:t>
      </w:r>
      <w:r w:rsidR="00FE0AF7">
        <w:rPr>
          <w:rFonts w:ascii="Verdana" w:hAnsi="Verdana"/>
        </w:rPr>
        <w:t>,</w:t>
      </w:r>
      <w:r>
        <w:rPr>
          <w:rStyle w:val="FootnoteReference"/>
          <w:rFonts w:ascii="Verdana" w:hAnsi="Verdana"/>
        </w:rPr>
        <w:footnoteReference w:id="13"/>
      </w:r>
      <w:r>
        <w:rPr>
          <w:rFonts w:ascii="Verdana" w:hAnsi="Verdana"/>
        </w:rPr>
        <w:t xml:space="preserve"> </w:t>
      </w:r>
      <w:r w:rsidR="00FE0AF7">
        <w:rPr>
          <w:rFonts w:ascii="Verdana" w:hAnsi="Verdana"/>
        </w:rPr>
        <w:t>t</w:t>
      </w:r>
      <w:r>
        <w:rPr>
          <w:rFonts w:ascii="Verdana" w:hAnsi="Verdana"/>
        </w:rPr>
        <w:t xml:space="preserve">he ECtHR </w:t>
      </w:r>
      <w:r w:rsidR="00F35E28">
        <w:rPr>
          <w:rFonts w:ascii="Verdana" w:hAnsi="Verdana"/>
        </w:rPr>
        <w:t xml:space="preserve">indicated an interim measure </w:t>
      </w:r>
      <w:r>
        <w:rPr>
          <w:rFonts w:ascii="Verdana" w:hAnsi="Verdana"/>
        </w:rPr>
        <w:t>to stop the flight on behalf of an individual affected</w:t>
      </w:r>
      <w:r w:rsidR="00F35E28">
        <w:rPr>
          <w:rFonts w:ascii="Verdana" w:hAnsi="Verdana"/>
        </w:rPr>
        <w:t xml:space="preserve"> that was facing irreversible harm</w:t>
      </w:r>
      <w:r>
        <w:rPr>
          <w:rFonts w:ascii="Verdana" w:hAnsi="Verdana"/>
        </w:rPr>
        <w:t>.</w:t>
      </w:r>
      <w:r>
        <w:rPr>
          <w:rStyle w:val="FootnoteReference"/>
          <w:rFonts w:ascii="Verdana" w:hAnsi="Verdana"/>
        </w:rPr>
        <w:footnoteReference w:id="14"/>
      </w:r>
    </w:p>
    <w:p w14:paraId="13C3CB84" w14:textId="77777777" w:rsidR="00BF1279" w:rsidRPr="00BF1279" w:rsidRDefault="00BF1279" w:rsidP="00BF1279">
      <w:pPr>
        <w:pStyle w:val="BasicParagraph"/>
        <w:suppressAutoHyphens/>
        <w:ind w:left="709"/>
        <w:rPr>
          <w:rFonts w:ascii="Verdana" w:hAnsi="Verdana" w:cs="Arial"/>
          <w:b/>
          <w:color w:val="77328A"/>
          <w:sz w:val="30"/>
          <w:szCs w:val="30"/>
        </w:rPr>
      </w:pPr>
    </w:p>
    <w:p w14:paraId="59633F4C" w14:textId="68BD85AC" w:rsidR="00BF1279" w:rsidRPr="00057C53" w:rsidRDefault="00BF1279" w:rsidP="00820392">
      <w:pPr>
        <w:pStyle w:val="BasicParagraph"/>
        <w:numPr>
          <w:ilvl w:val="1"/>
          <w:numId w:val="23"/>
        </w:numPr>
        <w:suppressAutoHyphens/>
        <w:ind w:left="709"/>
        <w:rPr>
          <w:rFonts w:ascii="Verdana" w:hAnsi="Verdana" w:cs="Arial"/>
          <w:b/>
          <w:color w:val="77328A"/>
          <w:sz w:val="30"/>
          <w:szCs w:val="30"/>
        </w:rPr>
      </w:pPr>
      <w:r w:rsidRPr="00BF1279">
        <w:rPr>
          <w:rFonts w:ascii="Verdana" w:hAnsi="Verdana" w:cs="Arial"/>
          <w:color w:val="auto"/>
        </w:rPr>
        <w:t>The</w:t>
      </w:r>
      <w:r>
        <w:rPr>
          <w:rFonts w:ascii="Verdana" w:hAnsi="Verdana" w:cs="Arial"/>
          <w:color w:val="77328A"/>
        </w:rPr>
        <w:t xml:space="preserve"> </w:t>
      </w:r>
      <w:r>
        <w:rPr>
          <w:rFonts w:ascii="Verdana" w:hAnsi="Verdana"/>
        </w:rPr>
        <w:t xml:space="preserve">UN Refugee Agency urged the UK to refrain from transferring people seeking asylum to Rwanda for processing, finding that the UK was </w:t>
      </w:r>
      <w:r>
        <w:rPr>
          <w:rFonts w:ascii="Verdana" w:hAnsi="Verdana"/>
        </w:rPr>
        <w:lastRenderedPageBreak/>
        <w:t>“</w:t>
      </w:r>
      <w:r w:rsidRPr="00D14D92">
        <w:rPr>
          <w:rFonts w:ascii="Verdana" w:hAnsi="Verdana"/>
          <w:shd w:val="clear" w:color="auto" w:fill="FFFFFF"/>
        </w:rPr>
        <w:t>adopting arrangements that abdicate responsibility to others and thus threaten the international refugee protection regime</w:t>
      </w:r>
      <w:r>
        <w:rPr>
          <w:rFonts w:ascii="Verdana" w:hAnsi="Verdana"/>
          <w:shd w:val="clear" w:color="auto" w:fill="FFFFFF"/>
        </w:rPr>
        <w:t>”.</w:t>
      </w:r>
      <w:r>
        <w:rPr>
          <w:rStyle w:val="FootnoteReference"/>
          <w:rFonts w:ascii="Verdana" w:hAnsi="Verdana"/>
          <w:shd w:val="clear" w:color="auto" w:fill="FFFFFF"/>
        </w:rPr>
        <w:footnoteReference w:id="15"/>
      </w:r>
      <w:r>
        <w:rPr>
          <w:rFonts w:ascii="Verdana" w:hAnsi="Verdana"/>
          <w:shd w:val="clear" w:color="auto" w:fill="FFFFFF"/>
        </w:rPr>
        <w:t xml:space="preserve"> The Agency further stated that the policy was incompatible with the letter and spirit of the UN Refugee Convention 1951.</w:t>
      </w:r>
      <w:r>
        <w:rPr>
          <w:rStyle w:val="FootnoteReference"/>
          <w:rFonts w:ascii="Verdana" w:hAnsi="Verdana"/>
          <w:shd w:val="clear" w:color="auto" w:fill="FFFFFF"/>
        </w:rPr>
        <w:footnoteReference w:id="16"/>
      </w:r>
    </w:p>
    <w:p w14:paraId="06C8122E" w14:textId="77777777" w:rsidR="00155810" w:rsidRDefault="00155810" w:rsidP="00057C53">
      <w:pPr>
        <w:pStyle w:val="ListParagraph"/>
        <w:rPr>
          <w:rFonts w:ascii="Verdana" w:hAnsi="Verdana" w:cs="Arial"/>
          <w:b/>
          <w:color w:val="77328A"/>
          <w:sz w:val="30"/>
          <w:szCs w:val="30"/>
        </w:rPr>
      </w:pPr>
    </w:p>
    <w:p w14:paraId="49BE08ED" w14:textId="2CED1F6A" w:rsidR="00155810" w:rsidRPr="0027296E" w:rsidRDefault="00155810" w:rsidP="00820392">
      <w:pPr>
        <w:pStyle w:val="BasicParagraph"/>
        <w:numPr>
          <w:ilvl w:val="1"/>
          <w:numId w:val="23"/>
        </w:numPr>
        <w:suppressAutoHyphens/>
        <w:ind w:left="709"/>
        <w:rPr>
          <w:rFonts w:ascii="Verdana" w:hAnsi="Verdana" w:cs="Arial"/>
          <w:b/>
          <w:color w:val="auto"/>
          <w:sz w:val="30"/>
          <w:szCs w:val="30"/>
        </w:rPr>
      </w:pPr>
      <w:r w:rsidRPr="0027296E">
        <w:rPr>
          <w:rFonts w:ascii="Verdana" w:hAnsi="Verdana" w:cs="Arial"/>
          <w:color w:val="auto"/>
        </w:rPr>
        <w:t xml:space="preserve">The EU Procedures Directive </w:t>
      </w:r>
      <w:r w:rsidR="00861919" w:rsidRPr="0027296E">
        <w:rPr>
          <w:rFonts w:ascii="Verdana" w:hAnsi="Verdana" w:cs="Arial"/>
          <w:color w:val="auto"/>
        </w:rPr>
        <w:t>protects the applicant’s right to</w:t>
      </w:r>
      <w:r w:rsidRPr="0027296E">
        <w:rPr>
          <w:rFonts w:ascii="Verdana" w:hAnsi="Verdana" w:cs="Arial"/>
          <w:color w:val="auto"/>
        </w:rPr>
        <w:t xml:space="preserve"> </w:t>
      </w:r>
      <w:r w:rsidR="00861919" w:rsidRPr="0027296E">
        <w:rPr>
          <w:rFonts w:ascii="Verdana" w:hAnsi="Verdana" w:cs="Arial"/>
          <w:color w:val="auto"/>
        </w:rPr>
        <w:t>“</w:t>
      </w:r>
      <w:r w:rsidRPr="0027296E">
        <w:rPr>
          <w:rFonts w:ascii="Verdana" w:hAnsi="Verdana" w:cs="Arial"/>
          <w:color w:val="auto"/>
        </w:rPr>
        <w:t>be allowed to remain in the Member State, for the sole purpose of the procedure, until the determining authority has made a decision</w:t>
      </w:r>
      <w:r w:rsidR="00D60FCB" w:rsidRPr="0027296E">
        <w:rPr>
          <w:rFonts w:ascii="Verdana" w:hAnsi="Verdana" w:cs="Arial"/>
          <w:color w:val="auto"/>
        </w:rPr>
        <w:t>”.</w:t>
      </w:r>
      <w:r w:rsidR="00D60FCB" w:rsidRPr="0027296E">
        <w:rPr>
          <w:rStyle w:val="FootnoteReference"/>
          <w:rFonts w:ascii="Verdana" w:hAnsi="Verdana" w:cs="Arial"/>
          <w:color w:val="auto"/>
        </w:rPr>
        <w:footnoteReference w:id="17"/>
      </w:r>
      <w:r w:rsidR="00861919" w:rsidRPr="0027296E">
        <w:rPr>
          <w:rFonts w:ascii="Verdana" w:hAnsi="Verdana" w:cs="Arial"/>
          <w:color w:val="auto"/>
        </w:rPr>
        <w:t xml:space="preserve"> </w:t>
      </w:r>
      <w:r w:rsidR="006B49E4" w:rsidRPr="0027296E">
        <w:rPr>
          <w:rFonts w:ascii="Verdana" w:hAnsi="Verdana" w:cs="Arial"/>
          <w:color w:val="auto"/>
        </w:rPr>
        <w:t>The Procedures Directive</w:t>
      </w:r>
      <w:r w:rsidR="00F74307" w:rsidRPr="0027296E">
        <w:rPr>
          <w:rFonts w:ascii="Verdana" w:hAnsi="Verdana" w:cs="Arial"/>
          <w:color w:val="auto"/>
        </w:rPr>
        <w:t xml:space="preserve">, which sets minimum standards for granting and withdrawing refugee status, falls within scope of Protocol Article 2. </w:t>
      </w:r>
    </w:p>
    <w:p w14:paraId="4F80373A" w14:textId="77777777" w:rsidR="00BF1279" w:rsidRDefault="00BF1279" w:rsidP="00BF1279">
      <w:pPr>
        <w:pStyle w:val="ListParagraph"/>
        <w:rPr>
          <w:rFonts w:ascii="Verdana" w:hAnsi="Verdana" w:cs="Arial"/>
          <w:b/>
          <w:color w:val="77328A"/>
          <w:sz w:val="30"/>
          <w:szCs w:val="30"/>
        </w:rPr>
      </w:pPr>
    </w:p>
    <w:p w14:paraId="04D38623" w14:textId="40A8A8E2" w:rsidR="00BF1279" w:rsidRPr="001361D5" w:rsidRDefault="00BF1279" w:rsidP="00820392">
      <w:pPr>
        <w:pStyle w:val="BasicParagraph"/>
        <w:numPr>
          <w:ilvl w:val="1"/>
          <w:numId w:val="23"/>
        </w:numPr>
        <w:suppressAutoHyphens/>
        <w:ind w:left="709"/>
        <w:rPr>
          <w:rFonts w:ascii="Verdana" w:hAnsi="Verdana" w:cs="Arial"/>
          <w:b/>
          <w:color w:val="77328A"/>
          <w:sz w:val="30"/>
          <w:szCs w:val="30"/>
        </w:rPr>
      </w:pPr>
      <w:r w:rsidRPr="00BF1279">
        <w:rPr>
          <w:rFonts w:ascii="Verdana" w:hAnsi="Verdana" w:cs="Arial"/>
          <w:b/>
          <w:color w:val="auto"/>
        </w:rPr>
        <w:t>The</w:t>
      </w:r>
      <w:r>
        <w:rPr>
          <w:rFonts w:ascii="Verdana" w:hAnsi="Verdana" w:cs="Arial"/>
          <w:color w:val="auto"/>
        </w:rPr>
        <w:t xml:space="preserve"> </w:t>
      </w:r>
      <w:r>
        <w:rPr>
          <w:rFonts w:ascii="Verdana" w:hAnsi="Verdana"/>
          <w:b/>
        </w:rPr>
        <w:t xml:space="preserve">NIHRC recommends that the UK Government </w:t>
      </w:r>
      <w:r w:rsidR="00277350">
        <w:rPr>
          <w:rFonts w:ascii="Verdana" w:hAnsi="Verdana"/>
          <w:b/>
        </w:rPr>
        <w:t xml:space="preserve">revokes </w:t>
      </w:r>
      <w:r>
        <w:rPr>
          <w:rFonts w:ascii="Verdana" w:hAnsi="Verdana"/>
          <w:b/>
        </w:rPr>
        <w:t>the Memorandum of Understanding with Rwanda and ensures all people seeking asylum in the UK are processed in a manner compliant with human rights standards and accounts for the trauma experienced by many prior to arrival in the UK.</w:t>
      </w:r>
    </w:p>
    <w:p w14:paraId="41CDACEE" w14:textId="77777777" w:rsidR="001361D5" w:rsidRDefault="001361D5" w:rsidP="001361D5">
      <w:pPr>
        <w:rPr>
          <w:rFonts w:ascii="Verdana" w:hAnsi="Verdana" w:cs="Arial"/>
          <w:b/>
          <w:color w:val="77328A"/>
          <w:sz w:val="30"/>
          <w:szCs w:val="30"/>
        </w:rPr>
      </w:pPr>
    </w:p>
    <w:p w14:paraId="0A6FF37E" w14:textId="77777777" w:rsidR="001361D5" w:rsidRPr="001361D5" w:rsidRDefault="001361D5" w:rsidP="001361D5">
      <w:pPr>
        <w:rPr>
          <w:rFonts w:ascii="Verdana" w:hAnsi="Verdana" w:cs="Arial"/>
        </w:rPr>
      </w:pPr>
      <w:r>
        <w:rPr>
          <w:rFonts w:ascii="Verdana" w:hAnsi="Verdana" w:cs="Arial"/>
          <w:i/>
        </w:rPr>
        <w:t>Detention</w:t>
      </w:r>
    </w:p>
    <w:p w14:paraId="4967E707" w14:textId="77777777" w:rsidR="001361D5" w:rsidRPr="001361D5" w:rsidRDefault="001361D5" w:rsidP="001361D5">
      <w:pPr>
        <w:pStyle w:val="BasicParagraph"/>
        <w:suppressAutoHyphens/>
        <w:ind w:left="709"/>
        <w:rPr>
          <w:rFonts w:ascii="Verdana" w:hAnsi="Verdana" w:cs="Arial"/>
          <w:b/>
          <w:color w:val="77328A"/>
          <w:sz w:val="30"/>
          <w:szCs w:val="30"/>
        </w:rPr>
      </w:pPr>
    </w:p>
    <w:p w14:paraId="6220BEBA" w14:textId="60AF01FF" w:rsidR="00795706" w:rsidRPr="00B41ACF" w:rsidRDefault="00F74307" w:rsidP="00820392">
      <w:pPr>
        <w:pStyle w:val="BasicParagraph"/>
        <w:numPr>
          <w:ilvl w:val="1"/>
          <w:numId w:val="23"/>
        </w:numPr>
        <w:suppressAutoHyphens/>
        <w:ind w:left="709"/>
        <w:rPr>
          <w:rFonts w:ascii="Verdana" w:hAnsi="Verdana"/>
        </w:rPr>
      </w:pPr>
      <w:r>
        <w:rPr>
          <w:rFonts w:ascii="Verdana" w:hAnsi="Verdana" w:cs="Arial"/>
          <w:color w:val="auto"/>
        </w:rPr>
        <w:t>The</w:t>
      </w:r>
      <w:r w:rsidR="00E348F8">
        <w:rPr>
          <w:rFonts w:ascii="Verdana" w:hAnsi="Verdana" w:cs="Arial"/>
          <w:color w:val="auto"/>
        </w:rPr>
        <w:t xml:space="preserve"> EU</w:t>
      </w:r>
      <w:r>
        <w:rPr>
          <w:rFonts w:ascii="Verdana" w:hAnsi="Verdana" w:cs="Arial"/>
          <w:color w:val="auto"/>
        </w:rPr>
        <w:t xml:space="preserve"> Reception Directive commits States to “take into account the specific situation of vulnerable persons such as minors, unaccompanied minors</w:t>
      </w:r>
      <w:r w:rsidR="00C61501">
        <w:rPr>
          <w:rFonts w:ascii="Verdana" w:hAnsi="Verdana" w:cs="Arial"/>
          <w:color w:val="auto"/>
        </w:rPr>
        <w:t>, disabled people, elderly people, pregnant women, single parents with minor children, and persons who have been subjected to torture”.</w:t>
      </w:r>
      <w:r w:rsidR="00C61501">
        <w:rPr>
          <w:rStyle w:val="FootnoteReference"/>
          <w:rFonts w:ascii="Verdana" w:hAnsi="Verdana" w:cs="Arial"/>
          <w:color w:val="auto"/>
        </w:rPr>
        <w:footnoteReference w:id="18"/>
      </w:r>
    </w:p>
    <w:p w14:paraId="3DB50336" w14:textId="77777777" w:rsidR="00C61501" w:rsidRPr="004C2185" w:rsidRDefault="00C61501" w:rsidP="004C2185">
      <w:pPr>
        <w:pStyle w:val="BasicParagraph"/>
        <w:suppressAutoHyphens/>
        <w:ind w:left="709"/>
        <w:rPr>
          <w:rFonts w:ascii="Verdana" w:hAnsi="Verdana"/>
        </w:rPr>
      </w:pPr>
    </w:p>
    <w:p w14:paraId="47BC8353" w14:textId="0E0186F5" w:rsidR="00C61501" w:rsidRPr="00B41ACF" w:rsidRDefault="00C61501" w:rsidP="00820392">
      <w:pPr>
        <w:pStyle w:val="BasicParagraph"/>
        <w:numPr>
          <w:ilvl w:val="1"/>
          <w:numId w:val="23"/>
        </w:numPr>
        <w:suppressAutoHyphens/>
        <w:ind w:left="709"/>
        <w:rPr>
          <w:rFonts w:ascii="Verdana" w:hAnsi="Verdana"/>
        </w:rPr>
      </w:pPr>
      <w:r w:rsidRPr="00294A13">
        <w:rPr>
          <w:rFonts w:ascii="Verdana" w:hAnsi="Verdana"/>
        </w:rPr>
        <w:t>The UN CEDAW Committee recommended that the UK Government and NI Executive “introduce a general time limit on immigration detention and implement alternatives to detention”.</w:t>
      </w:r>
      <w:r>
        <w:rPr>
          <w:rStyle w:val="FootnoteReference"/>
          <w:rFonts w:ascii="Verdana" w:hAnsi="Verdana"/>
        </w:rPr>
        <w:footnoteReference w:id="19"/>
      </w:r>
    </w:p>
    <w:p w14:paraId="7C0BAD03" w14:textId="77777777" w:rsidR="00795706" w:rsidRPr="00795706" w:rsidRDefault="00795706" w:rsidP="00795706">
      <w:pPr>
        <w:pStyle w:val="BasicParagraph"/>
        <w:suppressAutoHyphens/>
        <w:ind w:left="709"/>
        <w:rPr>
          <w:rFonts w:ascii="Verdana" w:hAnsi="Verdana" w:cs="Arial"/>
          <w:b/>
          <w:color w:val="77328A"/>
          <w:sz w:val="30"/>
          <w:szCs w:val="30"/>
        </w:rPr>
      </w:pPr>
    </w:p>
    <w:p w14:paraId="3C715CD8" w14:textId="5878F881" w:rsidR="00746C15" w:rsidRPr="00746C15" w:rsidRDefault="00B871FD" w:rsidP="00820392">
      <w:pPr>
        <w:pStyle w:val="BasicParagraph"/>
        <w:numPr>
          <w:ilvl w:val="1"/>
          <w:numId w:val="23"/>
        </w:numPr>
        <w:suppressAutoHyphens/>
        <w:ind w:left="709"/>
        <w:rPr>
          <w:rFonts w:ascii="Verdana" w:hAnsi="Verdana" w:cs="Arial"/>
          <w:b/>
          <w:color w:val="77328A"/>
          <w:sz w:val="30"/>
          <w:szCs w:val="30"/>
        </w:rPr>
      </w:pPr>
      <w:r w:rsidRPr="00294A13">
        <w:rPr>
          <w:rFonts w:ascii="Verdana" w:hAnsi="Verdana" w:cs="Arial"/>
          <w:color w:val="auto"/>
        </w:rPr>
        <w:t xml:space="preserve">The </w:t>
      </w:r>
      <w:r w:rsidRPr="00294A13">
        <w:rPr>
          <w:rFonts w:ascii="Verdana" w:hAnsi="Verdana"/>
        </w:rPr>
        <w:t xml:space="preserve">Home Office policy is that immigration detention </w:t>
      </w:r>
      <w:r w:rsidR="000C4BEC">
        <w:rPr>
          <w:rFonts w:ascii="Verdana" w:hAnsi="Verdana"/>
        </w:rPr>
        <w:t>“must be used sparingly and for the shortest period necessary”</w:t>
      </w:r>
      <w:r w:rsidRPr="00294A13">
        <w:rPr>
          <w:rFonts w:ascii="Verdana" w:hAnsi="Verdana"/>
        </w:rPr>
        <w:t>.</w:t>
      </w:r>
      <w:r w:rsidR="000C4BEC">
        <w:rPr>
          <w:rStyle w:val="FootnoteReference"/>
          <w:rFonts w:ascii="Verdana" w:hAnsi="Verdana"/>
        </w:rPr>
        <w:footnoteReference w:id="20"/>
      </w:r>
      <w:r w:rsidRPr="00294A13">
        <w:rPr>
          <w:rFonts w:ascii="Verdana" w:hAnsi="Verdana"/>
        </w:rPr>
        <w:t xml:space="preserve"> There is one short-term holding facility operating in NI – Larne House. The concern in NI </w:t>
      </w:r>
      <w:r w:rsidR="00D61778" w:rsidRPr="00294A13">
        <w:rPr>
          <w:rFonts w:ascii="Verdana" w:hAnsi="Verdana"/>
        </w:rPr>
        <w:t>is</w:t>
      </w:r>
      <w:r w:rsidRPr="00294A13">
        <w:rPr>
          <w:rFonts w:ascii="Verdana" w:hAnsi="Verdana"/>
        </w:rPr>
        <w:t xml:space="preserve"> people seeking asylum in Larne House </w:t>
      </w:r>
      <w:r w:rsidR="005D6C4E" w:rsidRPr="00294A13">
        <w:rPr>
          <w:rFonts w:ascii="Verdana" w:hAnsi="Verdana"/>
        </w:rPr>
        <w:t xml:space="preserve">being </w:t>
      </w:r>
      <w:r w:rsidRPr="00294A13">
        <w:rPr>
          <w:rFonts w:ascii="Verdana" w:hAnsi="Verdana"/>
        </w:rPr>
        <w:t xml:space="preserve">moved on to other detention centres </w:t>
      </w:r>
      <w:r w:rsidRPr="00294A13">
        <w:rPr>
          <w:rFonts w:ascii="Verdana" w:hAnsi="Verdana"/>
        </w:rPr>
        <w:lastRenderedPageBreak/>
        <w:t>in the UK for an undefined period.</w:t>
      </w:r>
      <w:r w:rsidR="000C5EE4">
        <w:rPr>
          <w:rStyle w:val="FootnoteReference"/>
          <w:rFonts w:ascii="Verdana" w:hAnsi="Verdana"/>
        </w:rPr>
        <w:footnoteReference w:id="21"/>
      </w:r>
      <w:r w:rsidR="007C0950" w:rsidRPr="00294A13">
        <w:rPr>
          <w:rFonts w:ascii="Verdana" w:hAnsi="Verdana"/>
        </w:rPr>
        <w:t xml:space="preserve"> Additionally, </w:t>
      </w:r>
      <w:r w:rsidR="003E5E8F" w:rsidRPr="00294A13">
        <w:rPr>
          <w:rFonts w:ascii="Verdana" w:hAnsi="Verdana"/>
        </w:rPr>
        <w:t>w</w:t>
      </w:r>
      <w:r w:rsidR="007C0950" w:rsidRPr="00294A13">
        <w:rPr>
          <w:rFonts w:ascii="Verdana" w:hAnsi="Verdana"/>
        </w:rPr>
        <w:t>omen are accommodated in a separate area</w:t>
      </w:r>
      <w:r w:rsidR="008D1834">
        <w:rPr>
          <w:rFonts w:ascii="Verdana" w:hAnsi="Verdana"/>
        </w:rPr>
        <w:t xml:space="preserve"> in Larne House</w:t>
      </w:r>
      <w:r w:rsidR="007C0950" w:rsidRPr="00294A13">
        <w:rPr>
          <w:rFonts w:ascii="Verdana" w:hAnsi="Verdana"/>
        </w:rPr>
        <w:t>, but this area cannot be locked off from the men’s section and there is no separate communal room.</w:t>
      </w:r>
      <w:r w:rsidR="007C0950">
        <w:rPr>
          <w:rStyle w:val="FootnoteReference"/>
          <w:rFonts w:ascii="Verdana" w:hAnsi="Verdana"/>
        </w:rPr>
        <w:footnoteReference w:id="22"/>
      </w:r>
      <w:r w:rsidR="005D6C4E" w:rsidRPr="00294A13">
        <w:rPr>
          <w:rFonts w:ascii="Verdana" w:hAnsi="Verdana"/>
        </w:rPr>
        <w:t xml:space="preserve"> </w:t>
      </w:r>
    </w:p>
    <w:p w14:paraId="199BDC50" w14:textId="77777777" w:rsidR="00B871FD" w:rsidRDefault="00B871FD" w:rsidP="00B871FD">
      <w:pPr>
        <w:pStyle w:val="ListParagraph"/>
        <w:rPr>
          <w:rFonts w:ascii="Verdana" w:hAnsi="Verdana"/>
        </w:rPr>
      </w:pPr>
    </w:p>
    <w:p w14:paraId="3216D26F" w14:textId="24AFB8D5" w:rsidR="001361D5" w:rsidRPr="00B41ACF" w:rsidRDefault="00B871FD" w:rsidP="00820392">
      <w:pPr>
        <w:pStyle w:val="BasicParagraph"/>
        <w:numPr>
          <w:ilvl w:val="1"/>
          <w:numId w:val="23"/>
        </w:numPr>
        <w:suppressAutoHyphens/>
        <w:ind w:left="709"/>
        <w:rPr>
          <w:rFonts w:ascii="Verdana" w:hAnsi="Verdana" w:cs="Arial"/>
          <w:b/>
          <w:color w:val="77328A"/>
          <w:sz w:val="30"/>
          <w:szCs w:val="30"/>
        </w:rPr>
      </w:pPr>
      <w:r>
        <w:rPr>
          <w:rFonts w:ascii="Verdana" w:hAnsi="Verdana"/>
        </w:rPr>
        <w:t>The UN CEDAW Committee further recommended that the UK Government and NI Executive</w:t>
      </w:r>
      <w:r w:rsidR="001361D5" w:rsidRPr="001361D5">
        <w:rPr>
          <w:rFonts w:ascii="Verdana" w:hAnsi="Verdana"/>
        </w:rPr>
        <w:t xml:space="preserve"> “take immediate measures to end the detention of pregnant women and nursing mothers”.</w:t>
      </w:r>
      <w:r w:rsidR="00B41ACF">
        <w:rPr>
          <w:rFonts w:ascii="Verdana" w:hAnsi="Verdana"/>
        </w:rPr>
        <w:t xml:space="preserve"> </w:t>
      </w:r>
      <w:r>
        <w:rPr>
          <w:rFonts w:ascii="Verdana" w:hAnsi="Verdana"/>
        </w:rPr>
        <w:t>B</w:t>
      </w:r>
      <w:r w:rsidR="00290593" w:rsidRPr="001361D5">
        <w:rPr>
          <w:rFonts w:ascii="Verdana" w:hAnsi="Verdana"/>
        </w:rPr>
        <w:t>etween June 2016 and June 2022, eight pregnant women were detained in Larne House.</w:t>
      </w:r>
      <w:r w:rsidR="00290593">
        <w:rPr>
          <w:rStyle w:val="FootnoteReference"/>
          <w:rFonts w:ascii="Verdana" w:hAnsi="Verdana"/>
        </w:rPr>
        <w:footnoteReference w:id="23"/>
      </w:r>
    </w:p>
    <w:p w14:paraId="26736D80" w14:textId="77777777" w:rsidR="001361D5" w:rsidRDefault="001361D5" w:rsidP="004917EE">
      <w:pPr>
        <w:pStyle w:val="BasicParagraph"/>
        <w:suppressAutoHyphens/>
        <w:ind w:left="709"/>
        <w:rPr>
          <w:rFonts w:ascii="Verdana" w:hAnsi="Verdana"/>
          <w:b/>
        </w:rPr>
      </w:pPr>
    </w:p>
    <w:p w14:paraId="353C7CDA" w14:textId="2B984C59" w:rsidR="001361D5" w:rsidRPr="001361D5" w:rsidRDefault="001361D5" w:rsidP="00820392">
      <w:pPr>
        <w:pStyle w:val="BasicParagraph"/>
        <w:numPr>
          <w:ilvl w:val="1"/>
          <w:numId w:val="23"/>
        </w:numPr>
        <w:suppressAutoHyphens/>
        <w:ind w:left="709"/>
        <w:rPr>
          <w:rFonts w:ascii="Verdana" w:hAnsi="Verdana" w:cs="Arial"/>
          <w:b/>
          <w:color w:val="77328A"/>
          <w:sz w:val="30"/>
          <w:szCs w:val="30"/>
        </w:rPr>
      </w:pPr>
      <w:r w:rsidRPr="001361D5">
        <w:rPr>
          <w:rFonts w:ascii="Verdana" w:hAnsi="Verdana"/>
          <w:b/>
        </w:rPr>
        <w:t>The NIHRC recommends the Home Office ensure</w:t>
      </w:r>
      <w:r w:rsidR="003B17C0">
        <w:rPr>
          <w:rFonts w:ascii="Verdana" w:hAnsi="Verdana"/>
          <w:b/>
        </w:rPr>
        <w:t>s</w:t>
      </w:r>
      <w:r w:rsidRPr="001361D5">
        <w:rPr>
          <w:rFonts w:ascii="Verdana" w:hAnsi="Verdana"/>
          <w:b/>
        </w:rPr>
        <w:t xml:space="preserve"> that immigration detention is a measure of last resort and that </w:t>
      </w:r>
      <w:r w:rsidR="00864AEF">
        <w:rPr>
          <w:rFonts w:ascii="Verdana" w:hAnsi="Verdana"/>
          <w:b/>
        </w:rPr>
        <w:t>appropriate</w:t>
      </w:r>
      <w:r w:rsidR="00864AEF" w:rsidRPr="001361D5">
        <w:rPr>
          <w:rFonts w:ascii="Verdana" w:hAnsi="Verdana"/>
          <w:b/>
        </w:rPr>
        <w:t xml:space="preserve"> </w:t>
      </w:r>
      <w:r w:rsidRPr="001361D5">
        <w:rPr>
          <w:rFonts w:ascii="Verdana" w:hAnsi="Verdana"/>
          <w:b/>
        </w:rPr>
        <w:t xml:space="preserve">alternatives to detention </w:t>
      </w:r>
      <w:r w:rsidR="00EA061D">
        <w:rPr>
          <w:rFonts w:ascii="Verdana" w:hAnsi="Verdana"/>
          <w:b/>
        </w:rPr>
        <w:t xml:space="preserve">that meet the demand </w:t>
      </w:r>
      <w:r w:rsidR="003F06EF">
        <w:rPr>
          <w:rFonts w:ascii="Verdana" w:hAnsi="Verdana"/>
          <w:b/>
        </w:rPr>
        <w:t xml:space="preserve">and consider specific needs </w:t>
      </w:r>
      <w:r w:rsidRPr="001361D5">
        <w:rPr>
          <w:rFonts w:ascii="Verdana" w:hAnsi="Verdana"/>
          <w:b/>
        </w:rPr>
        <w:t>are available.</w:t>
      </w:r>
      <w:r w:rsidR="000D3990">
        <w:rPr>
          <w:rFonts w:ascii="Verdana" w:hAnsi="Verdana"/>
          <w:b/>
        </w:rPr>
        <w:t xml:space="preserve"> </w:t>
      </w:r>
      <w:r w:rsidR="000D3990" w:rsidRPr="000D3990">
        <w:rPr>
          <w:rFonts w:ascii="Verdana" w:hAnsi="Verdana"/>
          <w:b/>
        </w:rPr>
        <w:t xml:space="preserve">This includes ensuring that </w:t>
      </w:r>
      <w:r w:rsidR="000D3990" w:rsidRPr="000D3990">
        <w:rPr>
          <w:rFonts w:ascii="Verdana" w:eastAsia="Calibri" w:hAnsi="Verdana" w:cs="Times New Roman"/>
          <w:b/>
          <w:bCs/>
          <w:szCs w:val="20"/>
        </w:rPr>
        <w:t>hotels are not used as contingency accommodation for people seeking asylum in NI.</w:t>
      </w:r>
    </w:p>
    <w:p w14:paraId="6C8E7742" w14:textId="77777777" w:rsidR="001361D5" w:rsidRDefault="001361D5" w:rsidP="001361D5">
      <w:pPr>
        <w:pStyle w:val="ListParagraph"/>
        <w:rPr>
          <w:rFonts w:ascii="Verdana" w:hAnsi="Verdana"/>
          <w:b/>
        </w:rPr>
      </w:pPr>
    </w:p>
    <w:p w14:paraId="14FAC7EA" w14:textId="74922059" w:rsidR="003C4584" w:rsidRPr="003C4584" w:rsidRDefault="001361D5" w:rsidP="00820392">
      <w:pPr>
        <w:pStyle w:val="BasicParagraph"/>
        <w:numPr>
          <w:ilvl w:val="1"/>
          <w:numId w:val="23"/>
        </w:numPr>
        <w:suppressAutoHyphens/>
        <w:ind w:left="709"/>
        <w:rPr>
          <w:rFonts w:ascii="Verdana" w:hAnsi="Verdana" w:cs="Arial"/>
          <w:b/>
          <w:color w:val="77328A"/>
          <w:sz w:val="30"/>
          <w:szCs w:val="30"/>
        </w:rPr>
      </w:pPr>
      <w:r w:rsidRPr="001361D5">
        <w:rPr>
          <w:rFonts w:ascii="Verdana" w:hAnsi="Verdana"/>
          <w:b/>
        </w:rPr>
        <w:t>The NIHRC recommends that</w:t>
      </w:r>
      <w:r w:rsidR="00266CF6">
        <w:rPr>
          <w:rFonts w:ascii="Verdana" w:hAnsi="Verdana"/>
          <w:b/>
        </w:rPr>
        <w:t>,</w:t>
      </w:r>
      <w:r w:rsidRPr="001361D5">
        <w:rPr>
          <w:rFonts w:ascii="Verdana" w:hAnsi="Verdana"/>
          <w:b/>
        </w:rPr>
        <w:t xml:space="preserve"> </w:t>
      </w:r>
      <w:r w:rsidR="00211EF8">
        <w:rPr>
          <w:rFonts w:ascii="Verdana" w:hAnsi="Verdana"/>
          <w:b/>
        </w:rPr>
        <w:t>in line with international obligations and Protocol Article 2</w:t>
      </w:r>
      <w:r w:rsidR="00266CF6">
        <w:rPr>
          <w:rFonts w:ascii="Verdana" w:hAnsi="Verdana"/>
          <w:b/>
        </w:rPr>
        <w:t>,</w:t>
      </w:r>
      <w:r w:rsidR="00211EF8">
        <w:rPr>
          <w:rFonts w:ascii="Verdana" w:hAnsi="Verdana"/>
          <w:b/>
        </w:rPr>
        <w:t xml:space="preserve"> </w:t>
      </w:r>
      <w:r w:rsidRPr="001361D5">
        <w:rPr>
          <w:rFonts w:ascii="Verdana" w:hAnsi="Verdana"/>
          <w:b/>
        </w:rPr>
        <w:t>the Home Office promptly takes effective steps to ensure that women immigration detainees are safe and have the option of gender-specific communal areas and take</w:t>
      </w:r>
      <w:r w:rsidRPr="001361D5">
        <w:rPr>
          <w:rFonts w:ascii="Verdana" w:eastAsia="Verdana" w:hAnsi="Verdana" w:cs="Verdana"/>
          <w:b/>
          <w:lang w:eastAsia="en-GB"/>
        </w:rPr>
        <w:t xml:space="preserve"> immediate steps to end detention of pregnant women and nursing mothers in NI.</w:t>
      </w:r>
    </w:p>
    <w:p w14:paraId="2B9E9E8B" w14:textId="77777777" w:rsidR="003C4584" w:rsidRDefault="003C4584" w:rsidP="003C4584">
      <w:pPr>
        <w:pStyle w:val="ListParagraph"/>
        <w:rPr>
          <w:rFonts w:ascii="Verdana" w:hAnsi="Verdana" w:cs="Arial"/>
          <w:b/>
          <w:color w:val="77328A"/>
          <w:sz w:val="30"/>
          <w:szCs w:val="30"/>
        </w:rPr>
      </w:pPr>
    </w:p>
    <w:p w14:paraId="7CDF0B14" w14:textId="77777777" w:rsidR="003C4584" w:rsidRDefault="003C4584" w:rsidP="003C4584">
      <w:pPr>
        <w:pStyle w:val="BasicParagraph"/>
        <w:suppressAutoHyphens/>
        <w:rPr>
          <w:rFonts w:ascii="Verdana" w:hAnsi="Verdana" w:cs="Arial"/>
          <w:i/>
          <w:color w:val="auto"/>
        </w:rPr>
      </w:pPr>
      <w:r>
        <w:rPr>
          <w:rFonts w:ascii="Verdana" w:hAnsi="Verdana" w:cs="Arial"/>
          <w:i/>
          <w:color w:val="auto"/>
        </w:rPr>
        <w:t>Electronic Tagging</w:t>
      </w:r>
    </w:p>
    <w:p w14:paraId="069094FA" w14:textId="77777777" w:rsidR="003C4584" w:rsidRDefault="003C4584" w:rsidP="003C4584">
      <w:pPr>
        <w:pStyle w:val="ListParagraph"/>
        <w:rPr>
          <w:rFonts w:ascii="Verdana" w:hAnsi="Verdana" w:cs="Arial"/>
        </w:rPr>
      </w:pPr>
    </w:p>
    <w:p w14:paraId="7E977696" w14:textId="49D3EA69" w:rsidR="0084622F" w:rsidRPr="003C4584" w:rsidRDefault="006C33D7" w:rsidP="00820392">
      <w:pPr>
        <w:pStyle w:val="BasicParagraph"/>
        <w:numPr>
          <w:ilvl w:val="1"/>
          <w:numId w:val="23"/>
        </w:numPr>
        <w:suppressAutoHyphens/>
        <w:ind w:left="709"/>
        <w:rPr>
          <w:rFonts w:ascii="Verdana" w:hAnsi="Verdana" w:cs="Arial"/>
          <w:b/>
          <w:color w:val="77328A"/>
          <w:sz w:val="30"/>
          <w:szCs w:val="30"/>
        </w:rPr>
      </w:pPr>
      <w:r w:rsidRPr="003C4584">
        <w:rPr>
          <w:rFonts w:ascii="Verdana" w:hAnsi="Verdana" w:cs="Arial"/>
          <w:color w:val="auto"/>
        </w:rPr>
        <w:t>T</w:t>
      </w:r>
      <w:r w:rsidR="00514FF5" w:rsidRPr="003C4584">
        <w:rPr>
          <w:rFonts w:ascii="Verdana" w:hAnsi="Verdana" w:cs="Arial"/>
          <w:color w:val="auto"/>
        </w:rPr>
        <w:t xml:space="preserve">he </w:t>
      </w:r>
      <w:r w:rsidRPr="003C4584">
        <w:rPr>
          <w:rFonts w:ascii="Verdana" w:hAnsi="Verdana" w:cs="Arial"/>
          <w:color w:val="auto"/>
        </w:rPr>
        <w:t xml:space="preserve">electronic tagging of people on immigration bail </w:t>
      </w:r>
      <w:r w:rsidR="00717FDE">
        <w:rPr>
          <w:rFonts w:ascii="Verdana" w:hAnsi="Verdana" w:cs="Arial"/>
          <w:color w:val="auto"/>
        </w:rPr>
        <w:t xml:space="preserve">subject to deportation was extended </w:t>
      </w:r>
      <w:r w:rsidR="00514FF5" w:rsidRPr="003C4584">
        <w:rPr>
          <w:rFonts w:ascii="Verdana" w:hAnsi="Verdana" w:cs="Arial"/>
          <w:color w:val="auto"/>
        </w:rPr>
        <w:t xml:space="preserve">to NI </w:t>
      </w:r>
      <w:r w:rsidR="00717FDE">
        <w:rPr>
          <w:rFonts w:ascii="Verdana" w:hAnsi="Verdana" w:cs="Arial"/>
          <w:color w:val="auto"/>
        </w:rPr>
        <w:t>on 5</w:t>
      </w:r>
      <w:r w:rsidR="00717FDE" w:rsidRPr="00214A30">
        <w:rPr>
          <w:rFonts w:ascii="Verdana" w:hAnsi="Verdana" w:cs="Arial"/>
          <w:color w:val="auto"/>
          <w:vertAlign w:val="superscript"/>
        </w:rPr>
        <w:t>th</w:t>
      </w:r>
      <w:r w:rsidR="00717FDE">
        <w:rPr>
          <w:rFonts w:ascii="Verdana" w:hAnsi="Verdana" w:cs="Arial"/>
          <w:color w:val="auto"/>
        </w:rPr>
        <w:t xml:space="preserve"> December </w:t>
      </w:r>
      <w:r w:rsidR="00514FF5" w:rsidRPr="003C4584">
        <w:rPr>
          <w:rFonts w:ascii="Verdana" w:hAnsi="Verdana" w:cs="Arial"/>
          <w:color w:val="auto"/>
        </w:rPr>
        <w:t>2022.</w:t>
      </w:r>
      <w:r w:rsidR="00717FDE">
        <w:rPr>
          <w:rStyle w:val="FootnoteReference"/>
          <w:rFonts w:ascii="Verdana" w:hAnsi="Verdana" w:cs="Arial"/>
          <w:color w:val="auto"/>
        </w:rPr>
        <w:footnoteReference w:id="24"/>
      </w:r>
      <w:r w:rsidR="00514FF5" w:rsidRPr="003C4584">
        <w:rPr>
          <w:rFonts w:ascii="Verdana" w:hAnsi="Verdana" w:cs="Arial"/>
          <w:color w:val="auto"/>
        </w:rPr>
        <w:t xml:space="preserve"> </w:t>
      </w:r>
      <w:r w:rsidR="00EA6D72" w:rsidRPr="003C4584">
        <w:rPr>
          <w:rFonts w:ascii="Verdana" w:hAnsi="Verdana" w:cs="Arial"/>
          <w:color w:val="auto"/>
        </w:rPr>
        <w:t xml:space="preserve"> </w:t>
      </w:r>
      <w:r w:rsidR="00B84E75" w:rsidRPr="003C4584">
        <w:rPr>
          <w:rFonts w:ascii="Verdana" w:hAnsi="Verdana" w:cs="Arial"/>
          <w:color w:val="auto"/>
        </w:rPr>
        <w:t>Under current</w:t>
      </w:r>
      <w:r w:rsidR="00EA6D72" w:rsidRPr="003C4584">
        <w:rPr>
          <w:rFonts w:ascii="Verdana" w:hAnsi="Verdana" w:cs="Arial"/>
          <w:color w:val="auto"/>
        </w:rPr>
        <w:t xml:space="preserve"> guidance</w:t>
      </w:r>
      <w:r w:rsidR="00B84E75" w:rsidRPr="003C4584">
        <w:rPr>
          <w:rFonts w:ascii="Verdana" w:hAnsi="Verdana" w:cs="Arial"/>
          <w:color w:val="auto"/>
        </w:rPr>
        <w:t>,</w:t>
      </w:r>
      <w:r w:rsidR="00EA6D72" w:rsidRPr="003C4584">
        <w:rPr>
          <w:rFonts w:ascii="Verdana" w:hAnsi="Verdana" w:cs="Arial"/>
          <w:color w:val="auto"/>
        </w:rPr>
        <w:t xml:space="preserve"> electronic tags may not be applied to a child under 18, a person released from detention under Sections 77 or 41 of the Mental Health Act 1983 or a pregnant person (18 weeks+) or</w:t>
      </w:r>
      <w:r w:rsidR="003C6568" w:rsidRPr="003C4584">
        <w:rPr>
          <w:rFonts w:ascii="Verdana" w:hAnsi="Verdana" w:cs="Arial"/>
          <w:color w:val="auto"/>
        </w:rPr>
        <w:t xml:space="preserve"> a person who</w:t>
      </w:r>
      <w:r w:rsidR="00EA6D72" w:rsidRPr="003C4584">
        <w:rPr>
          <w:rFonts w:ascii="Verdana" w:hAnsi="Verdana" w:cs="Arial"/>
          <w:color w:val="auto"/>
        </w:rPr>
        <w:t xml:space="preserve"> has recently given birth (up to 3 months prior).</w:t>
      </w:r>
      <w:r w:rsidR="00EA6D72">
        <w:rPr>
          <w:rStyle w:val="FootnoteReference"/>
          <w:rFonts w:ascii="Verdana" w:hAnsi="Verdana" w:cs="Arial"/>
          <w:color w:val="auto"/>
        </w:rPr>
        <w:footnoteReference w:id="25"/>
      </w:r>
      <w:r w:rsidR="00EA6D72" w:rsidRPr="003C4584">
        <w:rPr>
          <w:rFonts w:ascii="Verdana" w:hAnsi="Verdana" w:cs="Arial"/>
          <w:color w:val="auto"/>
        </w:rPr>
        <w:t xml:space="preserve"> </w:t>
      </w:r>
    </w:p>
    <w:p w14:paraId="2133E0B5" w14:textId="77777777" w:rsidR="0084622F" w:rsidRPr="0093128A" w:rsidRDefault="0084622F" w:rsidP="0084622F">
      <w:pPr>
        <w:pStyle w:val="BasicParagraph"/>
        <w:suppressAutoHyphens/>
        <w:ind w:left="709"/>
        <w:rPr>
          <w:rFonts w:ascii="Verdana" w:hAnsi="Verdana" w:cs="Arial"/>
          <w:color w:val="auto"/>
        </w:rPr>
      </w:pPr>
    </w:p>
    <w:p w14:paraId="3FC01460" w14:textId="67F84163" w:rsidR="00EA6D72" w:rsidRPr="00A86360" w:rsidRDefault="006F4FBB" w:rsidP="00820392">
      <w:pPr>
        <w:pStyle w:val="BasicParagraph"/>
        <w:numPr>
          <w:ilvl w:val="1"/>
          <w:numId w:val="23"/>
        </w:numPr>
        <w:suppressAutoHyphens/>
        <w:ind w:left="709"/>
        <w:rPr>
          <w:rFonts w:ascii="Verdana" w:hAnsi="Verdana" w:cs="Arial"/>
          <w:b/>
          <w:bCs/>
          <w:color w:val="77328A"/>
          <w:sz w:val="30"/>
          <w:szCs w:val="30"/>
        </w:rPr>
      </w:pPr>
      <w:r>
        <w:rPr>
          <w:rFonts w:ascii="Verdana" w:hAnsi="Verdana" w:cs="Arial"/>
          <w:color w:val="auto"/>
        </w:rPr>
        <w:t>GPS electronic tagging</w:t>
      </w:r>
      <w:r w:rsidR="002F0CAB">
        <w:rPr>
          <w:rFonts w:ascii="Verdana" w:hAnsi="Verdana" w:cs="Arial"/>
          <w:color w:val="auto"/>
        </w:rPr>
        <w:t xml:space="preserve">, particularly </w:t>
      </w:r>
      <w:r w:rsidR="00C53E07">
        <w:rPr>
          <w:rFonts w:ascii="Verdana" w:hAnsi="Verdana" w:cs="Arial"/>
          <w:color w:val="auto"/>
        </w:rPr>
        <w:t xml:space="preserve">of </w:t>
      </w:r>
      <w:r w:rsidR="002F0CAB">
        <w:rPr>
          <w:rFonts w:ascii="Verdana" w:hAnsi="Verdana" w:cs="Arial"/>
          <w:color w:val="auto"/>
        </w:rPr>
        <w:t>people seeking asylum who</w:t>
      </w:r>
      <w:r w:rsidR="00253575">
        <w:rPr>
          <w:rFonts w:ascii="Verdana" w:hAnsi="Verdana" w:cs="Arial"/>
          <w:color w:val="auto"/>
        </w:rPr>
        <w:t xml:space="preserve"> </w:t>
      </w:r>
      <w:r w:rsidR="5F32D66B" w:rsidRPr="2463788A">
        <w:rPr>
          <w:rFonts w:ascii="Verdana" w:hAnsi="Verdana" w:cs="Arial"/>
          <w:color w:val="auto"/>
        </w:rPr>
        <w:t>are not</w:t>
      </w:r>
      <w:r w:rsidR="25F353B8" w:rsidRPr="2463788A">
        <w:rPr>
          <w:rFonts w:ascii="Verdana" w:hAnsi="Verdana" w:cs="Arial"/>
          <w:color w:val="auto"/>
        </w:rPr>
        <w:t xml:space="preserve"> at risk of absconding</w:t>
      </w:r>
      <w:r w:rsidR="00253575">
        <w:rPr>
          <w:rFonts w:ascii="Verdana" w:hAnsi="Verdana" w:cs="Arial"/>
          <w:color w:val="auto"/>
        </w:rPr>
        <w:t>,</w:t>
      </w:r>
      <w:r>
        <w:rPr>
          <w:rFonts w:ascii="Verdana" w:hAnsi="Verdana" w:cs="Arial"/>
          <w:color w:val="auto"/>
        </w:rPr>
        <w:t xml:space="preserve"> </w:t>
      </w:r>
      <w:r w:rsidR="00450EA1">
        <w:rPr>
          <w:rFonts w:ascii="Verdana" w:hAnsi="Verdana" w:cs="Arial"/>
          <w:color w:val="auto"/>
        </w:rPr>
        <w:t xml:space="preserve">is </w:t>
      </w:r>
      <w:r w:rsidR="00253575">
        <w:rPr>
          <w:rFonts w:ascii="Verdana" w:hAnsi="Verdana" w:cs="Arial"/>
          <w:color w:val="auto"/>
        </w:rPr>
        <w:t>likely</w:t>
      </w:r>
      <w:r w:rsidR="00450EA1">
        <w:rPr>
          <w:rFonts w:ascii="Verdana" w:hAnsi="Verdana" w:cs="Arial"/>
          <w:color w:val="auto"/>
        </w:rPr>
        <w:t xml:space="preserve"> </w:t>
      </w:r>
      <w:r w:rsidR="00C53E07">
        <w:rPr>
          <w:rFonts w:ascii="Verdana" w:hAnsi="Verdana" w:cs="Arial"/>
          <w:color w:val="auto"/>
        </w:rPr>
        <w:t>to</w:t>
      </w:r>
      <w:r w:rsidR="00450EA1">
        <w:rPr>
          <w:rFonts w:ascii="Verdana" w:hAnsi="Verdana" w:cs="Arial"/>
          <w:color w:val="auto"/>
        </w:rPr>
        <w:t xml:space="preserve"> disproportionate</w:t>
      </w:r>
      <w:r w:rsidR="00C53E07">
        <w:rPr>
          <w:rFonts w:ascii="Verdana" w:hAnsi="Verdana" w:cs="Arial"/>
          <w:color w:val="auto"/>
        </w:rPr>
        <w:t>ly</w:t>
      </w:r>
      <w:r w:rsidR="00450EA1">
        <w:rPr>
          <w:rFonts w:ascii="Verdana" w:hAnsi="Verdana" w:cs="Arial"/>
          <w:color w:val="auto"/>
        </w:rPr>
        <w:t xml:space="preserve"> interfer</w:t>
      </w:r>
      <w:r w:rsidR="00C53E07">
        <w:rPr>
          <w:rFonts w:ascii="Verdana" w:hAnsi="Verdana" w:cs="Arial"/>
          <w:color w:val="auto"/>
        </w:rPr>
        <w:t>e</w:t>
      </w:r>
      <w:r w:rsidR="00450EA1">
        <w:rPr>
          <w:rFonts w:ascii="Verdana" w:hAnsi="Verdana" w:cs="Arial"/>
          <w:color w:val="auto"/>
        </w:rPr>
        <w:t xml:space="preserve"> with</w:t>
      </w:r>
      <w:r w:rsidR="00DE7D9B">
        <w:rPr>
          <w:rFonts w:ascii="Verdana" w:hAnsi="Verdana" w:cs="Arial"/>
          <w:color w:val="auto"/>
        </w:rPr>
        <w:t xml:space="preserve"> Article 8 </w:t>
      </w:r>
      <w:r w:rsidR="00DE7D9B">
        <w:rPr>
          <w:rFonts w:ascii="Verdana" w:hAnsi="Verdana" w:cs="Arial"/>
          <w:color w:val="auto"/>
        </w:rPr>
        <w:lastRenderedPageBreak/>
        <w:t>ECHR</w:t>
      </w:r>
      <w:r w:rsidR="00450EA1">
        <w:rPr>
          <w:rFonts w:ascii="Verdana" w:hAnsi="Verdana" w:cs="Arial"/>
          <w:color w:val="auto"/>
        </w:rPr>
        <w:t xml:space="preserve"> (right to private and family life)</w:t>
      </w:r>
      <w:r w:rsidRPr="00DE7D9B">
        <w:rPr>
          <w:rFonts w:ascii="Verdana" w:hAnsi="Verdana"/>
        </w:rPr>
        <w:t>.</w:t>
      </w:r>
      <w:r w:rsidRPr="00DE7D9B">
        <w:rPr>
          <w:rStyle w:val="FootnoteReference"/>
          <w:rFonts w:ascii="Verdana" w:hAnsi="Verdana"/>
        </w:rPr>
        <w:footnoteReference w:id="26"/>
      </w:r>
      <w:r w:rsidR="00DE7D9B">
        <w:rPr>
          <w:rFonts w:ascii="Verdana" w:hAnsi="Verdana"/>
        </w:rPr>
        <w:t xml:space="preserve"> While State</w:t>
      </w:r>
      <w:r w:rsidR="00174C60" w:rsidRPr="43635478">
        <w:rPr>
          <w:rFonts w:ascii="Verdana" w:hAnsi="Verdana"/>
        </w:rPr>
        <w:t>s</w:t>
      </w:r>
      <w:r w:rsidR="00DE7D9B">
        <w:rPr>
          <w:rFonts w:ascii="Verdana" w:hAnsi="Verdana"/>
        </w:rPr>
        <w:t xml:space="preserve"> ha</w:t>
      </w:r>
      <w:r w:rsidR="00174C60" w:rsidRPr="43635478">
        <w:rPr>
          <w:rFonts w:ascii="Verdana" w:hAnsi="Verdana"/>
        </w:rPr>
        <w:t>ve</w:t>
      </w:r>
      <w:r w:rsidR="00DE7D9B">
        <w:rPr>
          <w:rFonts w:ascii="Verdana" w:hAnsi="Verdana"/>
        </w:rPr>
        <w:t xml:space="preserve"> certain discretion to limit Article 8 ECHR,</w:t>
      </w:r>
      <w:r w:rsidR="00174C60" w:rsidRPr="43635478">
        <w:rPr>
          <w:rStyle w:val="FootnoteReference"/>
          <w:rFonts w:ascii="Verdana" w:hAnsi="Verdana"/>
        </w:rPr>
        <w:t xml:space="preserve"> </w:t>
      </w:r>
      <w:r w:rsidR="00174C60">
        <w:rPr>
          <w:rStyle w:val="FootnoteReference"/>
          <w:rFonts w:ascii="Verdana" w:hAnsi="Verdana"/>
        </w:rPr>
        <w:footnoteReference w:id="27"/>
      </w:r>
      <w:r w:rsidR="00DE7D9B">
        <w:rPr>
          <w:rFonts w:ascii="Verdana" w:hAnsi="Verdana"/>
        </w:rPr>
        <w:t xml:space="preserve"> any interference </w:t>
      </w:r>
      <w:r w:rsidR="00C81502" w:rsidRPr="43635478">
        <w:rPr>
          <w:rFonts w:ascii="Verdana" w:hAnsi="Verdana"/>
        </w:rPr>
        <w:t>on the basis of</w:t>
      </w:r>
      <w:r w:rsidR="00994083" w:rsidRPr="43635478">
        <w:rPr>
          <w:rFonts w:ascii="Verdana" w:hAnsi="Verdana"/>
        </w:rPr>
        <w:t xml:space="preserve">, for example </w:t>
      </w:r>
      <w:r w:rsidR="00C81502" w:rsidRPr="43635478">
        <w:rPr>
          <w:rFonts w:ascii="Verdana" w:hAnsi="Verdana"/>
        </w:rPr>
        <w:t xml:space="preserve">national security </w:t>
      </w:r>
      <w:r w:rsidR="005854E2" w:rsidRPr="43635478">
        <w:rPr>
          <w:rFonts w:ascii="Verdana" w:hAnsi="Verdana"/>
        </w:rPr>
        <w:t>or public safety</w:t>
      </w:r>
      <w:r w:rsidR="00994083" w:rsidRPr="43635478">
        <w:rPr>
          <w:rFonts w:ascii="Verdana" w:hAnsi="Verdana"/>
        </w:rPr>
        <w:t xml:space="preserve">, </w:t>
      </w:r>
      <w:r w:rsidR="00DE7D9B">
        <w:rPr>
          <w:rFonts w:ascii="Verdana" w:hAnsi="Verdana"/>
        </w:rPr>
        <w:t>must be necessary and proportionate.</w:t>
      </w:r>
      <w:r w:rsidR="00DE7D9B">
        <w:rPr>
          <w:rStyle w:val="FootnoteReference"/>
          <w:rFonts w:ascii="Verdana" w:hAnsi="Verdana"/>
        </w:rPr>
        <w:footnoteReference w:id="28"/>
      </w:r>
      <w:r w:rsidR="00DE7D9B">
        <w:rPr>
          <w:rFonts w:ascii="Verdana" w:hAnsi="Verdana"/>
        </w:rPr>
        <w:t xml:space="preserve"> </w:t>
      </w:r>
      <w:r w:rsidR="0044647C" w:rsidRPr="43635478">
        <w:rPr>
          <w:rFonts w:ascii="Verdana" w:hAnsi="Verdana"/>
        </w:rPr>
        <w:t>This requires consideration of</w:t>
      </w:r>
      <w:r w:rsidR="00C32489" w:rsidRPr="43635478">
        <w:rPr>
          <w:rFonts w:ascii="Verdana" w:hAnsi="Verdana"/>
        </w:rPr>
        <w:t xml:space="preserve"> the surrounding circumstances of each proposed tagging, including </w:t>
      </w:r>
      <w:r w:rsidR="00D96136" w:rsidRPr="43635478">
        <w:rPr>
          <w:rFonts w:ascii="Verdana" w:hAnsi="Verdana"/>
        </w:rPr>
        <w:t>the extent of the threat (if any) that</w:t>
      </w:r>
      <w:r w:rsidR="003C405E" w:rsidRPr="43635478">
        <w:rPr>
          <w:rFonts w:ascii="Verdana" w:hAnsi="Verdana"/>
        </w:rPr>
        <w:t xml:space="preserve"> </w:t>
      </w:r>
      <w:r w:rsidR="001E1817" w:rsidRPr="43635478">
        <w:rPr>
          <w:rFonts w:ascii="Verdana" w:hAnsi="Verdana"/>
        </w:rPr>
        <w:t xml:space="preserve">the </w:t>
      </w:r>
      <w:r w:rsidR="003C405E" w:rsidRPr="43635478">
        <w:rPr>
          <w:rFonts w:ascii="Verdana" w:hAnsi="Verdana"/>
        </w:rPr>
        <w:t>specific individual poses.</w:t>
      </w:r>
      <w:r w:rsidR="0044647C" w:rsidRPr="43635478">
        <w:rPr>
          <w:rFonts w:ascii="Verdana" w:hAnsi="Verdana"/>
        </w:rPr>
        <w:t xml:space="preserve"> </w:t>
      </w:r>
    </w:p>
    <w:p w14:paraId="2B54A14B" w14:textId="77777777" w:rsidR="00A86360" w:rsidRPr="00DE7D9B" w:rsidRDefault="00A86360" w:rsidP="00A86360">
      <w:pPr>
        <w:pStyle w:val="BasicParagraph"/>
        <w:suppressAutoHyphens/>
        <w:ind w:left="709" w:hanging="851"/>
        <w:rPr>
          <w:rFonts w:ascii="Verdana" w:hAnsi="Verdana" w:cs="Arial"/>
          <w:b/>
          <w:bCs/>
          <w:color w:val="77328A"/>
          <w:sz w:val="30"/>
          <w:szCs w:val="30"/>
        </w:rPr>
      </w:pPr>
    </w:p>
    <w:p w14:paraId="48073876" w14:textId="1F147415" w:rsidR="00DE7D9B" w:rsidRPr="00142244" w:rsidRDefault="00F65740" w:rsidP="00820392">
      <w:pPr>
        <w:pStyle w:val="BasicParagraph"/>
        <w:numPr>
          <w:ilvl w:val="1"/>
          <w:numId w:val="23"/>
        </w:numPr>
        <w:suppressAutoHyphens/>
        <w:ind w:left="709"/>
        <w:rPr>
          <w:rFonts w:ascii="Verdana" w:hAnsi="Verdana" w:cs="Arial"/>
          <w:b/>
          <w:color w:val="77328A"/>
          <w:sz w:val="30"/>
          <w:szCs w:val="30"/>
        </w:rPr>
      </w:pPr>
      <w:r>
        <w:rPr>
          <w:rFonts w:ascii="Verdana" w:hAnsi="Verdana" w:cs="Arial"/>
          <w:color w:val="auto"/>
        </w:rPr>
        <w:t xml:space="preserve">Electronic tagging </w:t>
      </w:r>
      <w:r w:rsidR="00A712AE">
        <w:rPr>
          <w:rFonts w:ascii="Verdana" w:hAnsi="Verdana" w:cs="Arial"/>
          <w:color w:val="auto"/>
        </w:rPr>
        <w:t>can cause</w:t>
      </w:r>
      <w:r w:rsidR="00DE7D9B">
        <w:rPr>
          <w:rFonts w:ascii="Verdana" w:hAnsi="Verdana" w:cs="Arial"/>
          <w:color w:val="auto"/>
        </w:rPr>
        <w:t xml:space="preserve"> perceived or increased stigmatisation and isolation, a negative impact on how parents are able to care for their children, a detrimental impact on mental health and an exacerbation of psychological illness or the impeding of recovery of already marginalised people who have experienced trauma.</w:t>
      </w:r>
      <w:r w:rsidR="00DE7D9B">
        <w:rPr>
          <w:rStyle w:val="FootnoteReference"/>
          <w:rFonts w:ascii="Verdana" w:hAnsi="Verdana" w:cs="Arial"/>
          <w:color w:val="auto"/>
        </w:rPr>
        <w:footnoteReference w:id="29"/>
      </w:r>
    </w:p>
    <w:p w14:paraId="580DEABF" w14:textId="77777777" w:rsidR="00142244" w:rsidRDefault="00142244" w:rsidP="00142244">
      <w:pPr>
        <w:pStyle w:val="ListParagraph"/>
        <w:rPr>
          <w:rFonts w:ascii="Verdana" w:hAnsi="Verdana" w:cs="Arial"/>
          <w:b/>
          <w:color w:val="77328A"/>
          <w:sz w:val="30"/>
          <w:szCs w:val="30"/>
        </w:rPr>
      </w:pPr>
    </w:p>
    <w:p w14:paraId="28F38019" w14:textId="153D2ABE" w:rsidR="00DE7D9B" w:rsidRPr="00142244" w:rsidRDefault="00074702" w:rsidP="00820392">
      <w:pPr>
        <w:pStyle w:val="BasicParagraph"/>
        <w:numPr>
          <w:ilvl w:val="1"/>
          <w:numId w:val="23"/>
        </w:numPr>
        <w:suppressAutoHyphens/>
        <w:ind w:left="709"/>
        <w:rPr>
          <w:rFonts w:ascii="Verdana" w:hAnsi="Verdana" w:cs="Arial"/>
          <w:b/>
          <w:color w:val="77328A"/>
          <w:sz w:val="30"/>
          <w:szCs w:val="30"/>
        </w:rPr>
      </w:pPr>
      <w:r>
        <w:rPr>
          <w:rFonts w:ascii="Verdana" w:hAnsi="Verdana" w:cs="Arial"/>
          <w:color w:val="auto"/>
        </w:rPr>
        <w:t>Specific concerns for NI include</w:t>
      </w:r>
      <w:r w:rsidR="00142244" w:rsidRPr="00142244">
        <w:rPr>
          <w:rFonts w:ascii="Verdana" w:hAnsi="Verdana" w:cs="Arial"/>
          <w:color w:val="auto"/>
        </w:rPr>
        <w:t xml:space="preserve"> the presence of an open land border with Ireland</w:t>
      </w:r>
      <w:r>
        <w:rPr>
          <w:rFonts w:ascii="Verdana" w:hAnsi="Verdana" w:cs="Arial"/>
          <w:color w:val="auto"/>
        </w:rPr>
        <w:t>,</w:t>
      </w:r>
      <w:r w:rsidR="00142244" w:rsidRPr="00142244">
        <w:rPr>
          <w:rFonts w:ascii="Verdana" w:hAnsi="Verdana" w:cs="Arial"/>
          <w:color w:val="auto"/>
        </w:rPr>
        <w:t xml:space="preserve"> which can be crossed without a person’s knowledge, especially a person seeking asylum who might not understand the </w:t>
      </w:r>
      <w:r w:rsidR="005E5194">
        <w:rPr>
          <w:rFonts w:ascii="Verdana" w:hAnsi="Verdana" w:cs="Arial"/>
          <w:color w:val="auto"/>
        </w:rPr>
        <w:t xml:space="preserve">geographical and </w:t>
      </w:r>
      <w:r w:rsidR="00142244">
        <w:rPr>
          <w:rFonts w:ascii="Verdana" w:hAnsi="Verdana" w:cs="Arial"/>
          <w:color w:val="auto"/>
        </w:rPr>
        <w:t xml:space="preserve">political context of </w:t>
      </w:r>
      <w:r>
        <w:rPr>
          <w:rFonts w:ascii="Verdana" w:hAnsi="Verdana" w:cs="Arial"/>
          <w:color w:val="auto"/>
        </w:rPr>
        <w:t>NI</w:t>
      </w:r>
      <w:r w:rsidR="00142244">
        <w:rPr>
          <w:rFonts w:ascii="Verdana" w:hAnsi="Verdana" w:cs="Arial"/>
          <w:color w:val="auto"/>
        </w:rPr>
        <w:t>.</w:t>
      </w:r>
      <w:r w:rsidR="005E5194">
        <w:rPr>
          <w:rFonts w:ascii="Verdana" w:hAnsi="Verdana" w:cs="Arial"/>
          <w:color w:val="auto"/>
        </w:rPr>
        <w:t xml:space="preserve"> </w:t>
      </w:r>
      <w:r w:rsidR="0041789B">
        <w:rPr>
          <w:rFonts w:ascii="Verdana" w:hAnsi="Verdana" w:cs="Arial"/>
          <w:color w:val="auto"/>
        </w:rPr>
        <w:t>With the increased</w:t>
      </w:r>
      <w:r w:rsidR="005E5194">
        <w:rPr>
          <w:rFonts w:ascii="Verdana" w:hAnsi="Verdana" w:cs="Arial"/>
          <w:color w:val="auto"/>
        </w:rPr>
        <w:t xml:space="preserve"> risk of people seeking asylum being trafficked</w:t>
      </w:r>
      <w:r w:rsidR="0041789B">
        <w:rPr>
          <w:rFonts w:ascii="Verdana" w:hAnsi="Verdana" w:cs="Arial"/>
          <w:color w:val="auto"/>
        </w:rPr>
        <w:t xml:space="preserve">, there is also </w:t>
      </w:r>
      <w:r w:rsidR="005E5194">
        <w:rPr>
          <w:rFonts w:ascii="Verdana" w:hAnsi="Verdana" w:cs="Arial"/>
          <w:color w:val="auto"/>
        </w:rPr>
        <w:t>the potential for that trafficking to take place across the Ireland/</w:t>
      </w:r>
      <w:r w:rsidR="0041789B">
        <w:rPr>
          <w:rFonts w:ascii="Verdana" w:hAnsi="Verdana" w:cs="Arial"/>
          <w:color w:val="auto"/>
        </w:rPr>
        <w:t>NI</w:t>
      </w:r>
      <w:r w:rsidR="005E5194">
        <w:rPr>
          <w:rFonts w:ascii="Verdana" w:hAnsi="Verdana" w:cs="Arial"/>
          <w:color w:val="auto"/>
        </w:rPr>
        <w:t xml:space="preserve"> border, increasing the likelihood of criminalisation of the individual.</w:t>
      </w:r>
    </w:p>
    <w:p w14:paraId="20860957" w14:textId="77777777" w:rsidR="00142244" w:rsidRDefault="00142244" w:rsidP="00142244">
      <w:pPr>
        <w:pStyle w:val="ListParagraph"/>
        <w:rPr>
          <w:rFonts w:ascii="Verdana" w:hAnsi="Verdana" w:cs="Arial"/>
          <w:b/>
          <w:color w:val="77328A"/>
          <w:sz w:val="30"/>
          <w:szCs w:val="30"/>
        </w:rPr>
      </w:pPr>
    </w:p>
    <w:p w14:paraId="5121024E" w14:textId="77777777" w:rsidR="00DE7D9B" w:rsidRPr="00142244" w:rsidRDefault="00DE7D9B" w:rsidP="00820392">
      <w:pPr>
        <w:pStyle w:val="BasicParagraph"/>
        <w:numPr>
          <w:ilvl w:val="1"/>
          <w:numId w:val="23"/>
        </w:numPr>
        <w:suppressAutoHyphens/>
        <w:ind w:left="709"/>
        <w:rPr>
          <w:rFonts w:ascii="Verdana" w:hAnsi="Verdana" w:cs="Arial"/>
          <w:b/>
          <w:color w:val="77328A"/>
          <w:sz w:val="30"/>
          <w:szCs w:val="30"/>
        </w:rPr>
      </w:pPr>
      <w:r>
        <w:rPr>
          <w:rFonts w:ascii="Verdana" w:hAnsi="Verdana" w:cs="Arial"/>
          <w:b/>
          <w:color w:val="auto"/>
        </w:rPr>
        <w:t>The Commission recommend</w:t>
      </w:r>
      <w:r w:rsidR="00142244">
        <w:rPr>
          <w:rFonts w:ascii="Verdana" w:hAnsi="Verdana" w:cs="Arial"/>
          <w:b/>
          <w:color w:val="auto"/>
        </w:rPr>
        <w:t>s that the Home Office does not apply an electronic tag to any person who has not been charged with an offence.</w:t>
      </w:r>
    </w:p>
    <w:p w14:paraId="72A69E9E" w14:textId="77777777" w:rsidR="0093128A" w:rsidRDefault="0093128A" w:rsidP="0093128A">
      <w:pPr>
        <w:pStyle w:val="ListParagraph"/>
        <w:rPr>
          <w:rFonts w:ascii="Verdana" w:hAnsi="Verdana" w:cs="Arial"/>
          <w:b/>
          <w:color w:val="77328A"/>
          <w:sz w:val="30"/>
          <w:szCs w:val="30"/>
        </w:rPr>
      </w:pPr>
    </w:p>
    <w:p w14:paraId="7D1FFAF2" w14:textId="77777777" w:rsidR="001361D5" w:rsidRPr="001361D5" w:rsidRDefault="005B3287" w:rsidP="001361D5">
      <w:pPr>
        <w:rPr>
          <w:rFonts w:ascii="Verdana" w:hAnsi="Verdana"/>
          <w:i/>
        </w:rPr>
      </w:pPr>
      <w:r>
        <w:rPr>
          <w:rFonts w:ascii="Verdana" w:hAnsi="Verdana"/>
          <w:i/>
        </w:rPr>
        <w:t>A</w:t>
      </w:r>
      <w:r w:rsidR="001361D5" w:rsidRPr="001361D5">
        <w:rPr>
          <w:rFonts w:ascii="Verdana" w:hAnsi="Verdana"/>
          <w:i/>
        </w:rPr>
        <w:t>ccommodation and subsistence</w:t>
      </w:r>
    </w:p>
    <w:p w14:paraId="4EEB1751" w14:textId="77777777" w:rsidR="001361D5" w:rsidRDefault="001361D5" w:rsidP="001361D5">
      <w:pPr>
        <w:pStyle w:val="ListParagraph"/>
        <w:rPr>
          <w:rFonts w:ascii="Verdana" w:hAnsi="Verdana"/>
        </w:rPr>
      </w:pPr>
    </w:p>
    <w:p w14:paraId="2BEA4C94" w14:textId="6596B0C8" w:rsidR="00EF14BB" w:rsidRPr="009973BD" w:rsidRDefault="00CF2592" w:rsidP="00820392">
      <w:pPr>
        <w:pStyle w:val="BasicParagraph"/>
        <w:numPr>
          <w:ilvl w:val="1"/>
          <w:numId w:val="23"/>
        </w:numPr>
        <w:suppressAutoHyphens/>
        <w:ind w:left="709"/>
        <w:rPr>
          <w:rFonts w:ascii="Verdana" w:hAnsi="Verdana" w:cs="Arial"/>
          <w:b/>
          <w:color w:val="77328A"/>
          <w:sz w:val="30"/>
          <w:szCs w:val="30"/>
        </w:rPr>
      </w:pPr>
      <w:r>
        <w:rPr>
          <w:rFonts w:ascii="Verdana" w:hAnsi="Verdana"/>
        </w:rPr>
        <w:t>T</w:t>
      </w:r>
      <w:r w:rsidR="00EF14BB" w:rsidRPr="00EF14BB">
        <w:rPr>
          <w:rFonts w:ascii="Verdana" w:hAnsi="Verdana"/>
        </w:rPr>
        <w:t xml:space="preserve">he UN CRC Committee </w:t>
      </w:r>
      <w:r>
        <w:rPr>
          <w:rFonts w:ascii="Verdana" w:hAnsi="Verdana"/>
        </w:rPr>
        <w:t xml:space="preserve">has </w:t>
      </w:r>
      <w:r w:rsidR="00EF14BB" w:rsidRPr="00EF14BB">
        <w:rPr>
          <w:rFonts w:ascii="Verdana" w:hAnsi="Verdana"/>
        </w:rPr>
        <w:t xml:space="preserve">noted that “asylum-seeking, refugee and migrant children and their families </w:t>
      </w:r>
      <w:r w:rsidR="00EF14BB">
        <w:rPr>
          <w:rFonts w:ascii="Verdana" w:hAnsi="Verdana"/>
        </w:rPr>
        <w:t xml:space="preserve">in the UK </w:t>
      </w:r>
      <w:r w:rsidR="00EF14BB" w:rsidRPr="00EF14BB">
        <w:rPr>
          <w:rFonts w:ascii="Verdana" w:hAnsi="Verdana"/>
        </w:rPr>
        <w:t xml:space="preserve">face difficulty in accessing basic services, such as education and health care, and are at a high risk of destitution” </w:t>
      </w:r>
      <w:r w:rsidR="00EF14BB">
        <w:rPr>
          <w:rFonts w:ascii="Verdana" w:hAnsi="Verdana"/>
        </w:rPr>
        <w:t xml:space="preserve">and </w:t>
      </w:r>
      <w:r w:rsidR="00EF14BB" w:rsidRPr="00EF14BB">
        <w:rPr>
          <w:rFonts w:ascii="Verdana" w:hAnsi="Verdana"/>
        </w:rPr>
        <w:t>called for “sufficient support to… access basic services”.</w:t>
      </w:r>
      <w:r w:rsidR="00EF14BB" w:rsidRPr="00EF14BB">
        <w:rPr>
          <w:rStyle w:val="FootnoteReference"/>
          <w:rFonts w:ascii="Verdana" w:hAnsi="Verdana"/>
        </w:rPr>
        <w:footnoteReference w:id="30"/>
      </w:r>
    </w:p>
    <w:p w14:paraId="6108D96C" w14:textId="77777777" w:rsidR="009973BD" w:rsidRPr="009973BD" w:rsidRDefault="009973BD" w:rsidP="009973BD">
      <w:pPr>
        <w:pStyle w:val="BasicParagraph"/>
        <w:suppressAutoHyphens/>
        <w:ind w:left="709"/>
        <w:rPr>
          <w:rFonts w:ascii="Verdana" w:hAnsi="Verdana" w:cs="Arial"/>
          <w:b/>
          <w:color w:val="77328A"/>
          <w:sz w:val="30"/>
          <w:szCs w:val="30"/>
        </w:rPr>
      </w:pPr>
    </w:p>
    <w:p w14:paraId="6C1A9678" w14:textId="1BBF939F" w:rsidR="009973BD" w:rsidRPr="0059457A" w:rsidRDefault="009973BD" w:rsidP="00820392">
      <w:pPr>
        <w:pStyle w:val="BasicParagraph"/>
        <w:numPr>
          <w:ilvl w:val="1"/>
          <w:numId w:val="23"/>
        </w:numPr>
        <w:suppressAutoHyphens/>
        <w:ind w:left="709"/>
        <w:rPr>
          <w:rFonts w:ascii="Verdana" w:hAnsi="Verdana" w:cs="Arial"/>
          <w:bCs/>
          <w:color w:val="auto"/>
        </w:rPr>
      </w:pPr>
      <w:r w:rsidRPr="00AC2013">
        <w:rPr>
          <w:rFonts w:ascii="Verdana" w:hAnsi="Verdana" w:cs="Arial"/>
          <w:color w:val="auto"/>
        </w:rPr>
        <w:t>The EU</w:t>
      </w:r>
      <w:r>
        <w:rPr>
          <w:rFonts w:ascii="Verdana" w:hAnsi="Verdana" w:cs="Arial"/>
          <w:color w:val="auto"/>
        </w:rPr>
        <w:t xml:space="preserve"> Reception Directive states that the best interests of the child shall be the primary consideration when implementing provisions of the </w:t>
      </w:r>
      <w:r>
        <w:rPr>
          <w:rFonts w:ascii="Verdana" w:hAnsi="Verdana" w:cs="Arial"/>
          <w:color w:val="auto"/>
        </w:rPr>
        <w:lastRenderedPageBreak/>
        <w:t>Directive that relate to minors.</w:t>
      </w:r>
      <w:r>
        <w:rPr>
          <w:rStyle w:val="FootnoteReference"/>
          <w:rFonts w:ascii="Verdana" w:hAnsi="Verdana" w:cs="Arial"/>
          <w:color w:val="auto"/>
        </w:rPr>
        <w:footnoteReference w:id="31"/>
      </w:r>
      <w:r w:rsidR="0059457A">
        <w:rPr>
          <w:rFonts w:ascii="Verdana" w:hAnsi="Verdana" w:cs="Arial"/>
          <w:color w:val="auto"/>
        </w:rPr>
        <w:t xml:space="preserve"> </w:t>
      </w:r>
      <w:r w:rsidR="0059457A" w:rsidRPr="00721455">
        <w:rPr>
          <w:rFonts w:ascii="Verdana" w:hAnsi="Verdana" w:cs="Arial"/>
          <w:bCs/>
          <w:color w:val="auto"/>
        </w:rPr>
        <w:t xml:space="preserve">The </w:t>
      </w:r>
      <w:r w:rsidR="0059457A">
        <w:rPr>
          <w:rFonts w:ascii="Verdana" w:hAnsi="Verdana" w:cs="Arial"/>
          <w:bCs/>
          <w:color w:val="auto"/>
        </w:rPr>
        <w:t>Directive provides that states must grant asylum seeking minors access to education</w:t>
      </w:r>
      <w:r w:rsidR="0059457A">
        <w:rPr>
          <w:rStyle w:val="FootnoteReference"/>
          <w:rFonts w:ascii="Verdana" w:hAnsi="Verdana" w:cs="Arial"/>
          <w:bCs/>
          <w:color w:val="auto"/>
        </w:rPr>
        <w:footnoteReference w:id="32"/>
      </w:r>
      <w:r w:rsidR="0059457A">
        <w:rPr>
          <w:rFonts w:ascii="Verdana" w:hAnsi="Verdana" w:cs="Arial"/>
          <w:bCs/>
          <w:color w:val="auto"/>
        </w:rPr>
        <w:t xml:space="preserve"> and ensure that all applicants receive access to necessary healthcare.</w:t>
      </w:r>
      <w:r w:rsidR="0059457A">
        <w:rPr>
          <w:rStyle w:val="FootnoteReference"/>
          <w:rFonts w:ascii="Verdana" w:hAnsi="Verdana" w:cs="Arial"/>
          <w:bCs/>
          <w:color w:val="auto"/>
        </w:rPr>
        <w:footnoteReference w:id="33"/>
      </w:r>
      <w:r w:rsidR="0059457A">
        <w:rPr>
          <w:rFonts w:ascii="Verdana" w:hAnsi="Verdana" w:cs="Arial"/>
          <w:bCs/>
          <w:color w:val="auto"/>
        </w:rPr>
        <w:t xml:space="preserve"> </w:t>
      </w:r>
      <w:r w:rsidR="0059457A">
        <w:rPr>
          <w:rFonts w:ascii="Verdana" w:hAnsi="Verdana" w:cs="Arial"/>
          <w:color w:val="auto"/>
        </w:rPr>
        <w:t xml:space="preserve"> Additionally, t</w:t>
      </w:r>
      <w:r w:rsidR="0059457A" w:rsidRPr="0059457A">
        <w:rPr>
          <w:rFonts w:ascii="Verdana" w:hAnsi="Verdana"/>
        </w:rPr>
        <w:t>he Directive obligates States to take into consideration the specific situation of, among others, children and young people and disabled people.</w:t>
      </w:r>
      <w:r w:rsidR="0059457A">
        <w:rPr>
          <w:rStyle w:val="FootnoteReference"/>
          <w:rFonts w:ascii="Verdana" w:hAnsi="Verdana"/>
        </w:rPr>
        <w:footnoteReference w:id="34"/>
      </w:r>
    </w:p>
    <w:p w14:paraId="0812A68E" w14:textId="77777777" w:rsidR="0052524F" w:rsidRPr="00AC2013" w:rsidRDefault="0052524F" w:rsidP="0052524F">
      <w:pPr>
        <w:pStyle w:val="BasicParagraph"/>
        <w:suppressAutoHyphens/>
        <w:ind w:left="709"/>
        <w:rPr>
          <w:rFonts w:ascii="Verdana" w:hAnsi="Verdana" w:cs="Arial"/>
          <w:color w:val="auto"/>
        </w:rPr>
      </w:pPr>
    </w:p>
    <w:p w14:paraId="0509F5BD" w14:textId="7E858583" w:rsidR="0052524F" w:rsidRPr="00E25E1A" w:rsidRDefault="0019782E" w:rsidP="00820392">
      <w:pPr>
        <w:pStyle w:val="BasicParagraph"/>
        <w:numPr>
          <w:ilvl w:val="1"/>
          <w:numId w:val="23"/>
        </w:numPr>
        <w:suppressAutoHyphens/>
        <w:ind w:left="709"/>
        <w:rPr>
          <w:rFonts w:ascii="Verdana" w:hAnsi="Verdana" w:cs="Arial"/>
          <w:b/>
          <w:color w:val="77328A"/>
          <w:sz w:val="30"/>
          <w:szCs w:val="30"/>
        </w:rPr>
      </w:pPr>
      <w:r>
        <w:rPr>
          <w:rFonts w:ascii="Verdana" w:hAnsi="Verdana"/>
        </w:rPr>
        <w:t>T</w:t>
      </w:r>
      <w:r w:rsidR="0052524F">
        <w:rPr>
          <w:rFonts w:ascii="Verdana" w:hAnsi="Verdana"/>
        </w:rPr>
        <w:t xml:space="preserve">he best interests of the child principle is not reflected in all </w:t>
      </w:r>
      <w:r w:rsidR="009D7F60">
        <w:rPr>
          <w:rFonts w:ascii="Verdana" w:hAnsi="Verdana"/>
        </w:rPr>
        <w:t xml:space="preserve">asylum and refugee status </w:t>
      </w:r>
      <w:r w:rsidR="0052524F">
        <w:rPr>
          <w:rFonts w:ascii="Verdana" w:hAnsi="Verdana"/>
        </w:rPr>
        <w:t xml:space="preserve">legislative </w:t>
      </w:r>
      <w:r w:rsidR="00EF65AC">
        <w:rPr>
          <w:rFonts w:ascii="Verdana" w:hAnsi="Verdana"/>
        </w:rPr>
        <w:t>and policy matters.</w:t>
      </w:r>
      <w:r w:rsidR="00EF65AC">
        <w:rPr>
          <w:rStyle w:val="FootnoteReference"/>
          <w:rFonts w:ascii="Verdana" w:hAnsi="Verdana"/>
        </w:rPr>
        <w:footnoteReference w:id="35"/>
      </w:r>
      <w:r>
        <w:rPr>
          <w:rFonts w:ascii="Verdana" w:hAnsi="Verdana" w:cs="Arial"/>
          <w:b/>
          <w:color w:val="77328A"/>
          <w:sz w:val="30"/>
          <w:szCs w:val="30"/>
        </w:rPr>
        <w:t xml:space="preserve"> </w:t>
      </w:r>
      <w:r w:rsidR="00E25E1A">
        <w:rPr>
          <w:rFonts w:ascii="Verdana" w:eastAsia="Times New Roman" w:hAnsi="Verdana" w:cs="Verdana"/>
          <w:lang w:eastAsia="en-GB"/>
        </w:rPr>
        <w:t>Due to the low levels of financial support available to them, women seeking asylum are placed at higher risk of exploitation, abuse and trafficking.</w:t>
      </w:r>
      <w:r w:rsidR="00E25E1A">
        <w:rPr>
          <w:rStyle w:val="FootnoteReference"/>
          <w:rFonts w:ascii="Verdana" w:eastAsia="Times New Roman" w:hAnsi="Verdana" w:cs="Verdana"/>
          <w:lang w:eastAsia="en-GB"/>
        </w:rPr>
        <w:footnoteReference w:id="36"/>
      </w:r>
      <w:r w:rsidR="00E25E1A">
        <w:rPr>
          <w:rFonts w:ascii="Verdana" w:hAnsi="Verdana" w:cs="Arial"/>
          <w:b/>
          <w:color w:val="77328A"/>
          <w:sz w:val="30"/>
          <w:szCs w:val="30"/>
        </w:rPr>
        <w:t xml:space="preserve"> </w:t>
      </w:r>
      <w:r w:rsidR="00046C6E" w:rsidRPr="00E25E1A">
        <w:rPr>
          <w:rFonts w:ascii="Verdana" w:hAnsi="Verdana" w:cs="Arial"/>
          <w:color w:val="auto"/>
        </w:rPr>
        <w:t>Additionally</w:t>
      </w:r>
      <w:r w:rsidR="00EF14BB" w:rsidRPr="00E25E1A">
        <w:rPr>
          <w:rFonts w:ascii="Verdana" w:hAnsi="Verdana" w:cs="Arial"/>
          <w:color w:val="auto"/>
        </w:rPr>
        <w:t xml:space="preserve">, </w:t>
      </w:r>
      <w:r w:rsidRPr="00E25E1A">
        <w:rPr>
          <w:rFonts w:ascii="Verdana" w:hAnsi="Verdana" w:cs="Arial"/>
          <w:color w:val="auto"/>
        </w:rPr>
        <w:t>there has been</w:t>
      </w:r>
      <w:r w:rsidR="00EF14BB" w:rsidRPr="00E25E1A">
        <w:rPr>
          <w:rFonts w:ascii="Verdana" w:hAnsi="Verdana" w:cs="Arial"/>
          <w:color w:val="auto"/>
        </w:rPr>
        <w:t xml:space="preserve"> a significant rise in homelessness affecting people seeking asylum, among other groups, particularly in England and NI.</w:t>
      </w:r>
      <w:r w:rsidR="00EF14BB">
        <w:rPr>
          <w:rStyle w:val="FootnoteReference"/>
          <w:rFonts w:ascii="Verdana" w:hAnsi="Verdana" w:cs="Arial"/>
          <w:color w:val="auto"/>
        </w:rPr>
        <w:footnoteReference w:id="37"/>
      </w:r>
      <w:r w:rsidR="00EF14BB" w:rsidRPr="00E25E1A">
        <w:rPr>
          <w:rFonts w:ascii="Verdana" w:hAnsi="Verdana" w:cs="Arial"/>
          <w:color w:val="auto"/>
        </w:rPr>
        <w:t xml:space="preserve"> </w:t>
      </w:r>
    </w:p>
    <w:p w14:paraId="6594B4EC" w14:textId="77777777" w:rsidR="0052524F" w:rsidRDefault="0052524F" w:rsidP="0052524F">
      <w:pPr>
        <w:pStyle w:val="ListParagraph"/>
        <w:rPr>
          <w:rFonts w:ascii="Verdana" w:hAnsi="Verdana" w:cs="Arial"/>
          <w:b/>
          <w:color w:val="77328A"/>
          <w:sz w:val="30"/>
          <w:szCs w:val="30"/>
        </w:rPr>
      </w:pPr>
    </w:p>
    <w:p w14:paraId="4FD18752" w14:textId="337E081C" w:rsidR="00EF14BB" w:rsidRPr="005B3287" w:rsidRDefault="00EF14BB" w:rsidP="00820392">
      <w:pPr>
        <w:pStyle w:val="BasicParagraph"/>
        <w:numPr>
          <w:ilvl w:val="1"/>
          <w:numId w:val="23"/>
        </w:numPr>
        <w:suppressAutoHyphens/>
        <w:ind w:left="709"/>
        <w:rPr>
          <w:rFonts w:ascii="Verdana" w:hAnsi="Verdana" w:cs="Arial"/>
          <w:b/>
          <w:color w:val="77328A"/>
          <w:sz w:val="30"/>
          <w:szCs w:val="30"/>
        </w:rPr>
      </w:pPr>
      <w:r w:rsidRPr="005B3287">
        <w:rPr>
          <w:rFonts w:ascii="Verdana" w:hAnsi="Verdana" w:cs="Arial"/>
          <w:color w:val="auto"/>
        </w:rPr>
        <w:t xml:space="preserve">In June 2022, </w:t>
      </w:r>
      <w:r w:rsidRPr="005B3287">
        <w:rPr>
          <w:rFonts w:ascii="Verdana" w:eastAsia="Times New Roman" w:hAnsi="Verdana" w:cs="Verdana"/>
          <w:lang w:eastAsia="en-GB"/>
        </w:rPr>
        <w:t>2,413 people seeking asylum were in receipt of section 95 support in NI,</w:t>
      </w:r>
      <w:r w:rsidRPr="005B3287">
        <w:rPr>
          <w:rStyle w:val="FootnoteReference"/>
          <w:rFonts w:ascii="Verdana" w:eastAsia="Times New Roman" w:hAnsi="Verdana" w:cs="Verdana"/>
          <w:lang w:eastAsia="en-GB"/>
        </w:rPr>
        <w:footnoteReference w:id="38"/>
      </w:r>
      <w:r w:rsidRPr="005B3287">
        <w:rPr>
          <w:rFonts w:ascii="Verdana" w:eastAsia="Times New Roman" w:hAnsi="Verdana" w:cs="Verdana"/>
          <w:lang w:eastAsia="en-GB"/>
        </w:rPr>
        <w:t xml:space="preserve"> with 23 in receipt of subsist</w:t>
      </w:r>
      <w:r>
        <w:rPr>
          <w:rFonts w:ascii="Verdana" w:eastAsia="Times New Roman" w:hAnsi="Verdana" w:cs="Verdana"/>
          <w:lang w:eastAsia="en-GB"/>
        </w:rPr>
        <w:t>ence only</w:t>
      </w:r>
      <w:r w:rsidRPr="005B3287">
        <w:rPr>
          <w:rFonts w:ascii="Verdana" w:eastAsia="Times New Roman" w:hAnsi="Verdana" w:cs="Verdana"/>
          <w:lang w:eastAsia="en-GB"/>
        </w:rPr>
        <w:t>.</w:t>
      </w:r>
      <w:r w:rsidRPr="005B3287">
        <w:rPr>
          <w:rFonts w:ascii="Verdana" w:eastAsia="MS Mincho" w:hAnsi="Verdana" w:cs="Times New Roman"/>
          <w:vertAlign w:val="superscript"/>
          <w:lang w:eastAsia="en-GB"/>
        </w:rPr>
        <w:footnoteReference w:id="39"/>
      </w:r>
      <w:r w:rsidRPr="005B3287">
        <w:rPr>
          <w:rFonts w:ascii="Verdana" w:eastAsia="Times New Roman" w:hAnsi="Verdana" w:cs="Verdana"/>
          <w:lang w:eastAsia="en-GB"/>
        </w:rPr>
        <w:t xml:space="preserve"> The £40.85 per week payments are not proportional to the cost of living and are issued on cards that cannot be used online and can only be used in certain shops.</w:t>
      </w:r>
      <w:r w:rsidRPr="005B3287">
        <w:rPr>
          <w:rFonts w:ascii="Verdana" w:hAnsi="Verdana"/>
          <w:vertAlign w:val="superscript"/>
          <w:lang w:eastAsia="en-GB"/>
        </w:rPr>
        <w:footnoteReference w:id="40"/>
      </w:r>
      <w:r w:rsidRPr="005B3287">
        <w:rPr>
          <w:rFonts w:ascii="Verdana" w:eastAsia="Times New Roman" w:hAnsi="Verdana" w:cs="Verdana"/>
          <w:lang w:eastAsia="en-GB"/>
        </w:rPr>
        <w:t xml:space="preserve"> </w:t>
      </w:r>
    </w:p>
    <w:p w14:paraId="3441354C" w14:textId="77777777" w:rsidR="00EF14BB" w:rsidRDefault="00EF14BB" w:rsidP="00EF14BB">
      <w:pPr>
        <w:pStyle w:val="ListParagraph"/>
        <w:rPr>
          <w:rFonts w:ascii="Verdana" w:eastAsia="Times New Roman" w:hAnsi="Verdana" w:cs="Verdana"/>
          <w:lang w:eastAsia="en-GB"/>
        </w:rPr>
      </w:pPr>
    </w:p>
    <w:p w14:paraId="44A67CA6" w14:textId="6257CA6C" w:rsidR="00EF14BB" w:rsidRPr="007131BF" w:rsidRDefault="00EF14BB" w:rsidP="00820392">
      <w:pPr>
        <w:pStyle w:val="BasicParagraph"/>
        <w:numPr>
          <w:ilvl w:val="1"/>
          <w:numId w:val="23"/>
        </w:numPr>
        <w:suppressAutoHyphens/>
        <w:ind w:left="709"/>
        <w:rPr>
          <w:rFonts w:ascii="Verdana" w:hAnsi="Verdana" w:cs="Arial"/>
          <w:b/>
          <w:color w:val="77328A"/>
          <w:sz w:val="30"/>
          <w:szCs w:val="30"/>
        </w:rPr>
      </w:pPr>
      <w:r w:rsidRPr="005B3287">
        <w:rPr>
          <w:rFonts w:ascii="Verdana" w:eastAsia="Times New Roman" w:hAnsi="Verdana" w:cs="Verdana"/>
          <w:lang w:eastAsia="en-GB"/>
        </w:rPr>
        <w:t>There is an unknown number of people seeking asylum in NI who ha</w:t>
      </w:r>
      <w:r>
        <w:rPr>
          <w:rFonts w:ascii="Verdana" w:eastAsia="Times New Roman" w:hAnsi="Verdana" w:cs="Verdana"/>
          <w:lang w:eastAsia="en-GB"/>
        </w:rPr>
        <w:t xml:space="preserve">ve no recourse to public funds. </w:t>
      </w:r>
      <w:r w:rsidRPr="005B3287">
        <w:rPr>
          <w:rFonts w:ascii="Verdana" w:eastAsia="Times New Roman" w:hAnsi="Verdana" w:cs="Verdana"/>
          <w:lang w:eastAsia="en-GB"/>
        </w:rPr>
        <w:t>Reliance on local authority provision as an alternative source of support is a specific problem in NI, where local councils do not have responsibility for housing, social services or education.</w:t>
      </w:r>
      <w:r w:rsidRPr="005B3287">
        <w:rPr>
          <w:rFonts w:ascii="Verdana" w:eastAsia="MS Mincho" w:hAnsi="Verdana" w:cs="Times New Roman"/>
          <w:vertAlign w:val="superscript"/>
          <w:lang w:eastAsia="en-GB"/>
        </w:rPr>
        <w:footnoteReference w:id="41"/>
      </w:r>
      <w:r>
        <w:rPr>
          <w:rFonts w:ascii="Verdana" w:eastAsia="Times New Roman" w:hAnsi="Verdana" w:cs="Verdana"/>
          <w:lang w:eastAsia="en-GB"/>
        </w:rPr>
        <w:t xml:space="preserve"> </w:t>
      </w:r>
    </w:p>
    <w:p w14:paraId="0DD906FC" w14:textId="77777777" w:rsidR="00EF14BB" w:rsidRPr="00EF14BB" w:rsidRDefault="00EF14BB" w:rsidP="00EF14BB">
      <w:pPr>
        <w:pStyle w:val="BasicParagraph"/>
        <w:suppressAutoHyphens/>
        <w:ind w:left="709"/>
        <w:rPr>
          <w:rFonts w:ascii="Verdana" w:hAnsi="Verdana" w:cs="Arial"/>
          <w:b/>
          <w:color w:val="77328A"/>
          <w:sz w:val="30"/>
          <w:szCs w:val="30"/>
        </w:rPr>
      </w:pPr>
    </w:p>
    <w:p w14:paraId="59ED9EBA" w14:textId="09A86100" w:rsidR="001361D5" w:rsidRPr="00721455" w:rsidRDefault="00152618" w:rsidP="00820392">
      <w:pPr>
        <w:pStyle w:val="BasicParagraph"/>
        <w:numPr>
          <w:ilvl w:val="1"/>
          <w:numId w:val="23"/>
        </w:numPr>
        <w:suppressAutoHyphens/>
        <w:ind w:left="709"/>
        <w:rPr>
          <w:rFonts w:ascii="Verdana" w:hAnsi="Verdana" w:cs="Arial"/>
          <w:b/>
          <w:bCs/>
          <w:color w:val="77328A"/>
          <w:sz w:val="30"/>
          <w:szCs w:val="30"/>
        </w:rPr>
      </w:pPr>
      <w:r w:rsidRPr="43635478">
        <w:rPr>
          <w:rFonts w:ascii="Verdana" w:hAnsi="Verdana"/>
        </w:rPr>
        <w:t xml:space="preserve">Since </w:t>
      </w:r>
      <w:r w:rsidR="001361D5" w:rsidRPr="001361D5">
        <w:rPr>
          <w:rFonts w:ascii="Verdana" w:hAnsi="Verdana"/>
        </w:rPr>
        <w:t xml:space="preserve">2019, </w:t>
      </w:r>
      <w:r w:rsidR="00255864" w:rsidRPr="43635478">
        <w:rPr>
          <w:rFonts w:ascii="Verdana" w:hAnsi="Verdana"/>
        </w:rPr>
        <w:t>hotels have been</w:t>
      </w:r>
      <w:r w:rsidR="00547F5C" w:rsidRPr="43635478">
        <w:rPr>
          <w:rFonts w:ascii="Verdana" w:hAnsi="Verdana"/>
        </w:rPr>
        <w:t xml:space="preserve"> increasingly</w:t>
      </w:r>
      <w:r w:rsidR="00255864" w:rsidRPr="43635478">
        <w:rPr>
          <w:rFonts w:ascii="Verdana" w:hAnsi="Verdana"/>
        </w:rPr>
        <w:t xml:space="preserve"> used as contingency </w:t>
      </w:r>
      <w:r w:rsidR="00255864" w:rsidRPr="43635478">
        <w:rPr>
          <w:rFonts w:ascii="Verdana" w:hAnsi="Verdana"/>
        </w:rPr>
        <w:lastRenderedPageBreak/>
        <w:t>accommodation for people seeking asylum in NI</w:t>
      </w:r>
      <w:r w:rsidR="003B4A83">
        <w:rPr>
          <w:rFonts w:ascii="Verdana" w:hAnsi="Verdana"/>
        </w:rPr>
        <w:t>.</w:t>
      </w:r>
      <w:r w:rsidR="003B4A83">
        <w:rPr>
          <w:rStyle w:val="FootnoteReference"/>
          <w:rFonts w:ascii="Verdana" w:hAnsi="Verdana"/>
        </w:rPr>
        <w:footnoteReference w:id="42"/>
      </w:r>
      <w:r w:rsidR="003B4A83">
        <w:rPr>
          <w:rFonts w:ascii="Verdana" w:hAnsi="Verdana"/>
        </w:rPr>
        <w:t xml:space="preserve"> A scheme that is</w:t>
      </w:r>
      <w:r w:rsidR="00255864" w:rsidRPr="43635478">
        <w:rPr>
          <w:rFonts w:ascii="Verdana" w:hAnsi="Verdana"/>
        </w:rPr>
        <w:t xml:space="preserve"> managed by Mears Group PLC</w:t>
      </w:r>
      <w:r w:rsidR="001361D5" w:rsidRPr="001361D5">
        <w:rPr>
          <w:rFonts w:ascii="Verdana" w:hAnsi="Verdana"/>
        </w:rPr>
        <w:t>.</w:t>
      </w:r>
      <w:r w:rsidR="001361D5">
        <w:rPr>
          <w:rStyle w:val="FootnoteReference"/>
          <w:rFonts w:ascii="Verdana" w:hAnsi="Verdana"/>
        </w:rPr>
        <w:footnoteReference w:id="43"/>
      </w:r>
      <w:r w:rsidR="001361D5" w:rsidRPr="001361D5">
        <w:rPr>
          <w:rFonts w:ascii="Verdana" w:hAnsi="Verdana"/>
        </w:rPr>
        <w:t xml:space="preserve"> </w:t>
      </w:r>
      <w:r w:rsidR="5494BA74" w:rsidRPr="43635478">
        <w:rPr>
          <w:rFonts w:ascii="Verdana" w:hAnsi="Verdana"/>
        </w:rPr>
        <w:t>I</w:t>
      </w:r>
      <w:r w:rsidR="00F14C8F" w:rsidRPr="43635478">
        <w:rPr>
          <w:rFonts w:ascii="Verdana" w:hAnsi="Verdana"/>
        </w:rPr>
        <w:t xml:space="preserve">n November 2022, 1,267 people seeking asylum were accommodated in hotels in NI, of which 174 were </w:t>
      </w:r>
      <w:r w:rsidR="007472AD" w:rsidRPr="43635478">
        <w:rPr>
          <w:rFonts w:ascii="Verdana" w:hAnsi="Verdana"/>
        </w:rPr>
        <w:t>school aged children under 16 years old.</w:t>
      </w:r>
      <w:r w:rsidR="007472AD">
        <w:rPr>
          <w:rStyle w:val="FootnoteReference"/>
          <w:rFonts w:ascii="Verdana" w:hAnsi="Verdana"/>
        </w:rPr>
        <w:footnoteReference w:id="44"/>
      </w:r>
      <w:r w:rsidR="007472AD" w:rsidRPr="43635478">
        <w:rPr>
          <w:rFonts w:ascii="Verdana" w:hAnsi="Verdana"/>
        </w:rPr>
        <w:t xml:space="preserve"> </w:t>
      </w:r>
      <w:r w:rsidR="0057709E">
        <w:rPr>
          <w:rFonts w:ascii="Verdana" w:hAnsi="Verdana"/>
        </w:rPr>
        <w:t>C</w:t>
      </w:r>
      <w:r w:rsidR="001361D5" w:rsidRPr="001361D5">
        <w:rPr>
          <w:rFonts w:ascii="Verdana" w:hAnsi="Verdana"/>
        </w:rPr>
        <w:t xml:space="preserve">ontingency accommodation </w:t>
      </w:r>
      <w:r w:rsidR="0057709E">
        <w:rPr>
          <w:rFonts w:ascii="Verdana" w:hAnsi="Verdana"/>
        </w:rPr>
        <w:t>is being used for prolonged periods without defined timeframes for moving to</w:t>
      </w:r>
      <w:r w:rsidR="001361D5" w:rsidRPr="001361D5">
        <w:rPr>
          <w:rFonts w:ascii="Verdana" w:hAnsi="Verdana"/>
        </w:rPr>
        <w:t xml:space="preserve"> dispersal accommodation.</w:t>
      </w:r>
      <w:r w:rsidR="001361D5">
        <w:rPr>
          <w:rStyle w:val="FootnoteReference"/>
          <w:rFonts w:ascii="Verdana" w:hAnsi="Verdana"/>
        </w:rPr>
        <w:footnoteReference w:id="45"/>
      </w:r>
      <w:r w:rsidR="001361D5" w:rsidRPr="001361D5">
        <w:rPr>
          <w:rFonts w:ascii="Verdana" w:hAnsi="Verdana"/>
        </w:rPr>
        <w:t xml:space="preserve"> </w:t>
      </w:r>
      <w:r w:rsidR="00625EC7">
        <w:rPr>
          <w:rFonts w:ascii="Verdana" w:hAnsi="Verdana"/>
        </w:rPr>
        <w:t>It is reported</w:t>
      </w:r>
      <w:r w:rsidR="001361D5" w:rsidRPr="001361D5">
        <w:rPr>
          <w:rFonts w:ascii="Verdana" w:hAnsi="Verdana"/>
        </w:rPr>
        <w:t xml:space="preserve"> that movement from contingency to dispersal accommodation </w:t>
      </w:r>
      <w:r w:rsidR="0084622F">
        <w:rPr>
          <w:rFonts w:ascii="Verdana" w:hAnsi="Verdana"/>
        </w:rPr>
        <w:t xml:space="preserve">can often occur </w:t>
      </w:r>
      <w:r w:rsidR="00856D34">
        <w:rPr>
          <w:rFonts w:ascii="Verdana" w:hAnsi="Verdana"/>
        </w:rPr>
        <w:t xml:space="preserve">in a threatening way, </w:t>
      </w:r>
      <w:r w:rsidR="001361D5" w:rsidRPr="001361D5">
        <w:rPr>
          <w:rFonts w:ascii="Verdana" w:hAnsi="Verdana"/>
        </w:rPr>
        <w:t>with no advanced notice</w:t>
      </w:r>
      <w:r w:rsidR="0084622F">
        <w:rPr>
          <w:rFonts w:ascii="Verdana" w:hAnsi="Verdana"/>
        </w:rPr>
        <w:t>, limited information</w:t>
      </w:r>
      <w:r w:rsidR="001361D5" w:rsidRPr="001361D5">
        <w:rPr>
          <w:rFonts w:ascii="Verdana" w:hAnsi="Verdana"/>
        </w:rPr>
        <w:t xml:space="preserve"> and without any meaningful support to ensure access to education, healthcare and support services.</w:t>
      </w:r>
      <w:r w:rsidR="001361D5">
        <w:rPr>
          <w:rStyle w:val="FootnoteReference"/>
          <w:rFonts w:ascii="Verdana" w:hAnsi="Verdana"/>
        </w:rPr>
        <w:footnoteReference w:id="46"/>
      </w:r>
    </w:p>
    <w:p w14:paraId="1B9DE829" w14:textId="77777777" w:rsidR="009973BD" w:rsidRPr="00721455" w:rsidRDefault="009973BD" w:rsidP="00721455">
      <w:pPr>
        <w:pStyle w:val="BasicParagraph"/>
        <w:suppressAutoHyphens/>
        <w:ind w:left="709"/>
        <w:rPr>
          <w:rFonts w:ascii="Verdana" w:hAnsi="Verdana" w:cs="Arial"/>
          <w:b/>
          <w:bCs/>
          <w:color w:val="77328A"/>
          <w:sz w:val="30"/>
          <w:szCs w:val="30"/>
        </w:rPr>
      </w:pPr>
    </w:p>
    <w:p w14:paraId="729FCDC4" w14:textId="55298A82" w:rsidR="001361D5" w:rsidRPr="001361D5" w:rsidRDefault="003262AD" w:rsidP="00820392">
      <w:pPr>
        <w:pStyle w:val="BasicParagraph"/>
        <w:numPr>
          <w:ilvl w:val="1"/>
          <w:numId w:val="23"/>
        </w:numPr>
        <w:suppressAutoHyphens/>
        <w:ind w:left="709"/>
        <w:rPr>
          <w:rFonts w:ascii="Verdana" w:hAnsi="Verdana" w:cs="Arial"/>
          <w:b/>
          <w:bCs/>
          <w:color w:val="77328A"/>
          <w:sz w:val="30"/>
          <w:szCs w:val="30"/>
        </w:rPr>
      </w:pPr>
      <w:r>
        <w:rPr>
          <w:rFonts w:ascii="Verdana" w:hAnsi="Verdana"/>
        </w:rPr>
        <w:t>D</w:t>
      </w:r>
      <w:r w:rsidR="001361D5" w:rsidRPr="001361D5">
        <w:rPr>
          <w:rFonts w:ascii="Verdana" w:hAnsi="Verdana"/>
        </w:rPr>
        <w:t xml:space="preserve">irect accounts of the living conditions in the </w:t>
      </w:r>
      <w:r>
        <w:rPr>
          <w:rFonts w:ascii="Verdana" w:hAnsi="Verdana"/>
        </w:rPr>
        <w:t xml:space="preserve">NI </w:t>
      </w:r>
      <w:r w:rsidR="001361D5" w:rsidRPr="001361D5">
        <w:rPr>
          <w:rFonts w:ascii="Verdana" w:hAnsi="Verdana"/>
        </w:rPr>
        <w:t xml:space="preserve">hotels are consistent with UK-wide reports, including raising issues of inadequate access to </w:t>
      </w:r>
      <w:r w:rsidR="088DADD4" w:rsidRPr="001361D5">
        <w:rPr>
          <w:rFonts w:ascii="Verdana" w:hAnsi="Verdana"/>
        </w:rPr>
        <w:t>food that meet dietary requirements or is culturally appropriate.</w:t>
      </w:r>
      <w:r w:rsidR="00AA3FD0">
        <w:rPr>
          <w:rFonts w:ascii="Verdana" w:hAnsi="Verdana"/>
        </w:rPr>
        <w:t xml:space="preserve"> There</w:t>
      </w:r>
      <w:r w:rsidR="02AB4992" w:rsidRPr="001361D5">
        <w:rPr>
          <w:rFonts w:ascii="Verdana" w:hAnsi="Verdana"/>
        </w:rPr>
        <w:t xml:space="preserve"> are also </w:t>
      </w:r>
      <w:r w:rsidR="001361D5" w:rsidRPr="001361D5">
        <w:rPr>
          <w:rFonts w:ascii="Verdana" w:hAnsi="Verdana"/>
        </w:rPr>
        <w:t>restrictions on private and family life, and insufficient access to basic services.</w:t>
      </w:r>
      <w:r w:rsidR="0052524F">
        <w:rPr>
          <w:rStyle w:val="FootnoteReference"/>
          <w:rFonts w:ascii="Verdana" w:hAnsi="Verdana"/>
        </w:rPr>
        <w:footnoteReference w:id="47"/>
      </w:r>
      <w:r w:rsidR="001361D5" w:rsidRPr="001361D5">
        <w:rPr>
          <w:rFonts w:ascii="Verdana" w:hAnsi="Verdana"/>
        </w:rPr>
        <w:t xml:space="preserve"> </w:t>
      </w:r>
      <w:r w:rsidR="00CF2592">
        <w:rPr>
          <w:rFonts w:ascii="Verdana" w:hAnsi="Verdana"/>
        </w:rPr>
        <w:t>T</w:t>
      </w:r>
      <w:r w:rsidR="001361D5" w:rsidRPr="001361D5">
        <w:rPr>
          <w:rFonts w:ascii="Verdana" w:hAnsi="Verdana"/>
        </w:rPr>
        <w:t>hese issues are particularly challenging for children and persons with disabilities.</w:t>
      </w:r>
      <w:r w:rsidR="001361D5" w:rsidRPr="00425C0A">
        <w:rPr>
          <w:rStyle w:val="FootnoteReference"/>
          <w:rFonts w:ascii="Verdana" w:hAnsi="Verdana"/>
        </w:rPr>
        <w:footnoteReference w:id="48"/>
      </w:r>
      <w:r w:rsidR="00721455">
        <w:rPr>
          <w:rFonts w:ascii="Verdana" w:hAnsi="Verdana"/>
        </w:rPr>
        <w:t xml:space="preserve"> </w:t>
      </w:r>
    </w:p>
    <w:p w14:paraId="77A5D3AF" w14:textId="77777777" w:rsidR="001361D5" w:rsidRDefault="001361D5" w:rsidP="001361D5">
      <w:pPr>
        <w:pStyle w:val="ListParagraph"/>
        <w:rPr>
          <w:rFonts w:ascii="Verdana" w:hAnsi="Verdana"/>
          <w:b/>
        </w:rPr>
      </w:pPr>
    </w:p>
    <w:p w14:paraId="2FB6C79A" w14:textId="77777777" w:rsidR="000A75D1" w:rsidRPr="005B3287" w:rsidRDefault="000A75D1" w:rsidP="00820392">
      <w:pPr>
        <w:pStyle w:val="BasicParagraph"/>
        <w:numPr>
          <w:ilvl w:val="1"/>
          <w:numId w:val="23"/>
        </w:numPr>
        <w:suppressAutoHyphens/>
        <w:ind w:left="709"/>
        <w:rPr>
          <w:rFonts w:ascii="Verdana" w:hAnsi="Verdana" w:cs="Arial"/>
          <w:b/>
          <w:color w:val="77328A"/>
          <w:sz w:val="30"/>
          <w:szCs w:val="30"/>
        </w:rPr>
      </w:pPr>
      <w:r w:rsidRPr="001361D5">
        <w:rPr>
          <w:rFonts w:ascii="Verdana" w:hAnsi="Verdana"/>
          <w:b/>
        </w:rPr>
        <w:t>The NIHRC recommends that the Home Office and the Executive Office urgently review the support and accommodation provided to refugees and people seeking asylum in NI to ensure it is adequate, fit for purpose and culturally appropriate in compliance with international human rights standards and Protocol Article 2. This review should be conducted in consultation with refugees, people that are seeking asylum and their representative organisations.</w:t>
      </w:r>
    </w:p>
    <w:p w14:paraId="12142F7F" w14:textId="77777777" w:rsidR="005B351D" w:rsidRPr="000A75D1" w:rsidRDefault="005B351D" w:rsidP="005B351D">
      <w:pPr>
        <w:pStyle w:val="ListParagraph"/>
        <w:rPr>
          <w:rFonts w:ascii="Verdana" w:hAnsi="Verdana" w:cs="Arial"/>
          <w:b/>
          <w:color w:val="77328A"/>
        </w:rPr>
      </w:pPr>
    </w:p>
    <w:p w14:paraId="2B6ED8BB" w14:textId="3BE897EA" w:rsidR="005B351D" w:rsidRPr="005060BE" w:rsidRDefault="005B351D" w:rsidP="00820392">
      <w:pPr>
        <w:pStyle w:val="BasicParagraph"/>
        <w:numPr>
          <w:ilvl w:val="1"/>
          <w:numId w:val="23"/>
        </w:numPr>
        <w:suppressAutoHyphens/>
        <w:ind w:left="709"/>
        <w:rPr>
          <w:rFonts w:ascii="Verdana" w:hAnsi="Verdana" w:cs="Arial"/>
          <w:b/>
          <w:color w:val="77328A"/>
          <w:sz w:val="30"/>
          <w:szCs w:val="30"/>
        </w:rPr>
      </w:pPr>
      <w:r>
        <w:rPr>
          <w:rFonts w:ascii="Verdana" w:hAnsi="Verdana" w:cs="Arial"/>
          <w:b/>
          <w:color w:val="auto"/>
        </w:rPr>
        <w:t>The NIHRC recommends the UK Government take</w:t>
      </w:r>
      <w:r w:rsidR="00373C8A">
        <w:rPr>
          <w:rFonts w:ascii="Verdana" w:hAnsi="Verdana" w:cs="Arial"/>
          <w:b/>
          <w:color w:val="auto"/>
        </w:rPr>
        <w:t>s</w:t>
      </w:r>
      <w:r>
        <w:rPr>
          <w:rFonts w:ascii="Verdana" w:hAnsi="Verdana" w:cs="Arial"/>
          <w:b/>
          <w:color w:val="auto"/>
        </w:rPr>
        <w:t xml:space="preserve"> immediate steps to ensure people seeking asylum in NI are not destitute and are </w:t>
      </w:r>
      <w:r>
        <w:rPr>
          <w:rFonts w:ascii="Verdana" w:hAnsi="Verdana" w:cs="Arial"/>
          <w:b/>
          <w:color w:val="auto"/>
        </w:rPr>
        <w:lastRenderedPageBreak/>
        <w:t>provided with financial support proportional to the cost of living and takes account of specific needs.</w:t>
      </w:r>
    </w:p>
    <w:p w14:paraId="567D3D3F" w14:textId="77777777" w:rsidR="005060BE" w:rsidRDefault="005060BE" w:rsidP="005060BE">
      <w:pPr>
        <w:pStyle w:val="ListParagraph"/>
        <w:rPr>
          <w:rFonts w:ascii="Verdana" w:hAnsi="Verdana" w:cs="Arial"/>
          <w:b/>
          <w:color w:val="77328A"/>
          <w:sz w:val="30"/>
          <w:szCs w:val="30"/>
        </w:rPr>
      </w:pPr>
    </w:p>
    <w:p w14:paraId="1DA38663" w14:textId="77777777" w:rsidR="000F0071" w:rsidRDefault="005060BE" w:rsidP="005060BE">
      <w:pPr>
        <w:rPr>
          <w:rFonts w:ascii="Verdana" w:hAnsi="Verdana" w:cs="Arial"/>
          <w:i/>
        </w:rPr>
      </w:pPr>
      <w:r>
        <w:rPr>
          <w:rFonts w:ascii="Verdana" w:hAnsi="Verdana" w:cs="Arial"/>
          <w:i/>
        </w:rPr>
        <w:t>Right to Work</w:t>
      </w:r>
    </w:p>
    <w:p w14:paraId="78EE7BDA" w14:textId="556EB9BE" w:rsidR="00DF6A0A" w:rsidRDefault="00DF6A0A" w:rsidP="00A86360">
      <w:pPr>
        <w:pStyle w:val="ListParagraph"/>
        <w:rPr>
          <w:rFonts w:ascii="Verdana" w:hAnsi="Verdana" w:cs="Arial"/>
          <w:b/>
          <w:color w:val="77328A"/>
          <w:sz w:val="30"/>
          <w:szCs w:val="30"/>
        </w:rPr>
      </w:pPr>
    </w:p>
    <w:p w14:paraId="15B96F1F" w14:textId="77777777" w:rsidR="00DF6A0A" w:rsidRPr="00AE2918" w:rsidRDefault="00DF6A0A" w:rsidP="00820392">
      <w:pPr>
        <w:pStyle w:val="BasicParagraph"/>
        <w:numPr>
          <w:ilvl w:val="1"/>
          <w:numId w:val="23"/>
        </w:numPr>
        <w:suppressAutoHyphens/>
        <w:ind w:left="709"/>
        <w:rPr>
          <w:rFonts w:ascii="Verdana" w:hAnsi="Verdana" w:cs="Arial"/>
          <w:b/>
          <w:color w:val="77328A"/>
          <w:sz w:val="30"/>
          <w:szCs w:val="30"/>
        </w:rPr>
      </w:pPr>
      <w:r>
        <w:rPr>
          <w:rFonts w:ascii="Verdana" w:hAnsi="Verdana" w:cs="Arial"/>
          <w:color w:val="auto"/>
        </w:rPr>
        <w:t>The UN ICESCR Committee recommended that the UK Government “ensure that asylum seekers are not restricted from accessing employment while their claims were being processed.</w:t>
      </w:r>
      <w:r>
        <w:rPr>
          <w:rStyle w:val="FootnoteReference"/>
          <w:rFonts w:ascii="Verdana" w:hAnsi="Verdana" w:cs="Arial"/>
          <w:color w:val="auto"/>
        </w:rPr>
        <w:footnoteReference w:id="49"/>
      </w:r>
    </w:p>
    <w:p w14:paraId="05E8AD17" w14:textId="77777777" w:rsidR="00DF6A0A" w:rsidRPr="00AE2918" w:rsidRDefault="00DF6A0A" w:rsidP="00DF6A0A">
      <w:pPr>
        <w:pStyle w:val="BasicParagraph"/>
        <w:suppressAutoHyphens/>
        <w:ind w:left="709"/>
        <w:rPr>
          <w:rFonts w:ascii="Verdana" w:hAnsi="Verdana" w:cs="Arial"/>
          <w:b/>
          <w:color w:val="77328A"/>
          <w:sz w:val="30"/>
          <w:szCs w:val="30"/>
        </w:rPr>
      </w:pPr>
    </w:p>
    <w:p w14:paraId="4A450101" w14:textId="77777777" w:rsidR="00DF6A0A" w:rsidRPr="00DB3FC4" w:rsidRDefault="00DF6A0A" w:rsidP="00820392">
      <w:pPr>
        <w:pStyle w:val="BasicParagraph"/>
        <w:numPr>
          <w:ilvl w:val="1"/>
          <w:numId w:val="23"/>
        </w:numPr>
        <w:suppressAutoHyphens/>
        <w:ind w:left="709"/>
        <w:rPr>
          <w:rFonts w:ascii="Verdana" w:hAnsi="Verdana" w:cs="Arial"/>
          <w:b/>
          <w:color w:val="77328A"/>
          <w:sz w:val="30"/>
          <w:szCs w:val="30"/>
        </w:rPr>
      </w:pPr>
      <w:r>
        <w:rPr>
          <w:rFonts w:ascii="Verdana" w:hAnsi="Verdana"/>
        </w:rPr>
        <w:t>T</w:t>
      </w:r>
      <w:r w:rsidRPr="00AE2918">
        <w:rPr>
          <w:rFonts w:ascii="Verdana" w:hAnsi="Verdana"/>
        </w:rPr>
        <w:t>he UN CEDAW Committee recommended that the UK Government “take measures to enable asylum-seeking and re</w:t>
      </w:r>
      <w:r>
        <w:rPr>
          <w:rFonts w:ascii="Verdana" w:hAnsi="Verdana"/>
        </w:rPr>
        <w:t>fugee women to access employment</w:t>
      </w:r>
      <w:r w:rsidRPr="00AE2918">
        <w:rPr>
          <w:rFonts w:ascii="Verdana" w:hAnsi="Verdana"/>
        </w:rPr>
        <w:t>”.</w:t>
      </w:r>
      <w:r w:rsidRPr="00AE2918">
        <w:rPr>
          <w:rStyle w:val="FootnoteReference"/>
          <w:rFonts w:ascii="Verdana" w:hAnsi="Verdana"/>
        </w:rPr>
        <w:footnoteReference w:id="50"/>
      </w:r>
    </w:p>
    <w:p w14:paraId="248DC3E8" w14:textId="77777777" w:rsidR="00AE2918" w:rsidRDefault="00AE2918" w:rsidP="00AE2918">
      <w:pPr>
        <w:pStyle w:val="ListParagraph"/>
        <w:rPr>
          <w:rFonts w:ascii="Verdana" w:hAnsi="Verdana" w:cs="Arial"/>
        </w:rPr>
      </w:pPr>
    </w:p>
    <w:p w14:paraId="6DA15BDE" w14:textId="3837FCDD" w:rsidR="00AE2918" w:rsidRPr="00AE2918" w:rsidRDefault="00373C8A" w:rsidP="00820392">
      <w:pPr>
        <w:pStyle w:val="BasicParagraph"/>
        <w:numPr>
          <w:ilvl w:val="1"/>
          <w:numId w:val="23"/>
        </w:numPr>
        <w:suppressAutoHyphens/>
        <w:ind w:left="709"/>
        <w:rPr>
          <w:rFonts w:ascii="Verdana" w:hAnsi="Verdana" w:cs="Arial"/>
          <w:b/>
          <w:bCs/>
          <w:color w:val="77328A"/>
          <w:sz w:val="30"/>
          <w:szCs w:val="30"/>
        </w:rPr>
      </w:pPr>
      <w:r w:rsidRPr="43635478">
        <w:rPr>
          <w:rFonts w:ascii="Verdana" w:hAnsi="Verdana" w:cs="Arial"/>
          <w:color w:val="auto"/>
        </w:rPr>
        <w:t>It has been</w:t>
      </w:r>
      <w:r w:rsidR="00AE2918" w:rsidRPr="00AE2918">
        <w:rPr>
          <w:rFonts w:ascii="Verdana" w:hAnsi="Verdana" w:cs="Arial"/>
          <w:color w:val="auto"/>
        </w:rPr>
        <w:t xml:space="preserve"> reported that people seeking asylum find it difficult to make their support payments cover their living costs</w:t>
      </w:r>
      <w:r w:rsidR="00DA31CF" w:rsidRPr="43635478">
        <w:rPr>
          <w:rFonts w:ascii="Verdana" w:hAnsi="Verdana" w:cs="Arial"/>
          <w:color w:val="auto"/>
        </w:rPr>
        <w:t>.</w:t>
      </w:r>
      <w:r w:rsidR="00570B98">
        <w:rPr>
          <w:rStyle w:val="FootnoteReference"/>
          <w:rFonts w:ascii="Verdana" w:hAnsi="Verdana" w:cs="Arial"/>
          <w:color w:val="auto"/>
        </w:rPr>
        <w:footnoteReference w:id="51"/>
      </w:r>
      <w:r w:rsidR="00DA31CF" w:rsidRPr="43635478">
        <w:rPr>
          <w:rFonts w:ascii="Verdana" w:hAnsi="Verdana" w:cs="Arial"/>
          <w:color w:val="auto"/>
        </w:rPr>
        <w:t xml:space="preserve"> This becomes increasingly challenging as</w:t>
      </w:r>
      <w:r w:rsidR="0053000B" w:rsidRPr="43635478">
        <w:rPr>
          <w:rFonts w:ascii="Verdana" w:hAnsi="Verdana" w:cs="Arial"/>
          <w:color w:val="auto"/>
        </w:rPr>
        <w:t xml:space="preserve"> costs increase</w:t>
      </w:r>
      <w:r w:rsidR="00593AD9" w:rsidRPr="43635478">
        <w:rPr>
          <w:rFonts w:ascii="Verdana" w:hAnsi="Verdana" w:cs="Arial"/>
          <w:color w:val="auto"/>
        </w:rPr>
        <w:t xml:space="preserve"> with</w:t>
      </w:r>
      <w:r w:rsidR="05534615" w:rsidRPr="43635478">
        <w:rPr>
          <w:rFonts w:ascii="Verdana" w:hAnsi="Verdana" w:cs="Arial"/>
          <w:color w:val="auto"/>
        </w:rPr>
        <w:t>out a</w:t>
      </w:r>
      <w:r w:rsidR="00593AD9" w:rsidRPr="43635478">
        <w:rPr>
          <w:rFonts w:ascii="Verdana" w:hAnsi="Verdana" w:cs="Arial"/>
          <w:color w:val="auto"/>
        </w:rPr>
        <w:t xml:space="preserve"> proportional rise in support</w:t>
      </w:r>
      <w:r w:rsidR="00AE2918" w:rsidRPr="00AE2918">
        <w:rPr>
          <w:rFonts w:ascii="Verdana" w:hAnsi="Verdana" w:cs="Arial"/>
          <w:color w:val="auto"/>
        </w:rPr>
        <w:t>.</w:t>
      </w:r>
      <w:r w:rsidR="0053000B" w:rsidRPr="00AE2918">
        <w:rPr>
          <w:rStyle w:val="FootnoteReference"/>
          <w:rFonts w:ascii="Verdana" w:hAnsi="Verdana"/>
          <w:color w:val="auto"/>
        </w:rPr>
        <w:footnoteReference w:id="52"/>
      </w:r>
      <w:r w:rsidR="004E4A7E" w:rsidRPr="00AE2918">
        <w:rPr>
          <w:rFonts w:ascii="Verdana" w:hAnsi="Verdana"/>
          <w:color w:val="auto"/>
        </w:rPr>
        <w:t xml:space="preserve">People seeking asylum </w:t>
      </w:r>
      <w:r w:rsidR="004E4A7E" w:rsidRPr="00AE2918">
        <w:rPr>
          <w:rFonts w:ascii="Verdana" w:hAnsi="Verdana" w:cs="Arial"/>
          <w:color w:val="auto"/>
        </w:rPr>
        <w:t>in the UK, including NI, are not able to work</w:t>
      </w:r>
      <w:r w:rsidR="00567AB0">
        <w:rPr>
          <w:rFonts w:ascii="Verdana" w:hAnsi="Verdana" w:cs="Arial"/>
          <w:color w:val="auto"/>
        </w:rPr>
        <w:t xml:space="preserve"> for the first 12 months of a claim, after which they can take up limited roles</w:t>
      </w:r>
      <w:r w:rsidR="004E4A7E" w:rsidRPr="00AE2918">
        <w:rPr>
          <w:rFonts w:ascii="Verdana" w:hAnsi="Verdana" w:cs="Arial"/>
          <w:color w:val="auto"/>
        </w:rPr>
        <w:t>.</w:t>
      </w:r>
      <w:r w:rsidR="00567AB0">
        <w:rPr>
          <w:rStyle w:val="FootnoteReference"/>
          <w:rFonts w:ascii="Verdana" w:hAnsi="Verdana" w:cs="Arial"/>
          <w:color w:val="auto"/>
        </w:rPr>
        <w:footnoteReference w:id="53"/>
      </w:r>
      <w:r w:rsidR="004E4A7E" w:rsidRPr="00AE2918">
        <w:rPr>
          <w:rFonts w:ascii="Verdana" w:hAnsi="Verdana" w:cs="Arial"/>
          <w:color w:val="auto"/>
        </w:rPr>
        <w:t xml:space="preserve"> </w:t>
      </w:r>
      <w:r w:rsidR="00C4502A" w:rsidRPr="43635478">
        <w:rPr>
          <w:rFonts w:ascii="Verdana" w:hAnsi="Verdana" w:cs="Arial"/>
          <w:color w:val="auto"/>
        </w:rPr>
        <w:t>Without the means to supplement income</w:t>
      </w:r>
      <w:r w:rsidR="00D13D8A" w:rsidRPr="43635478">
        <w:rPr>
          <w:rFonts w:ascii="Verdana" w:hAnsi="Verdana" w:cs="Arial"/>
          <w:color w:val="auto"/>
        </w:rPr>
        <w:t>,</w:t>
      </w:r>
      <w:r w:rsidR="00C4502A" w:rsidRPr="43635478">
        <w:rPr>
          <w:rFonts w:ascii="Verdana" w:hAnsi="Verdana" w:cs="Arial"/>
          <w:color w:val="auto"/>
        </w:rPr>
        <w:t xml:space="preserve"> </w:t>
      </w:r>
      <w:r w:rsidR="00443135" w:rsidRPr="43635478">
        <w:rPr>
          <w:rFonts w:ascii="Verdana" w:hAnsi="Verdana"/>
          <w:color w:val="auto"/>
        </w:rPr>
        <w:t>p</w:t>
      </w:r>
      <w:r w:rsidR="00AE2918" w:rsidRPr="00AE2918">
        <w:rPr>
          <w:rFonts w:ascii="Verdana" w:hAnsi="Verdana"/>
          <w:color w:val="auto"/>
        </w:rPr>
        <w:t xml:space="preserve">eople seeking asylum are at </w:t>
      </w:r>
      <w:r w:rsidR="00D13D8A" w:rsidRPr="43635478">
        <w:rPr>
          <w:rFonts w:ascii="Verdana" w:hAnsi="Verdana"/>
          <w:color w:val="auto"/>
        </w:rPr>
        <w:t>a</w:t>
      </w:r>
      <w:r w:rsidR="00AE2918" w:rsidRPr="00AE2918">
        <w:rPr>
          <w:rFonts w:ascii="Verdana" w:hAnsi="Verdana"/>
          <w:color w:val="auto"/>
        </w:rPr>
        <w:t xml:space="preserve"> greater risk of destitution.</w:t>
      </w:r>
      <w:r w:rsidR="00443135" w:rsidRPr="43635478">
        <w:rPr>
          <w:rFonts w:ascii="Verdana" w:hAnsi="Verdana"/>
          <w:color w:val="auto"/>
        </w:rPr>
        <w:t xml:space="preserve"> This is particularly true for people seeking asylum with no recourse to public funds.</w:t>
      </w:r>
    </w:p>
    <w:p w14:paraId="624E4384" w14:textId="77777777" w:rsidR="00AE2918" w:rsidRDefault="00AE2918" w:rsidP="00AE2918">
      <w:pPr>
        <w:pStyle w:val="ListParagraph"/>
        <w:rPr>
          <w:sz w:val="23"/>
          <w:szCs w:val="23"/>
        </w:rPr>
      </w:pPr>
    </w:p>
    <w:p w14:paraId="6F810022" w14:textId="6DB498E8" w:rsidR="00AE2918" w:rsidRPr="00EF14BB" w:rsidRDefault="00AE2918" w:rsidP="00820392">
      <w:pPr>
        <w:pStyle w:val="BasicParagraph"/>
        <w:numPr>
          <w:ilvl w:val="1"/>
          <w:numId w:val="23"/>
        </w:numPr>
        <w:suppressAutoHyphens/>
        <w:ind w:left="709"/>
        <w:rPr>
          <w:rFonts w:ascii="Verdana" w:hAnsi="Verdana" w:cs="Arial"/>
          <w:b/>
          <w:color w:val="77328A"/>
        </w:rPr>
      </w:pPr>
      <w:r w:rsidRPr="00AE2918">
        <w:rPr>
          <w:rFonts w:ascii="Verdana" w:hAnsi="Verdana"/>
          <w:b/>
        </w:rPr>
        <w:t xml:space="preserve">The Commission </w:t>
      </w:r>
      <w:r w:rsidR="00443135">
        <w:rPr>
          <w:rFonts w:ascii="Verdana" w:hAnsi="Verdana"/>
          <w:b/>
        </w:rPr>
        <w:t>recommends</w:t>
      </w:r>
      <w:r w:rsidRPr="00AE2918">
        <w:rPr>
          <w:rFonts w:ascii="Verdana" w:hAnsi="Verdana"/>
          <w:b/>
        </w:rPr>
        <w:t xml:space="preserve"> the UK Home Office review</w:t>
      </w:r>
      <w:r w:rsidR="00443135">
        <w:rPr>
          <w:rFonts w:ascii="Verdana" w:hAnsi="Verdana"/>
          <w:b/>
        </w:rPr>
        <w:t>s</w:t>
      </w:r>
      <w:r w:rsidRPr="00AE2918">
        <w:rPr>
          <w:rFonts w:ascii="Verdana" w:hAnsi="Verdana"/>
          <w:b/>
        </w:rPr>
        <w:t xml:space="preserve"> the restrictions placed on people seeking asylum, </w:t>
      </w:r>
      <w:r w:rsidR="006135EA">
        <w:rPr>
          <w:rFonts w:ascii="Verdana" w:hAnsi="Verdana"/>
          <w:b/>
        </w:rPr>
        <w:t>including a prohibition on</w:t>
      </w:r>
      <w:r w:rsidRPr="00AE2918">
        <w:rPr>
          <w:rFonts w:ascii="Verdana" w:hAnsi="Verdana"/>
          <w:b/>
        </w:rPr>
        <w:t xml:space="preserve"> taking up work while claims are being processed.</w:t>
      </w:r>
    </w:p>
    <w:p w14:paraId="42EF08BF" w14:textId="77777777" w:rsidR="00EF14BB" w:rsidRDefault="00EF14BB" w:rsidP="00EF14BB">
      <w:pPr>
        <w:rPr>
          <w:rFonts w:ascii="Verdana" w:hAnsi="Verdana" w:cs="Arial"/>
          <w:b/>
          <w:color w:val="77328A"/>
        </w:rPr>
      </w:pPr>
    </w:p>
    <w:p w14:paraId="672F4C8B" w14:textId="77777777" w:rsidR="00EF14BB" w:rsidRDefault="00EF14BB" w:rsidP="00EF14BB">
      <w:pPr>
        <w:rPr>
          <w:rFonts w:ascii="Verdana" w:hAnsi="Verdana" w:cs="Arial"/>
          <w:b/>
          <w:color w:val="77328A"/>
        </w:rPr>
      </w:pPr>
    </w:p>
    <w:p w14:paraId="1C986370" w14:textId="77777777" w:rsidR="00EF14BB" w:rsidRDefault="00EF14BB" w:rsidP="00EF14BB">
      <w:pPr>
        <w:rPr>
          <w:rFonts w:ascii="Verdana" w:hAnsi="Verdana" w:cs="Arial"/>
          <w:i/>
        </w:rPr>
      </w:pPr>
      <w:r>
        <w:rPr>
          <w:rFonts w:ascii="Verdana" w:hAnsi="Verdana" w:cs="Arial"/>
          <w:i/>
        </w:rPr>
        <w:t>Modern Slavery</w:t>
      </w:r>
    </w:p>
    <w:p w14:paraId="1D2B8B98" w14:textId="77777777" w:rsidR="00EF14BB" w:rsidRPr="00EF14BB" w:rsidRDefault="00EF14BB" w:rsidP="00EF14BB">
      <w:pPr>
        <w:rPr>
          <w:rFonts w:ascii="Verdana" w:hAnsi="Verdana" w:cs="Arial"/>
          <w:i/>
        </w:rPr>
      </w:pPr>
    </w:p>
    <w:p w14:paraId="2A96F9C5" w14:textId="0858B1A9" w:rsidR="00EF14BB" w:rsidRPr="00DE1C44" w:rsidRDefault="000154A9" w:rsidP="00820392">
      <w:pPr>
        <w:pStyle w:val="BasicParagraph"/>
        <w:numPr>
          <w:ilvl w:val="1"/>
          <w:numId w:val="23"/>
        </w:numPr>
        <w:suppressAutoHyphens/>
        <w:ind w:left="709"/>
        <w:rPr>
          <w:rFonts w:ascii="Verdana" w:hAnsi="Verdana" w:cs="Arial"/>
          <w:b/>
          <w:color w:val="77328A"/>
        </w:rPr>
      </w:pPr>
      <w:r>
        <w:rPr>
          <w:rFonts w:ascii="Verdana" w:hAnsi="Verdana" w:cs="Arial"/>
          <w:color w:val="auto"/>
        </w:rPr>
        <w:t>T</w:t>
      </w:r>
      <w:r w:rsidR="00DE1C44">
        <w:rPr>
          <w:rFonts w:ascii="Verdana" w:hAnsi="Verdana" w:cs="Arial"/>
          <w:color w:val="auto"/>
        </w:rPr>
        <w:t xml:space="preserve">he UN CAT Committee </w:t>
      </w:r>
      <w:r>
        <w:rPr>
          <w:rFonts w:ascii="Verdana" w:hAnsi="Verdana" w:cs="Arial"/>
          <w:color w:val="auto"/>
        </w:rPr>
        <w:t xml:space="preserve">recommends </w:t>
      </w:r>
      <w:r w:rsidR="00DE1C44">
        <w:rPr>
          <w:rFonts w:ascii="Verdana" w:hAnsi="Verdana" w:cs="Arial"/>
          <w:color w:val="auto"/>
        </w:rPr>
        <w:t xml:space="preserve">that the UK Government and NI </w:t>
      </w:r>
      <w:r w:rsidR="00DE1C44" w:rsidRPr="00DE1C44">
        <w:rPr>
          <w:rFonts w:ascii="Verdana" w:hAnsi="Verdana" w:cs="Arial"/>
          <w:color w:val="auto"/>
        </w:rPr>
        <w:t>Executive “</w:t>
      </w:r>
      <w:r w:rsidR="00DE1C44" w:rsidRPr="00DE1C44">
        <w:rPr>
          <w:rFonts w:ascii="Verdana" w:hAnsi="Verdana"/>
        </w:rPr>
        <w:t>ensure access to sufficient protection and support for all victims of trafficking" including child victims</w:t>
      </w:r>
      <w:r w:rsidR="00DE1C44">
        <w:rPr>
          <w:rFonts w:ascii="Verdana" w:hAnsi="Verdana"/>
        </w:rPr>
        <w:t>.</w:t>
      </w:r>
      <w:r w:rsidR="00DE1C44">
        <w:rPr>
          <w:rStyle w:val="FootnoteReference"/>
          <w:rFonts w:ascii="Verdana" w:hAnsi="Verdana"/>
        </w:rPr>
        <w:footnoteReference w:id="54"/>
      </w:r>
    </w:p>
    <w:p w14:paraId="7CF8D334" w14:textId="77777777" w:rsidR="00DE1C44" w:rsidRPr="00DE1C44" w:rsidRDefault="00DE1C44" w:rsidP="00DE1C44">
      <w:pPr>
        <w:pStyle w:val="BasicParagraph"/>
        <w:suppressAutoHyphens/>
        <w:ind w:left="709"/>
        <w:rPr>
          <w:rFonts w:ascii="Verdana" w:hAnsi="Verdana" w:cs="Arial"/>
          <w:b/>
          <w:color w:val="77328A"/>
        </w:rPr>
      </w:pPr>
    </w:p>
    <w:p w14:paraId="70CB6D85" w14:textId="6A522EA6" w:rsidR="00DE1C44" w:rsidRPr="00DE1C44" w:rsidRDefault="000154A9" w:rsidP="00820392">
      <w:pPr>
        <w:pStyle w:val="BasicParagraph"/>
        <w:numPr>
          <w:ilvl w:val="1"/>
          <w:numId w:val="23"/>
        </w:numPr>
        <w:suppressAutoHyphens/>
        <w:ind w:left="709"/>
        <w:rPr>
          <w:rFonts w:ascii="Verdana" w:hAnsi="Verdana" w:cs="Arial"/>
          <w:b/>
          <w:color w:val="77328A"/>
        </w:rPr>
      </w:pPr>
      <w:r>
        <w:rPr>
          <w:rFonts w:ascii="Verdana" w:hAnsi="Verdana"/>
        </w:rPr>
        <w:t>T</w:t>
      </w:r>
      <w:r w:rsidR="00DE1C44">
        <w:rPr>
          <w:rFonts w:ascii="Verdana" w:hAnsi="Verdana"/>
        </w:rPr>
        <w:t>hree UN Special Rapporteurs</w:t>
      </w:r>
      <w:r w:rsidR="00DE1C44" w:rsidRPr="00DE1C44">
        <w:rPr>
          <w:rFonts w:ascii="Verdana" w:hAnsi="Verdana"/>
        </w:rPr>
        <w:t xml:space="preserve"> </w:t>
      </w:r>
      <w:r>
        <w:rPr>
          <w:rFonts w:ascii="Verdana" w:hAnsi="Verdana"/>
        </w:rPr>
        <w:t>have jointly expressed</w:t>
      </w:r>
      <w:r w:rsidR="00DE1C44" w:rsidRPr="00DE1C44">
        <w:rPr>
          <w:rFonts w:ascii="Verdana" w:hAnsi="Verdana"/>
        </w:rPr>
        <w:t xml:space="preserve"> concerns about the compliance of </w:t>
      </w:r>
      <w:r w:rsidR="002148C8">
        <w:rPr>
          <w:rFonts w:ascii="Verdana" w:hAnsi="Verdana"/>
        </w:rPr>
        <w:t xml:space="preserve">the </w:t>
      </w:r>
      <w:r w:rsidR="00DE1C44" w:rsidRPr="00DE1C44">
        <w:rPr>
          <w:rFonts w:ascii="Verdana" w:hAnsi="Verdana"/>
        </w:rPr>
        <w:t>then Nationality and Borders Bill with the UK</w:t>
      </w:r>
      <w:r w:rsidR="002148C8">
        <w:rPr>
          <w:rFonts w:ascii="Verdana" w:hAnsi="Verdana"/>
        </w:rPr>
        <w:t xml:space="preserve"> Government</w:t>
      </w:r>
      <w:r w:rsidR="00DE1C44" w:rsidRPr="00DE1C44">
        <w:rPr>
          <w:rFonts w:ascii="Verdana" w:hAnsi="Verdana"/>
        </w:rPr>
        <w:t>’s obligations “to prevent trafficking in persons, and assist and protect all victims of trafficking, without discrimination, as well as on the potential impact on the human rights of victims of trafficking and of contemporary forms of slavery”.</w:t>
      </w:r>
      <w:r w:rsidR="00DE1C44" w:rsidRPr="00DE1C44">
        <w:rPr>
          <w:rStyle w:val="FootnoteReference"/>
          <w:rFonts w:ascii="Verdana" w:hAnsi="Verdana"/>
        </w:rPr>
        <w:footnoteReference w:id="55"/>
      </w:r>
      <w:r w:rsidR="00DE1C44" w:rsidRPr="00DE1C44">
        <w:rPr>
          <w:rFonts w:ascii="Verdana" w:hAnsi="Verdana"/>
        </w:rPr>
        <w:t xml:space="preserve"> </w:t>
      </w:r>
      <w:r>
        <w:rPr>
          <w:rFonts w:ascii="Verdana" w:hAnsi="Verdana"/>
        </w:rPr>
        <w:t>They have also</w:t>
      </w:r>
      <w:r w:rsidR="00DE1C44">
        <w:rPr>
          <w:rFonts w:ascii="Verdana" w:hAnsi="Verdana"/>
        </w:rPr>
        <w:t xml:space="preserve"> highlighted </w:t>
      </w:r>
      <w:r w:rsidR="00DE1C44" w:rsidRPr="00DE1C44">
        <w:rPr>
          <w:rFonts w:ascii="Verdana" w:hAnsi="Verdana"/>
        </w:rPr>
        <w:t>the need to “recognise the impact of trauma” on victims of trafficking and contemporary forms of slavery, including not over-relying on victim statements</w:t>
      </w:r>
      <w:r w:rsidR="00DE1C44">
        <w:rPr>
          <w:rFonts w:ascii="Verdana" w:hAnsi="Verdana"/>
        </w:rPr>
        <w:t xml:space="preserve"> and the lack of recognition for the primacy of the rights of the child</w:t>
      </w:r>
      <w:r w:rsidR="00DE1C44" w:rsidRPr="00DE1C44">
        <w:rPr>
          <w:rFonts w:ascii="Verdana" w:hAnsi="Verdana"/>
        </w:rPr>
        <w:t>.</w:t>
      </w:r>
      <w:r w:rsidR="00DE1C44" w:rsidRPr="00DE1C44">
        <w:rPr>
          <w:rStyle w:val="FootnoteReference"/>
          <w:rFonts w:ascii="Verdana" w:hAnsi="Verdana"/>
        </w:rPr>
        <w:footnoteReference w:id="56"/>
      </w:r>
    </w:p>
    <w:p w14:paraId="47357C6E" w14:textId="77777777" w:rsidR="00DE1C44" w:rsidRDefault="00DE1C44" w:rsidP="00DE1C44">
      <w:pPr>
        <w:pStyle w:val="ListParagraph"/>
        <w:rPr>
          <w:rFonts w:ascii="Verdana" w:hAnsi="Verdana" w:cs="Arial"/>
          <w:b/>
          <w:color w:val="77328A"/>
        </w:rPr>
      </w:pPr>
    </w:p>
    <w:p w14:paraId="69F35E33" w14:textId="1DB2D0B6" w:rsidR="00DE1C44" w:rsidRPr="005C0531" w:rsidRDefault="00DE1C44" w:rsidP="00820392">
      <w:pPr>
        <w:pStyle w:val="BasicParagraph"/>
        <w:numPr>
          <w:ilvl w:val="1"/>
          <w:numId w:val="23"/>
        </w:numPr>
        <w:suppressAutoHyphens/>
        <w:ind w:left="709"/>
        <w:rPr>
          <w:rFonts w:ascii="Verdana" w:hAnsi="Verdana" w:cs="Arial"/>
          <w:b/>
          <w:color w:val="77328A"/>
        </w:rPr>
      </w:pPr>
      <w:r>
        <w:rPr>
          <w:rFonts w:ascii="Verdana" w:hAnsi="Verdana" w:cs="Arial"/>
          <w:color w:val="auto"/>
        </w:rPr>
        <w:t xml:space="preserve">The Nationality and Borders Act </w:t>
      </w:r>
      <w:r w:rsidR="00530D1F">
        <w:rPr>
          <w:rFonts w:ascii="Verdana" w:hAnsi="Verdana" w:cs="Arial"/>
          <w:color w:val="auto"/>
        </w:rPr>
        <w:t xml:space="preserve">2022 </w:t>
      </w:r>
      <w:r>
        <w:rPr>
          <w:rFonts w:ascii="Verdana" w:hAnsi="Verdana" w:cs="Arial"/>
          <w:color w:val="auto"/>
        </w:rPr>
        <w:t>seeks to disapply the EU Trafficking Directive where it conflicts with a provision of the Act. The Commission considers the EU Trafficking Directive as underpinning victims’ rights</w:t>
      </w:r>
      <w:r w:rsidR="005C0531">
        <w:rPr>
          <w:rFonts w:ascii="Verdana" w:hAnsi="Verdana" w:cs="Arial"/>
          <w:color w:val="auto"/>
        </w:rPr>
        <w:t>,</w:t>
      </w:r>
      <w:r>
        <w:rPr>
          <w:rFonts w:ascii="Verdana" w:hAnsi="Verdana" w:cs="Arial"/>
          <w:color w:val="auto"/>
        </w:rPr>
        <w:t xml:space="preserve"> which are protected under the Belfast (</w:t>
      </w:r>
      <w:r w:rsidR="00BD6EAF">
        <w:rPr>
          <w:rFonts w:ascii="Verdana" w:hAnsi="Verdana" w:cs="Arial"/>
          <w:color w:val="auto"/>
        </w:rPr>
        <w:t>G</w:t>
      </w:r>
      <w:r>
        <w:rPr>
          <w:rFonts w:ascii="Verdana" w:hAnsi="Verdana" w:cs="Arial"/>
          <w:color w:val="auto"/>
        </w:rPr>
        <w:t>ood Friday) Agreement</w:t>
      </w:r>
      <w:r w:rsidR="005C0531">
        <w:rPr>
          <w:rFonts w:ascii="Verdana" w:hAnsi="Verdana" w:cs="Arial"/>
          <w:color w:val="auto"/>
        </w:rPr>
        <w:t xml:space="preserve"> and thus falls within scope of Protocol Article 2</w:t>
      </w:r>
      <w:r>
        <w:rPr>
          <w:rFonts w:ascii="Verdana" w:hAnsi="Verdana" w:cs="Arial"/>
          <w:color w:val="auto"/>
        </w:rPr>
        <w:t>.</w:t>
      </w:r>
      <w:r>
        <w:rPr>
          <w:rStyle w:val="FootnoteReference"/>
          <w:rFonts w:ascii="Verdana" w:hAnsi="Verdana" w:cs="Arial"/>
          <w:color w:val="auto"/>
        </w:rPr>
        <w:footnoteReference w:id="57"/>
      </w:r>
      <w:r>
        <w:rPr>
          <w:rFonts w:ascii="Verdana" w:hAnsi="Verdana" w:cs="Arial"/>
          <w:color w:val="auto"/>
        </w:rPr>
        <w:t xml:space="preserve"> </w:t>
      </w:r>
      <w:r w:rsidR="005C0531">
        <w:rPr>
          <w:rFonts w:ascii="Verdana" w:hAnsi="Verdana" w:cs="Arial"/>
          <w:color w:val="auto"/>
        </w:rPr>
        <w:t xml:space="preserve">The Commission is concerned that Protocol Article 2 was not fully considered in the drafting of the </w:t>
      </w:r>
      <w:r w:rsidR="00530D1F">
        <w:rPr>
          <w:rFonts w:ascii="Verdana" w:hAnsi="Verdana" w:cs="Arial"/>
          <w:color w:val="auto"/>
        </w:rPr>
        <w:t>2022</w:t>
      </w:r>
      <w:r w:rsidR="005C0531">
        <w:rPr>
          <w:rFonts w:ascii="Verdana" w:hAnsi="Verdana" w:cs="Arial"/>
          <w:color w:val="auto"/>
        </w:rPr>
        <w:t xml:space="preserve"> Act.</w:t>
      </w:r>
      <w:r w:rsidR="00DD0E83">
        <w:rPr>
          <w:rFonts w:ascii="Verdana" w:hAnsi="Verdana" w:cs="Arial"/>
          <w:color w:val="auto"/>
        </w:rPr>
        <w:t xml:space="preserve"> The UK Government should ensure compliance with the EU Trafficking Directive to ensure there is no diminution of rights as a result of the 2022 Act.</w:t>
      </w:r>
    </w:p>
    <w:p w14:paraId="3871CD5A" w14:textId="77777777" w:rsidR="005C0531" w:rsidRDefault="005C0531" w:rsidP="005C0531">
      <w:pPr>
        <w:pStyle w:val="ListParagraph"/>
        <w:rPr>
          <w:rFonts w:ascii="Verdana" w:hAnsi="Verdana" w:cs="Arial"/>
          <w:b/>
          <w:color w:val="77328A"/>
        </w:rPr>
      </w:pPr>
    </w:p>
    <w:p w14:paraId="00DFD515" w14:textId="2A38482D" w:rsidR="00925B4D" w:rsidRPr="00925B4D" w:rsidRDefault="005C0531" w:rsidP="00820392">
      <w:pPr>
        <w:pStyle w:val="BasicParagraph"/>
        <w:numPr>
          <w:ilvl w:val="1"/>
          <w:numId w:val="23"/>
        </w:numPr>
        <w:suppressAutoHyphens/>
        <w:ind w:left="709"/>
        <w:rPr>
          <w:rFonts w:ascii="Verdana" w:hAnsi="Verdana" w:cs="Arial"/>
          <w:b/>
          <w:color w:val="77328A"/>
        </w:rPr>
      </w:pPr>
      <w:r>
        <w:rPr>
          <w:rFonts w:ascii="Verdana" w:hAnsi="Verdana" w:cs="Arial"/>
          <w:color w:val="auto"/>
        </w:rPr>
        <w:t xml:space="preserve">Section 58 of the </w:t>
      </w:r>
      <w:r w:rsidR="00530D1F">
        <w:rPr>
          <w:rFonts w:ascii="Verdana" w:hAnsi="Verdana" w:cs="Arial"/>
          <w:color w:val="auto"/>
        </w:rPr>
        <w:t>2022</w:t>
      </w:r>
      <w:r>
        <w:rPr>
          <w:rFonts w:ascii="Verdana" w:hAnsi="Verdana" w:cs="Arial"/>
          <w:color w:val="auto"/>
        </w:rPr>
        <w:t xml:space="preserve"> Act introduces Trafficking Information Notices, while Section 59 states that late compliance with such notices, without a valid excuse</w:t>
      </w:r>
      <w:r w:rsidR="00925B4D">
        <w:rPr>
          <w:rFonts w:ascii="Verdana" w:hAnsi="Verdana" w:cs="Arial"/>
          <w:color w:val="auto"/>
        </w:rPr>
        <w:t>, must be taken as damaging a person’s credibility. There are concerns that this does not adequately take into consideration the trauma that victims of trafficking experience.</w:t>
      </w:r>
      <w:r w:rsidR="00DD0E83">
        <w:rPr>
          <w:rStyle w:val="FootnoteReference"/>
          <w:rFonts w:ascii="Verdana" w:hAnsi="Verdana" w:cs="Arial"/>
          <w:color w:val="auto"/>
        </w:rPr>
        <w:footnoteReference w:id="58"/>
      </w:r>
    </w:p>
    <w:p w14:paraId="25FE42E0" w14:textId="77777777" w:rsidR="00925B4D" w:rsidRDefault="00925B4D" w:rsidP="00925B4D">
      <w:pPr>
        <w:pStyle w:val="ListParagraph"/>
      </w:pPr>
    </w:p>
    <w:p w14:paraId="2658405A" w14:textId="42E97723" w:rsidR="00925B4D" w:rsidRPr="00925B4D" w:rsidRDefault="00925B4D" w:rsidP="00820392">
      <w:pPr>
        <w:pStyle w:val="BasicParagraph"/>
        <w:numPr>
          <w:ilvl w:val="1"/>
          <w:numId w:val="23"/>
        </w:numPr>
        <w:suppressAutoHyphens/>
        <w:ind w:left="709"/>
        <w:rPr>
          <w:rFonts w:ascii="Verdana" w:hAnsi="Verdana" w:cs="Arial"/>
          <w:b/>
          <w:color w:val="77328A"/>
        </w:rPr>
      </w:pPr>
      <w:r w:rsidRPr="00925B4D">
        <w:rPr>
          <w:rFonts w:ascii="Verdana" w:hAnsi="Verdana"/>
          <w:b/>
        </w:rPr>
        <w:t xml:space="preserve">The Commission recommends that the Home Office embeds consideration of Protocol Article 2 </w:t>
      </w:r>
      <w:r w:rsidR="005827B2">
        <w:rPr>
          <w:rFonts w:ascii="Verdana" w:hAnsi="Verdana"/>
          <w:b/>
        </w:rPr>
        <w:t xml:space="preserve">to ensure compliance </w:t>
      </w:r>
      <w:r w:rsidRPr="00925B4D">
        <w:rPr>
          <w:rFonts w:ascii="Verdana" w:hAnsi="Verdana"/>
          <w:b/>
        </w:rPr>
        <w:t xml:space="preserve">in the </w:t>
      </w:r>
      <w:r w:rsidRPr="00925B4D">
        <w:rPr>
          <w:rFonts w:ascii="Verdana" w:hAnsi="Verdana"/>
          <w:b/>
        </w:rPr>
        <w:lastRenderedPageBreak/>
        <w:t xml:space="preserve">development and implementation of subsequent Regulations and Guidance on human trafficking resulting from the Nationality and Borders Act 2022. </w:t>
      </w:r>
    </w:p>
    <w:p w14:paraId="22A98BC9" w14:textId="77777777" w:rsidR="00925B4D" w:rsidRDefault="00925B4D" w:rsidP="00925B4D">
      <w:pPr>
        <w:pStyle w:val="ListParagraph"/>
        <w:rPr>
          <w:rFonts w:ascii="Verdana" w:hAnsi="Verdana"/>
          <w:b/>
        </w:rPr>
      </w:pPr>
    </w:p>
    <w:p w14:paraId="5D645A00" w14:textId="77777777" w:rsidR="00925B4D" w:rsidRPr="00925B4D" w:rsidRDefault="00925B4D" w:rsidP="00820392">
      <w:pPr>
        <w:pStyle w:val="BasicParagraph"/>
        <w:numPr>
          <w:ilvl w:val="1"/>
          <w:numId w:val="23"/>
        </w:numPr>
        <w:suppressAutoHyphens/>
        <w:ind w:left="709"/>
        <w:rPr>
          <w:rFonts w:ascii="Verdana" w:hAnsi="Verdana" w:cs="Arial"/>
          <w:b/>
          <w:color w:val="77328A"/>
        </w:rPr>
      </w:pPr>
      <w:r w:rsidRPr="00925B4D">
        <w:rPr>
          <w:rFonts w:ascii="Verdana" w:hAnsi="Verdana"/>
          <w:b/>
        </w:rPr>
        <w:t>The Commission further recommends that subsequent regulations and guidance should ensure the needs of child victims of modern slavery and human trafficking are safeguarded and the best interests principle is embedded.</w:t>
      </w:r>
    </w:p>
    <w:p w14:paraId="6DDD8821" w14:textId="77777777" w:rsidR="00925B4D" w:rsidRDefault="00925B4D" w:rsidP="00925B4D">
      <w:pPr>
        <w:pStyle w:val="ListParagraph"/>
        <w:rPr>
          <w:rFonts w:ascii="Verdana" w:hAnsi="Verdana" w:cs="Arial"/>
          <w:b/>
          <w:color w:val="77328A"/>
        </w:rPr>
      </w:pPr>
    </w:p>
    <w:p w14:paraId="6EDECBE3" w14:textId="77777777" w:rsidR="004C2185" w:rsidRDefault="004C2185" w:rsidP="00925B4D">
      <w:pPr>
        <w:pStyle w:val="BasicParagraph"/>
        <w:suppressAutoHyphens/>
        <w:rPr>
          <w:rFonts w:ascii="Verdana" w:hAnsi="Verdana" w:cs="Arial"/>
          <w:i/>
          <w:color w:val="auto"/>
        </w:rPr>
      </w:pPr>
    </w:p>
    <w:p w14:paraId="66BC3F24" w14:textId="59961CE1" w:rsidR="00925B4D" w:rsidRDefault="00925B4D" w:rsidP="00925B4D">
      <w:pPr>
        <w:pStyle w:val="BasicParagraph"/>
        <w:suppressAutoHyphens/>
        <w:rPr>
          <w:rFonts w:ascii="Verdana" w:hAnsi="Verdana" w:cs="Arial"/>
          <w:i/>
          <w:color w:val="auto"/>
        </w:rPr>
      </w:pPr>
      <w:r>
        <w:rPr>
          <w:rFonts w:ascii="Verdana" w:hAnsi="Verdana" w:cs="Arial"/>
          <w:i/>
          <w:color w:val="auto"/>
        </w:rPr>
        <w:t>Nationality and Borders Act</w:t>
      </w:r>
      <w:r w:rsidR="00530D1F">
        <w:rPr>
          <w:rFonts w:ascii="Verdana" w:hAnsi="Verdana" w:cs="Arial"/>
          <w:i/>
          <w:color w:val="auto"/>
        </w:rPr>
        <w:t xml:space="preserve"> 2022</w:t>
      </w:r>
    </w:p>
    <w:p w14:paraId="5ECF2A4F" w14:textId="77777777" w:rsidR="00925B4D" w:rsidRPr="00925B4D" w:rsidRDefault="00925B4D" w:rsidP="00925B4D">
      <w:pPr>
        <w:pStyle w:val="BasicParagraph"/>
        <w:suppressAutoHyphens/>
        <w:rPr>
          <w:rFonts w:ascii="Verdana" w:hAnsi="Verdana" w:cs="Arial"/>
          <w:i/>
          <w:color w:val="auto"/>
        </w:rPr>
      </w:pPr>
    </w:p>
    <w:p w14:paraId="4C96F78F" w14:textId="577F14BD" w:rsidR="00925B4D" w:rsidRPr="00E31815" w:rsidRDefault="00925B4D" w:rsidP="00820392">
      <w:pPr>
        <w:pStyle w:val="BasicParagraph"/>
        <w:numPr>
          <w:ilvl w:val="1"/>
          <w:numId w:val="23"/>
        </w:numPr>
        <w:suppressAutoHyphens/>
        <w:ind w:left="709"/>
        <w:rPr>
          <w:rFonts w:ascii="Verdana" w:hAnsi="Verdana" w:cs="Arial"/>
          <w:b/>
          <w:color w:val="77328A"/>
        </w:rPr>
      </w:pPr>
      <w:r>
        <w:rPr>
          <w:rFonts w:ascii="Verdana" w:hAnsi="Verdana" w:cs="Arial"/>
          <w:color w:val="auto"/>
        </w:rPr>
        <w:t xml:space="preserve">In </w:t>
      </w:r>
      <w:r w:rsidRPr="00925B4D">
        <w:rPr>
          <w:rFonts w:ascii="Verdana" w:hAnsi="Verdana" w:cs="Arial"/>
          <w:color w:val="auto"/>
        </w:rPr>
        <w:t xml:space="preserve">addition to the concerns on the </w:t>
      </w:r>
      <w:r w:rsidR="00530D1F">
        <w:rPr>
          <w:rFonts w:ascii="Verdana" w:hAnsi="Verdana" w:cs="Arial"/>
          <w:color w:val="auto"/>
        </w:rPr>
        <w:t xml:space="preserve">2022 </w:t>
      </w:r>
      <w:r w:rsidRPr="00925B4D">
        <w:rPr>
          <w:rFonts w:ascii="Verdana" w:hAnsi="Verdana" w:cs="Arial"/>
          <w:color w:val="auto"/>
        </w:rPr>
        <w:t xml:space="preserve">Act’s modern slavery provisions, </w:t>
      </w:r>
      <w:r w:rsidRPr="00925B4D">
        <w:rPr>
          <w:rFonts w:ascii="Verdana" w:hAnsi="Verdana"/>
        </w:rPr>
        <w:t>the Commission remains concerned about the creation of a two-tier system of legal protections and the penalising of refugees who arrive in the UK through irregular means. The changes to procedures and the appeals processes also remove important safeguards and undermines the long-established principle that refugees and people seeking asylum should receive the benefit of the doubt in their applications.</w:t>
      </w:r>
      <w:r w:rsidRPr="00925B4D">
        <w:rPr>
          <w:rStyle w:val="FootnoteReference"/>
          <w:rFonts w:ascii="Verdana" w:hAnsi="Verdana"/>
        </w:rPr>
        <w:footnoteReference w:id="59"/>
      </w:r>
    </w:p>
    <w:p w14:paraId="56A40124" w14:textId="77777777" w:rsidR="00E31815" w:rsidRPr="00E31815" w:rsidRDefault="00E31815" w:rsidP="00E31815">
      <w:pPr>
        <w:pStyle w:val="BasicParagraph"/>
        <w:suppressAutoHyphens/>
        <w:ind w:left="709"/>
        <w:rPr>
          <w:rFonts w:ascii="Verdana" w:hAnsi="Verdana" w:cs="Arial"/>
          <w:b/>
          <w:color w:val="77328A"/>
        </w:rPr>
      </w:pPr>
    </w:p>
    <w:p w14:paraId="6CCC93E6" w14:textId="77777777" w:rsidR="00E31815" w:rsidRPr="00E31815" w:rsidRDefault="00E31815" w:rsidP="00820392">
      <w:pPr>
        <w:pStyle w:val="BasicParagraph"/>
        <w:numPr>
          <w:ilvl w:val="1"/>
          <w:numId w:val="23"/>
        </w:numPr>
        <w:suppressAutoHyphens/>
        <w:ind w:left="709"/>
        <w:rPr>
          <w:rFonts w:ascii="Verdana" w:hAnsi="Verdana" w:cs="Arial"/>
          <w:b/>
          <w:color w:val="77328A"/>
        </w:rPr>
      </w:pPr>
      <w:r>
        <w:rPr>
          <w:rFonts w:ascii="Verdana" w:hAnsi="Verdana" w:cs="Arial"/>
          <w:color w:val="auto"/>
        </w:rPr>
        <w:t>The Act introduces Electronic Travel Authorisations, which will be required for all non-British who require leave to enter the UK when travelling from Ireland. Irish citizens are excluded as they do not require leave to enter the UK under Section 3ZA of the Immigration Act 1971.</w:t>
      </w:r>
    </w:p>
    <w:p w14:paraId="7F52C5E1" w14:textId="77777777" w:rsidR="00E31815" w:rsidRDefault="00E31815" w:rsidP="00E31815">
      <w:pPr>
        <w:pStyle w:val="ListParagraph"/>
        <w:rPr>
          <w:rFonts w:ascii="Verdana" w:hAnsi="Verdana"/>
        </w:rPr>
      </w:pPr>
    </w:p>
    <w:p w14:paraId="257E3529" w14:textId="77777777" w:rsidR="00E31815" w:rsidRPr="00E31815" w:rsidRDefault="00E31815" w:rsidP="00820392">
      <w:pPr>
        <w:pStyle w:val="BasicParagraph"/>
        <w:numPr>
          <w:ilvl w:val="1"/>
          <w:numId w:val="23"/>
        </w:numPr>
        <w:suppressAutoHyphens/>
        <w:ind w:left="709"/>
        <w:rPr>
          <w:rFonts w:ascii="Verdana" w:hAnsi="Verdana" w:cs="Arial"/>
          <w:b/>
          <w:color w:val="77328A"/>
        </w:rPr>
      </w:pPr>
      <w:r>
        <w:rPr>
          <w:rFonts w:ascii="Verdana" w:hAnsi="Verdana"/>
        </w:rPr>
        <w:t>The</w:t>
      </w:r>
      <w:r w:rsidRPr="00E31815">
        <w:rPr>
          <w:rFonts w:ascii="Verdana" w:hAnsi="Verdana"/>
        </w:rPr>
        <w:t xml:space="preserve"> Explanatory Notes confirmed that</w:t>
      </w:r>
      <w:r>
        <w:rPr>
          <w:rFonts w:ascii="Verdana" w:hAnsi="Verdana"/>
        </w:rPr>
        <w:t>, while</w:t>
      </w:r>
      <w:r w:rsidRPr="00E31815">
        <w:rPr>
          <w:rFonts w:ascii="Verdana" w:hAnsi="Verdana"/>
        </w:rPr>
        <w:t xml:space="preserve"> British and Irish citizens do not require an Electronic Travel Authorisation, their permission to travel will require evidence of their nationality, as “demonstrated by their passports”.</w:t>
      </w:r>
      <w:r w:rsidRPr="00E31815">
        <w:rPr>
          <w:rStyle w:val="FootnoteReference"/>
          <w:rFonts w:ascii="Verdana" w:hAnsi="Verdana"/>
        </w:rPr>
        <w:footnoteReference w:id="60"/>
      </w:r>
      <w:r w:rsidRPr="00E31815">
        <w:rPr>
          <w:rFonts w:ascii="Verdana" w:hAnsi="Verdana"/>
        </w:rPr>
        <w:t xml:space="preserve"> It is unclear what measures are in place to decide which individuals will be required to ‘demonstrate’ that permission to travel</w:t>
      </w:r>
      <w:r>
        <w:rPr>
          <w:rFonts w:ascii="Verdana" w:hAnsi="Verdana"/>
        </w:rPr>
        <w:t xml:space="preserve"> but concerns have been raised that this may lead to an increase in racial profiling</w:t>
      </w:r>
      <w:r w:rsidRPr="00E31815">
        <w:rPr>
          <w:rFonts w:ascii="Verdana" w:hAnsi="Verdana"/>
        </w:rPr>
        <w:t>.</w:t>
      </w:r>
    </w:p>
    <w:p w14:paraId="75CA3970" w14:textId="77777777" w:rsidR="00E31815" w:rsidRDefault="00E31815" w:rsidP="00E31815">
      <w:pPr>
        <w:pStyle w:val="ListParagraph"/>
        <w:rPr>
          <w:rFonts w:ascii="Verdana" w:hAnsi="Verdana" w:cs="Arial"/>
        </w:rPr>
      </w:pPr>
    </w:p>
    <w:p w14:paraId="6A0A6BD4" w14:textId="77777777" w:rsidR="00E31815" w:rsidRPr="00E31815" w:rsidRDefault="00E31815" w:rsidP="00820392">
      <w:pPr>
        <w:pStyle w:val="BasicParagraph"/>
        <w:numPr>
          <w:ilvl w:val="1"/>
          <w:numId w:val="23"/>
        </w:numPr>
        <w:suppressAutoHyphens/>
        <w:ind w:left="709"/>
        <w:rPr>
          <w:rFonts w:ascii="Verdana" w:hAnsi="Verdana" w:cs="Arial"/>
          <w:b/>
          <w:color w:val="77328A"/>
        </w:rPr>
      </w:pPr>
      <w:r w:rsidRPr="00E31815">
        <w:rPr>
          <w:rFonts w:ascii="Verdana" w:hAnsi="Verdana" w:cs="Arial"/>
          <w:color w:val="auto"/>
        </w:rPr>
        <w:t xml:space="preserve">The Commission has raised concerns that additional restrictions or checks would likely engage Article 8 ECHR. The Commission has </w:t>
      </w:r>
      <w:r w:rsidRPr="00E31815">
        <w:rPr>
          <w:rFonts w:ascii="Verdana" w:hAnsi="Verdana"/>
          <w:color w:val="auto"/>
        </w:rPr>
        <w:t xml:space="preserve">recommended </w:t>
      </w:r>
      <w:r>
        <w:rPr>
          <w:rFonts w:ascii="Verdana" w:hAnsi="Verdana"/>
          <w:color w:val="auto"/>
        </w:rPr>
        <w:t xml:space="preserve">to the Home Office </w:t>
      </w:r>
      <w:r w:rsidRPr="00E31815">
        <w:rPr>
          <w:rFonts w:ascii="Verdana" w:hAnsi="Verdana"/>
          <w:color w:val="auto"/>
        </w:rPr>
        <w:t xml:space="preserve">that the then draft Nationality and Borders Bill be amended to provide a mechanism for timely review and/or appeal and that </w:t>
      </w:r>
      <w:r w:rsidRPr="00E31815">
        <w:rPr>
          <w:rFonts w:ascii="Verdana" w:hAnsi="Verdana"/>
          <w:color w:val="auto"/>
        </w:rPr>
        <w:lastRenderedPageBreak/>
        <w:t>all journeys to NI from Ireland be exempt from Electronic Travel Authorisation requirements.</w:t>
      </w:r>
      <w:r w:rsidRPr="00E31815">
        <w:rPr>
          <w:rStyle w:val="FootnoteReference"/>
          <w:rFonts w:ascii="Verdana" w:hAnsi="Verdana"/>
          <w:color w:val="auto"/>
        </w:rPr>
        <w:footnoteReference w:id="61"/>
      </w:r>
    </w:p>
    <w:p w14:paraId="2CD7A4D2" w14:textId="77777777" w:rsidR="00925B4D" w:rsidRPr="00925B4D" w:rsidRDefault="00925B4D" w:rsidP="00925B4D">
      <w:pPr>
        <w:pStyle w:val="BasicParagraph"/>
        <w:suppressAutoHyphens/>
        <w:ind w:left="709"/>
        <w:rPr>
          <w:rFonts w:ascii="Verdana" w:hAnsi="Verdana" w:cs="Arial"/>
          <w:b/>
          <w:color w:val="77328A"/>
        </w:rPr>
      </w:pPr>
    </w:p>
    <w:p w14:paraId="67DAC8FB" w14:textId="6F6CCCE7" w:rsidR="00E31815" w:rsidRPr="00E31815" w:rsidRDefault="00925B4D" w:rsidP="00820392">
      <w:pPr>
        <w:pStyle w:val="BasicParagraph"/>
        <w:numPr>
          <w:ilvl w:val="1"/>
          <w:numId w:val="23"/>
        </w:numPr>
        <w:suppressAutoHyphens/>
        <w:ind w:left="709"/>
        <w:rPr>
          <w:rFonts w:ascii="Verdana" w:hAnsi="Verdana" w:cs="Arial"/>
          <w:b/>
          <w:color w:val="77328A"/>
        </w:rPr>
      </w:pPr>
      <w:r w:rsidRPr="00925B4D">
        <w:rPr>
          <w:rFonts w:ascii="Verdana" w:hAnsi="Verdana"/>
          <w:b/>
        </w:rPr>
        <w:t xml:space="preserve">The Commission recommends </w:t>
      </w:r>
      <w:r w:rsidR="004C2185">
        <w:rPr>
          <w:rFonts w:ascii="Verdana" w:hAnsi="Verdana"/>
          <w:b/>
        </w:rPr>
        <w:t>that</w:t>
      </w:r>
      <w:r w:rsidRPr="00925B4D">
        <w:rPr>
          <w:rFonts w:ascii="Verdana" w:hAnsi="Verdana"/>
          <w:b/>
        </w:rPr>
        <w:t xml:space="preserve"> appropriate safeguards </w:t>
      </w:r>
      <w:r w:rsidR="004C2185">
        <w:rPr>
          <w:rFonts w:ascii="Verdana" w:hAnsi="Verdana"/>
          <w:b/>
        </w:rPr>
        <w:t xml:space="preserve">are developed </w:t>
      </w:r>
      <w:r w:rsidRPr="00925B4D">
        <w:rPr>
          <w:rFonts w:ascii="Verdana" w:hAnsi="Verdana"/>
          <w:b/>
        </w:rPr>
        <w:t>through statutory regulations and guidance to ensure the enactment of the Nationality and Borders Act 2022 does not have a negative effect on refugees and people seeking asylum.</w:t>
      </w:r>
    </w:p>
    <w:p w14:paraId="4F5D23F8" w14:textId="77777777" w:rsidR="00E31815" w:rsidRDefault="00E31815" w:rsidP="00E31815">
      <w:pPr>
        <w:pStyle w:val="ListParagraph"/>
        <w:rPr>
          <w:rFonts w:ascii="Verdana" w:hAnsi="Verdana" w:cs="Arial"/>
          <w:bCs/>
        </w:rPr>
      </w:pPr>
    </w:p>
    <w:p w14:paraId="4339B251" w14:textId="77777777" w:rsidR="00E31815" w:rsidRPr="00E31815" w:rsidRDefault="00E31815" w:rsidP="00820392">
      <w:pPr>
        <w:pStyle w:val="BasicParagraph"/>
        <w:numPr>
          <w:ilvl w:val="1"/>
          <w:numId w:val="23"/>
        </w:numPr>
        <w:suppressAutoHyphens/>
        <w:ind w:left="709"/>
        <w:rPr>
          <w:rFonts w:ascii="Verdana" w:hAnsi="Verdana" w:cs="Arial"/>
          <w:b/>
          <w:color w:val="77328A"/>
        </w:rPr>
      </w:pPr>
      <w:r w:rsidRPr="00E31815">
        <w:rPr>
          <w:rFonts w:ascii="Verdana" w:hAnsi="Verdana" w:cs="Arial"/>
          <w:b/>
          <w:bCs/>
        </w:rPr>
        <w:t>The Commission recommends that effective steps are taken by the Home Office to prevent and address racial profiling, including through appropriate training and monitoring, in the implementation of the revised guidance on the Common Travel Area and Electronic Travel Authorisation requirements, including at entry to NI at ports and airports and in the context of cross-border travel.</w:t>
      </w:r>
      <w:bookmarkStart w:id="5" w:name="_Hlk111536433"/>
    </w:p>
    <w:p w14:paraId="177AA35F" w14:textId="77777777" w:rsidR="00E31815" w:rsidRDefault="00E31815" w:rsidP="00E31815">
      <w:pPr>
        <w:pStyle w:val="ListParagraph"/>
        <w:rPr>
          <w:rFonts w:ascii="Verdana" w:hAnsi="Verdana" w:cs="Arial"/>
          <w:bCs/>
        </w:rPr>
      </w:pPr>
    </w:p>
    <w:p w14:paraId="56DA3419" w14:textId="24B30D23" w:rsidR="00E31815" w:rsidRPr="00E31815" w:rsidRDefault="00E31815" w:rsidP="00820392">
      <w:pPr>
        <w:pStyle w:val="BasicParagraph"/>
        <w:numPr>
          <w:ilvl w:val="1"/>
          <w:numId w:val="23"/>
        </w:numPr>
        <w:suppressAutoHyphens/>
        <w:ind w:left="709"/>
        <w:rPr>
          <w:rFonts w:ascii="Verdana" w:hAnsi="Verdana" w:cs="Arial"/>
          <w:b/>
          <w:color w:val="77328A"/>
        </w:rPr>
      </w:pPr>
      <w:r w:rsidRPr="00E31815">
        <w:rPr>
          <w:rFonts w:ascii="Verdana" w:hAnsi="Verdana" w:cs="Arial"/>
          <w:b/>
          <w:bCs/>
        </w:rPr>
        <w:t>The Commission recommends that the Home Office ensures that all journeys into NI, originating from Ireland, are exempt from Electronic Travel Authorisation requirements.</w:t>
      </w:r>
    </w:p>
    <w:bookmarkEnd w:id="5"/>
    <w:p w14:paraId="0C0D92F4" w14:textId="77777777" w:rsidR="00E31815" w:rsidRPr="00925B4D" w:rsidRDefault="00E31815" w:rsidP="00E31815">
      <w:pPr>
        <w:pStyle w:val="BasicParagraph"/>
        <w:suppressAutoHyphens/>
        <w:ind w:left="-11"/>
        <w:rPr>
          <w:rFonts w:ascii="Verdana" w:hAnsi="Verdana" w:cs="Arial"/>
          <w:b/>
          <w:color w:val="77328A"/>
        </w:rPr>
      </w:pPr>
    </w:p>
    <w:p w14:paraId="7FCB5561" w14:textId="77777777" w:rsidR="00925B4D" w:rsidRPr="00DE1C44" w:rsidRDefault="00925B4D" w:rsidP="00925B4D">
      <w:pPr>
        <w:pStyle w:val="BasicParagraph"/>
        <w:suppressAutoHyphens/>
        <w:rPr>
          <w:rFonts w:ascii="Verdana" w:hAnsi="Verdana" w:cs="Arial"/>
          <w:b/>
          <w:color w:val="77328A"/>
        </w:rPr>
      </w:pPr>
    </w:p>
    <w:p w14:paraId="36977A07" w14:textId="77777777" w:rsidR="00AE2918" w:rsidRPr="00AE2918" w:rsidRDefault="00AE2918" w:rsidP="00AE2918">
      <w:pPr>
        <w:pStyle w:val="BasicParagraph"/>
        <w:suppressAutoHyphens/>
        <w:ind w:left="709"/>
        <w:rPr>
          <w:rFonts w:ascii="Verdana" w:hAnsi="Verdana" w:cs="Arial"/>
          <w:b/>
          <w:color w:val="77328A"/>
          <w:sz w:val="30"/>
          <w:szCs w:val="30"/>
        </w:rPr>
      </w:pPr>
    </w:p>
    <w:p w14:paraId="6C3127E5" w14:textId="77777777" w:rsidR="001361D5" w:rsidRPr="001361D5" w:rsidRDefault="001361D5" w:rsidP="001361D5">
      <w:pPr>
        <w:pStyle w:val="BasicParagraph"/>
        <w:suppressAutoHyphens/>
        <w:rPr>
          <w:rFonts w:ascii="Verdana" w:hAnsi="Verdana" w:cs="Arial"/>
          <w:i/>
          <w:color w:val="auto"/>
        </w:rPr>
      </w:pPr>
    </w:p>
    <w:p w14:paraId="34D475BA" w14:textId="77777777" w:rsidR="001361D5" w:rsidRPr="001361D5" w:rsidRDefault="001361D5" w:rsidP="001361D5">
      <w:pPr>
        <w:pStyle w:val="BasicParagraph"/>
        <w:suppressAutoHyphens/>
        <w:rPr>
          <w:rFonts w:ascii="Verdana" w:hAnsi="Verdana" w:cs="Arial"/>
          <w:b/>
          <w:color w:val="77328A"/>
          <w:sz w:val="30"/>
          <w:szCs w:val="30"/>
        </w:rPr>
      </w:pPr>
    </w:p>
    <w:p w14:paraId="55B52C06" w14:textId="77777777" w:rsidR="00BF1279" w:rsidRDefault="00BF1279" w:rsidP="00331C61">
      <w:pPr>
        <w:pStyle w:val="BasicParagraph"/>
        <w:suppressAutoHyphens/>
        <w:rPr>
          <w:rFonts w:ascii="Verdana" w:hAnsi="Verdana" w:cs="Arial"/>
          <w:color w:val="77328A"/>
          <w:sz w:val="30"/>
          <w:szCs w:val="30"/>
        </w:rPr>
      </w:pPr>
    </w:p>
    <w:p w14:paraId="2266B8A6" w14:textId="77777777" w:rsidR="00BF1279" w:rsidRDefault="00BF1279" w:rsidP="00331C61">
      <w:pPr>
        <w:pStyle w:val="BasicParagraph"/>
        <w:suppressAutoHyphens/>
        <w:rPr>
          <w:rFonts w:ascii="Verdana" w:hAnsi="Verdana" w:cs="Arial"/>
          <w:color w:val="77328A"/>
          <w:sz w:val="30"/>
          <w:szCs w:val="30"/>
        </w:rPr>
      </w:pPr>
    </w:p>
    <w:p w14:paraId="0FB08335" w14:textId="77777777" w:rsidR="0072658C" w:rsidRDefault="0072658C" w:rsidP="004C2185">
      <w:pPr>
        <w:pStyle w:val="BasicParagraph"/>
        <w:suppressAutoHyphens/>
        <w:jc w:val="center"/>
        <w:rPr>
          <w:rFonts w:ascii="Verdana" w:hAnsi="Verdana" w:cs="Arial"/>
          <w:b/>
          <w:bCs/>
          <w:color w:val="77328A"/>
          <w:sz w:val="36"/>
          <w:szCs w:val="36"/>
        </w:rPr>
      </w:pPr>
    </w:p>
    <w:p w14:paraId="1A47B4ED" w14:textId="77777777" w:rsidR="0072658C" w:rsidRDefault="0072658C" w:rsidP="004C2185">
      <w:pPr>
        <w:pStyle w:val="BasicParagraph"/>
        <w:suppressAutoHyphens/>
        <w:jc w:val="center"/>
        <w:rPr>
          <w:rFonts w:ascii="Verdana" w:hAnsi="Verdana" w:cs="Arial"/>
          <w:b/>
          <w:bCs/>
          <w:color w:val="77328A"/>
          <w:sz w:val="36"/>
          <w:szCs w:val="36"/>
        </w:rPr>
      </w:pPr>
    </w:p>
    <w:p w14:paraId="2147ADA7" w14:textId="77777777" w:rsidR="0072658C" w:rsidRDefault="0072658C" w:rsidP="004C2185">
      <w:pPr>
        <w:pStyle w:val="BasicParagraph"/>
        <w:suppressAutoHyphens/>
        <w:jc w:val="center"/>
        <w:rPr>
          <w:rFonts w:ascii="Verdana" w:hAnsi="Verdana" w:cs="Arial"/>
          <w:b/>
          <w:bCs/>
          <w:color w:val="77328A"/>
          <w:sz w:val="36"/>
          <w:szCs w:val="36"/>
        </w:rPr>
      </w:pPr>
    </w:p>
    <w:p w14:paraId="7A4FBE49" w14:textId="77777777" w:rsidR="0072658C" w:rsidRDefault="0072658C" w:rsidP="004C2185">
      <w:pPr>
        <w:pStyle w:val="BasicParagraph"/>
        <w:suppressAutoHyphens/>
        <w:jc w:val="center"/>
        <w:rPr>
          <w:rFonts w:ascii="Verdana" w:hAnsi="Verdana" w:cs="Arial"/>
          <w:b/>
          <w:bCs/>
          <w:color w:val="77328A"/>
          <w:sz w:val="36"/>
          <w:szCs w:val="36"/>
        </w:rPr>
      </w:pPr>
    </w:p>
    <w:p w14:paraId="10C32960" w14:textId="77777777" w:rsidR="0072658C" w:rsidRDefault="0072658C" w:rsidP="004C2185">
      <w:pPr>
        <w:pStyle w:val="BasicParagraph"/>
        <w:suppressAutoHyphens/>
        <w:jc w:val="center"/>
        <w:rPr>
          <w:rFonts w:ascii="Verdana" w:hAnsi="Verdana" w:cs="Arial"/>
          <w:b/>
          <w:bCs/>
          <w:color w:val="77328A"/>
          <w:sz w:val="36"/>
          <w:szCs w:val="36"/>
        </w:rPr>
      </w:pPr>
    </w:p>
    <w:p w14:paraId="3A18A25C" w14:textId="77777777" w:rsidR="0072658C" w:rsidRDefault="0072658C" w:rsidP="004C2185">
      <w:pPr>
        <w:pStyle w:val="BasicParagraph"/>
        <w:suppressAutoHyphens/>
        <w:jc w:val="center"/>
        <w:rPr>
          <w:rFonts w:ascii="Verdana" w:hAnsi="Verdana" w:cs="Arial"/>
          <w:b/>
          <w:bCs/>
          <w:color w:val="77328A"/>
          <w:sz w:val="36"/>
          <w:szCs w:val="36"/>
        </w:rPr>
      </w:pPr>
    </w:p>
    <w:p w14:paraId="52B4D516" w14:textId="77777777" w:rsidR="0072658C" w:rsidRDefault="0072658C" w:rsidP="004C2185">
      <w:pPr>
        <w:pStyle w:val="BasicParagraph"/>
        <w:suppressAutoHyphens/>
        <w:jc w:val="center"/>
        <w:rPr>
          <w:rFonts w:ascii="Verdana" w:hAnsi="Verdana" w:cs="Arial"/>
          <w:b/>
          <w:bCs/>
          <w:color w:val="77328A"/>
          <w:sz w:val="36"/>
          <w:szCs w:val="36"/>
        </w:rPr>
      </w:pPr>
    </w:p>
    <w:p w14:paraId="5E438DF8" w14:textId="77777777" w:rsidR="0072658C" w:rsidRDefault="0072658C" w:rsidP="004C2185">
      <w:pPr>
        <w:pStyle w:val="BasicParagraph"/>
        <w:suppressAutoHyphens/>
        <w:jc w:val="center"/>
        <w:rPr>
          <w:rFonts w:ascii="Verdana" w:hAnsi="Verdana" w:cs="Arial"/>
          <w:b/>
          <w:bCs/>
          <w:color w:val="77328A"/>
          <w:sz w:val="36"/>
          <w:szCs w:val="36"/>
        </w:rPr>
      </w:pPr>
    </w:p>
    <w:p w14:paraId="04FB463C" w14:textId="77777777" w:rsidR="0072658C" w:rsidRDefault="0072658C" w:rsidP="004C2185">
      <w:pPr>
        <w:pStyle w:val="BasicParagraph"/>
        <w:suppressAutoHyphens/>
        <w:jc w:val="center"/>
        <w:rPr>
          <w:rFonts w:ascii="Verdana" w:hAnsi="Verdana" w:cs="Arial"/>
          <w:b/>
          <w:bCs/>
          <w:color w:val="77328A"/>
          <w:sz w:val="36"/>
          <w:szCs w:val="36"/>
        </w:rPr>
      </w:pPr>
    </w:p>
    <w:p w14:paraId="14B725AB" w14:textId="77777777" w:rsidR="0072658C" w:rsidRDefault="0072658C" w:rsidP="004C2185">
      <w:pPr>
        <w:pStyle w:val="BasicParagraph"/>
        <w:suppressAutoHyphens/>
        <w:jc w:val="center"/>
        <w:rPr>
          <w:rFonts w:ascii="Verdana" w:hAnsi="Verdana" w:cs="Arial"/>
          <w:b/>
          <w:bCs/>
          <w:color w:val="77328A"/>
          <w:sz w:val="36"/>
          <w:szCs w:val="36"/>
        </w:rPr>
      </w:pPr>
    </w:p>
    <w:p w14:paraId="3A6C381D" w14:textId="77777777" w:rsidR="0072658C" w:rsidRDefault="0072658C" w:rsidP="004C2185">
      <w:pPr>
        <w:pStyle w:val="BasicParagraph"/>
        <w:suppressAutoHyphens/>
        <w:jc w:val="center"/>
        <w:rPr>
          <w:rFonts w:ascii="Verdana" w:hAnsi="Verdana" w:cs="Arial"/>
          <w:b/>
          <w:bCs/>
          <w:color w:val="77328A"/>
          <w:sz w:val="36"/>
          <w:szCs w:val="36"/>
        </w:rPr>
      </w:pPr>
    </w:p>
    <w:p w14:paraId="1868847D" w14:textId="77777777" w:rsidR="0072658C" w:rsidRDefault="0072658C" w:rsidP="004C2185">
      <w:pPr>
        <w:pStyle w:val="BasicParagraph"/>
        <w:suppressAutoHyphens/>
        <w:jc w:val="center"/>
        <w:rPr>
          <w:rFonts w:ascii="Verdana" w:hAnsi="Verdana" w:cs="Arial"/>
          <w:b/>
          <w:bCs/>
          <w:color w:val="77328A"/>
          <w:sz w:val="36"/>
          <w:szCs w:val="36"/>
        </w:rPr>
      </w:pPr>
    </w:p>
    <w:p w14:paraId="1763183A" w14:textId="77777777" w:rsidR="0072658C" w:rsidRDefault="0072658C" w:rsidP="004C2185">
      <w:pPr>
        <w:pStyle w:val="BasicParagraph"/>
        <w:suppressAutoHyphens/>
        <w:jc w:val="center"/>
        <w:rPr>
          <w:rFonts w:ascii="Verdana" w:hAnsi="Verdana" w:cs="Arial"/>
          <w:b/>
          <w:bCs/>
          <w:color w:val="77328A"/>
          <w:sz w:val="36"/>
          <w:szCs w:val="36"/>
        </w:rPr>
      </w:pPr>
    </w:p>
    <w:p w14:paraId="11088A61" w14:textId="77777777" w:rsidR="0072658C" w:rsidRDefault="0072658C" w:rsidP="004C2185">
      <w:pPr>
        <w:pStyle w:val="BasicParagraph"/>
        <w:suppressAutoHyphens/>
        <w:jc w:val="center"/>
        <w:rPr>
          <w:rFonts w:ascii="Verdana" w:hAnsi="Verdana" w:cs="Arial"/>
          <w:b/>
          <w:bCs/>
          <w:color w:val="77328A"/>
          <w:sz w:val="36"/>
          <w:szCs w:val="36"/>
        </w:rPr>
      </w:pPr>
    </w:p>
    <w:p w14:paraId="2A08AFDF" w14:textId="29D5FAF0" w:rsidR="004C2185" w:rsidRPr="00331C61" w:rsidRDefault="004C2185" w:rsidP="004C2185">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Pr>
          <w:rFonts w:ascii="Verdana" w:hAnsi="Verdana" w:cs="Arial"/>
          <w:b/>
          <w:bCs/>
          <w:color w:val="77328A"/>
          <w:sz w:val="36"/>
          <w:szCs w:val="36"/>
        </w:rPr>
        <w:t xml:space="preserve">ntact us </w:t>
      </w:r>
    </w:p>
    <w:p w14:paraId="2A4FCFC3" w14:textId="77777777" w:rsidR="004C2185" w:rsidRPr="00331C61" w:rsidRDefault="004C2185" w:rsidP="004C2185">
      <w:pPr>
        <w:pStyle w:val="BasicParagraph"/>
        <w:suppressAutoHyphens/>
        <w:jc w:val="center"/>
        <w:rPr>
          <w:rFonts w:ascii="Verdana" w:hAnsi="Verdana" w:cs="Arial"/>
          <w:b/>
          <w:color w:val="77328A"/>
          <w:sz w:val="36"/>
          <w:szCs w:val="36"/>
        </w:rPr>
      </w:pPr>
    </w:p>
    <w:p w14:paraId="48D24CD9" w14:textId="77777777" w:rsidR="004C2185" w:rsidRPr="00331C61" w:rsidRDefault="004C2185" w:rsidP="004C2185">
      <w:pPr>
        <w:spacing w:line="288" w:lineRule="auto"/>
        <w:jc w:val="center"/>
        <w:rPr>
          <w:rFonts w:ascii="Verdana" w:hAnsi="Verdana" w:cs="Arial"/>
          <w:b/>
          <w:color w:val="232120"/>
          <w:sz w:val="30"/>
          <w:szCs w:val="30"/>
        </w:rPr>
      </w:pPr>
    </w:p>
    <w:p w14:paraId="46DAECF6" w14:textId="77777777" w:rsidR="004C2185" w:rsidRPr="00331C61" w:rsidRDefault="004C2185" w:rsidP="004C2185">
      <w:pPr>
        <w:spacing w:line="288" w:lineRule="auto"/>
        <w:jc w:val="center"/>
        <w:rPr>
          <w:rFonts w:ascii="Verdana" w:hAnsi="Verdana" w:cs="Arial"/>
          <w:b/>
          <w:color w:val="232120"/>
          <w:sz w:val="30"/>
          <w:szCs w:val="30"/>
        </w:rPr>
      </w:pPr>
    </w:p>
    <w:p w14:paraId="57C161D2" w14:textId="77777777" w:rsidR="004C2185" w:rsidRPr="00331C61" w:rsidRDefault="00547A4F" w:rsidP="004C2185">
      <w:pPr>
        <w:spacing w:line="288" w:lineRule="auto"/>
        <w:jc w:val="center"/>
        <w:rPr>
          <w:rFonts w:ascii="Verdana" w:hAnsi="Verdana" w:cs="Arial"/>
          <w:color w:val="232120"/>
          <w:sz w:val="28"/>
          <w:szCs w:val="28"/>
        </w:rPr>
      </w:pPr>
      <w:hyperlink r:id="rId12" w:history="1">
        <w:r w:rsidR="004C2185" w:rsidRPr="00331C61">
          <w:rPr>
            <w:rStyle w:val="Hyperlink"/>
            <w:rFonts w:ascii="Verdana" w:hAnsi="Verdana" w:cs="Arial"/>
            <w:color w:val="232120"/>
            <w:sz w:val="28"/>
            <w:szCs w:val="28"/>
            <w:u w:val="none"/>
            <w:lang w:val="en-US"/>
          </w:rPr>
          <w:t>www.nihrc.org</w:t>
        </w:r>
      </w:hyperlink>
      <w:r w:rsidR="004C2185" w:rsidRPr="00331C61">
        <w:rPr>
          <w:rFonts w:ascii="Verdana" w:hAnsi="Verdana" w:cs="Arial"/>
          <w:color w:val="232120"/>
          <w:sz w:val="28"/>
          <w:szCs w:val="28"/>
          <w:lang w:val="en-US"/>
        </w:rPr>
        <w:t xml:space="preserve">  |  </w:t>
      </w:r>
      <w:hyperlink r:id="rId13" w:history="1">
        <w:r w:rsidR="004C2185" w:rsidRPr="00331C61">
          <w:rPr>
            <w:rStyle w:val="Hyperlink"/>
            <w:rFonts w:ascii="Verdana" w:hAnsi="Verdana" w:cs="Arial"/>
            <w:color w:val="232120"/>
            <w:sz w:val="28"/>
            <w:szCs w:val="28"/>
            <w:u w:val="none"/>
            <w:lang w:val="en-US"/>
          </w:rPr>
          <w:t>info@nihrc.org</w:t>
        </w:r>
      </w:hyperlink>
      <w:r w:rsidR="004C2185" w:rsidRPr="00331C61">
        <w:rPr>
          <w:rFonts w:ascii="Verdana" w:hAnsi="Verdana" w:cs="Arial"/>
          <w:color w:val="232120"/>
          <w:sz w:val="28"/>
          <w:szCs w:val="28"/>
          <w:lang w:val="en-US"/>
        </w:rPr>
        <w:t xml:space="preserve">  |  +44 (0)28 9024 3987</w:t>
      </w:r>
    </w:p>
    <w:p w14:paraId="30D2A7EE" w14:textId="77777777" w:rsidR="004C2185" w:rsidRPr="00331C61" w:rsidRDefault="004C2185" w:rsidP="004C2185">
      <w:pPr>
        <w:spacing w:line="288" w:lineRule="auto"/>
        <w:jc w:val="center"/>
        <w:rPr>
          <w:rFonts w:ascii="Verdana" w:hAnsi="Verdana" w:cs="Arial"/>
          <w:color w:val="232120"/>
          <w:sz w:val="28"/>
          <w:szCs w:val="28"/>
        </w:rPr>
      </w:pPr>
      <w:r>
        <w:rPr>
          <w:rFonts w:ascii="Verdana" w:hAnsi="Verdana" w:cs="Arial"/>
          <w:color w:val="232120"/>
          <w:sz w:val="28"/>
          <w:szCs w:val="28"/>
          <w:lang w:val="en-US"/>
        </w:rPr>
        <w:t>4</w:t>
      </w:r>
      <w:r w:rsidRPr="00D16532">
        <w:rPr>
          <w:rFonts w:ascii="Verdana" w:hAnsi="Verdana" w:cs="Arial"/>
          <w:color w:val="232120"/>
          <w:sz w:val="28"/>
          <w:szCs w:val="28"/>
          <w:vertAlign w:val="superscript"/>
          <w:lang w:val="en-US"/>
        </w:rPr>
        <w:t>th</w:t>
      </w:r>
      <w:r>
        <w:rPr>
          <w:rFonts w:ascii="Verdana" w:hAnsi="Verdana" w:cs="Arial"/>
          <w:color w:val="232120"/>
          <w:sz w:val="28"/>
          <w:szCs w:val="28"/>
          <w:lang w:val="en-US"/>
        </w:rPr>
        <w:t xml:space="preserve"> Floor, Alfred House, 19-21 Alfred Street, Belfast, BT2 8ED</w:t>
      </w:r>
    </w:p>
    <w:p w14:paraId="1C812BDB" w14:textId="77777777" w:rsidR="004C2185" w:rsidRPr="00331C61" w:rsidRDefault="004C2185" w:rsidP="004C2185">
      <w:pPr>
        <w:spacing w:line="288" w:lineRule="auto"/>
        <w:jc w:val="center"/>
        <w:rPr>
          <w:rFonts w:ascii="Verdana" w:hAnsi="Verdana" w:cs="Arial"/>
          <w:b/>
          <w:color w:val="232120"/>
          <w:sz w:val="28"/>
          <w:szCs w:val="28"/>
        </w:rPr>
      </w:pPr>
    </w:p>
    <w:p w14:paraId="227C3498" w14:textId="77777777" w:rsidR="004C2185" w:rsidRPr="00331C61" w:rsidRDefault="004C2185" w:rsidP="004C2185">
      <w:pPr>
        <w:spacing w:line="288" w:lineRule="auto"/>
        <w:jc w:val="center"/>
        <w:rPr>
          <w:rFonts w:ascii="Verdana" w:hAnsi="Verdana" w:cs="Arial"/>
          <w:color w:val="232120"/>
          <w:sz w:val="20"/>
          <w:szCs w:val="20"/>
        </w:rPr>
      </w:pPr>
    </w:p>
    <w:p w14:paraId="3A8D700B" w14:textId="1D47A9EF" w:rsidR="00705833" w:rsidRPr="0072658C" w:rsidRDefault="004C2185" w:rsidP="0072658C">
      <w:pPr>
        <w:pStyle w:val="BasicParagraph"/>
        <w:suppressAutoHyphens/>
        <w:jc w:val="center"/>
        <w:rPr>
          <w:rFonts w:ascii="Verdana" w:hAnsi="Verdana" w:cs="Arial"/>
          <w:color w:val="77328A"/>
          <w:sz w:val="30"/>
          <w:szCs w:val="30"/>
        </w:rPr>
      </w:pPr>
      <w:r w:rsidRPr="00331C61">
        <w:rPr>
          <w:rFonts w:ascii="Verdana" w:hAnsi="Verdana" w:cs="Arial"/>
          <w:noProof/>
          <w:color w:val="232120"/>
          <w:sz w:val="28"/>
          <w:szCs w:val="28"/>
          <w:lang w:eastAsia="en-GB"/>
        </w:rPr>
        <w:drawing>
          <wp:inline distT="0" distB="0" distL="0" distR="0" wp14:anchorId="5267E6C7" wp14:editId="770D3496">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72658C" w:rsidSect="003B7D0E">
      <w:footerReference w:type="default" r:id="rId15"/>
      <w:footerReference w:type="first" r:id="rId16"/>
      <w:pgSz w:w="11900" w:h="16820"/>
      <w:pgMar w:top="1021" w:right="1021" w:bottom="1021" w:left="1021" w:header="1021" w:footer="102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8E508" w16cex:dateUtc="2022-11-23T18:29:00Z"/>
  <w16cex:commentExtensible w16cex:durableId="2728E595" w16cex:dateUtc="2022-11-23T18:31:00Z"/>
  <w16cex:commentExtensible w16cex:durableId="2728EDEC" w16cex:dateUtc="2022-11-23T19:07:00Z"/>
  <w16cex:commentExtensible w16cex:durableId="27386DB7" w16cex:dateUtc="2022-12-05T13:16:00Z"/>
  <w16cex:commentExtensible w16cex:durableId="27386CFC" w16cex:dateUtc="2022-12-05T13:13:00Z"/>
  <w16cex:commentExtensible w16cex:durableId="2728E6AB" w16cex:dateUtc="2022-11-23T18:36:00Z"/>
  <w16cex:commentExtensible w16cex:durableId="27386E52" w16cex:dateUtc="2022-12-05T13:19:00Z"/>
  <w16cex:commentExtensible w16cex:durableId="27287D18" w16cex:dateUtc="2022-11-23T11:06:00Z"/>
  <w16cex:commentExtensible w16cex:durableId="27386ED0" w16cex:dateUtc="2022-12-05T13:21:00Z"/>
  <w16cex:commentExtensible w16cex:durableId="27287C03" w16cex:dateUtc="2022-11-23T11:01:00Z"/>
  <w16cex:commentExtensible w16cex:durableId="2ACDF9C5" w16cex:dateUtc="2022-11-23T13:48:00Z"/>
  <w16cex:commentExtensible w16cex:durableId="27287F76" w16cex:dateUtc="2022-11-23T11:16:00Z"/>
  <w16cex:commentExtensible w16cex:durableId="2728811D" w16cex:dateUtc="2022-11-23T11:23:00Z"/>
  <w16cex:commentExtensible w16cex:durableId="27287C6B" w16cex:dateUtc="2022-11-23T11:03:00Z"/>
  <w16cex:commentExtensible w16cex:durableId="2728EB0C" w16cex:dateUtc="2022-11-23T18:55:00Z"/>
  <w16cex:commentExtensible w16cex:durableId="27386FBE" w16cex:dateUtc="2022-12-05T13:25:00Z"/>
  <w16cex:commentExtensible w16cex:durableId="27386FD2" w16cex:dateUtc="2022-12-05T13:25:00Z"/>
  <w16cex:commentExtensible w16cex:durableId="2728EC20" w16cex:dateUtc="2022-11-23T18:59:00Z"/>
  <w16cex:commentExtensible w16cex:durableId="2728ECE2" w16cex:dateUtc="2022-11-23T19:02:00Z"/>
  <w16cex:commentExtensible w16cex:durableId="27289943" w16cex:dateUtc="2022-11-23T13:06:00Z"/>
  <w16cex:commentExtensible w16cex:durableId="2728ECF2" w16cex:dateUtc="2022-11-23T19:03:00Z"/>
  <w16cex:commentExtensible w16cex:durableId="273870BA" w16cex:dateUtc="2022-12-05T13:29:00Z"/>
  <w16cex:commentExtensible w16cex:durableId="27288943" w16cex:dateUtc="2022-11-23T11:57:00Z"/>
  <w16cex:commentExtensible w16cex:durableId="2728EEA3" w16cex:dateUtc="2022-11-23T19:10:00Z"/>
  <w16cex:commentExtensible w16cex:durableId="2730368B" w16cex:dateUtc="2022-11-29T07:43:00Z"/>
  <w16cex:commentExtensible w16cex:durableId="2734B008" w16cex:dateUtc="2022-12-02T17:10:00Z"/>
  <w16cex:commentExtensible w16cex:durableId="2728EFC1" w16cex:dateUtc="2022-11-23T19:15:00Z"/>
  <w16cex:commentExtensible w16cex:durableId="2728F052" w16cex:dateUtc="2022-11-23T19:17:00Z"/>
  <w16cex:commentExtensible w16cex:durableId="2728F0F9" w16cex:dateUtc="2022-11-23T1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F69F17" w16cid:durableId="2728E508"/>
  <w16cid:commentId w16cid:paraId="395A4025" w16cid:durableId="2728E595"/>
  <w16cid:commentId w16cid:paraId="4FD2CD46" w16cid:durableId="2728EDEC"/>
  <w16cid:commentId w16cid:paraId="136ED531" w16cid:durableId="27386DB7"/>
  <w16cid:commentId w16cid:paraId="4EA303F3" w16cid:durableId="27386CFC"/>
  <w16cid:commentId w16cid:paraId="30EC87E5" w16cid:durableId="2728E6AB"/>
  <w16cid:commentId w16cid:paraId="5580145F" w16cid:durableId="27386E52"/>
  <w16cid:commentId w16cid:paraId="2C07B741" w16cid:durableId="27287D18"/>
  <w16cid:commentId w16cid:paraId="4170A853" w16cid:durableId="27386ED0"/>
  <w16cid:commentId w16cid:paraId="60D779B6" w16cid:durableId="27275AA2"/>
  <w16cid:commentId w16cid:paraId="66E19275" w16cid:durableId="27287C03"/>
  <w16cid:commentId w16cid:paraId="256A0921" w16cid:durableId="2ACDF9C5"/>
  <w16cid:commentId w16cid:paraId="7086202F" w16cid:durableId="27287F76"/>
  <w16cid:commentId w16cid:paraId="6509304F" w16cid:durableId="2728811D"/>
  <w16cid:commentId w16cid:paraId="25BC9B61" w16cid:durableId="27287C6B"/>
  <w16cid:commentId w16cid:paraId="283791CF" w16cid:durableId="2728EB0C"/>
  <w16cid:commentId w16cid:paraId="5DC6ED35" w16cid:durableId="27386FBE"/>
  <w16cid:commentId w16cid:paraId="2F93DEFD" w16cid:durableId="27386FD2"/>
  <w16cid:commentId w16cid:paraId="67299CE1" w16cid:durableId="2728EC20"/>
  <w16cid:commentId w16cid:paraId="5394D78A" w16cid:durableId="2728ECE2"/>
  <w16cid:commentId w16cid:paraId="408FFA7F" w16cid:durableId="27289943"/>
  <w16cid:commentId w16cid:paraId="721E4053" w16cid:durableId="2728E34E"/>
  <w16cid:commentId w16cid:paraId="23F5AE59" w16cid:durableId="2728ECF2"/>
  <w16cid:commentId w16cid:paraId="46792F8E" w16cid:durableId="273035D8"/>
  <w16cid:commentId w16cid:paraId="49FDB852" w16cid:durableId="273870BA"/>
  <w16cid:commentId w16cid:paraId="529980FD" w16cid:durableId="27288943"/>
  <w16cid:commentId w16cid:paraId="37670F04" w16cid:durableId="2728EEA3"/>
  <w16cid:commentId w16cid:paraId="20C95285" w16cid:durableId="273035DB"/>
  <w16cid:commentId w16cid:paraId="3EE0D844" w16cid:durableId="2730368B"/>
  <w16cid:commentId w16cid:paraId="5F1FDB39" w16cid:durableId="2734B008"/>
  <w16cid:commentId w16cid:paraId="454207B7" w16cid:durableId="2728EFC1"/>
  <w16cid:commentId w16cid:paraId="51E70F6B" w16cid:durableId="2728F052"/>
  <w16cid:commentId w16cid:paraId="0A54316E" w16cid:durableId="2728F0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D678A" w14:textId="77777777" w:rsidR="00547A4F" w:rsidRDefault="00547A4F" w:rsidP="00962B2B">
      <w:r>
        <w:separator/>
      </w:r>
    </w:p>
  </w:endnote>
  <w:endnote w:type="continuationSeparator" w:id="0">
    <w:p w14:paraId="46CE897C" w14:textId="77777777" w:rsidR="00547A4F" w:rsidRDefault="00547A4F" w:rsidP="00962B2B">
      <w:r>
        <w:continuationSeparator/>
      </w:r>
    </w:p>
  </w:endnote>
  <w:endnote w:type="continuationNotice" w:id="1">
    <w:p w14:paraId="6C61646F" w14:textId="77777777" w:rsidR="00547A4F" w:rsidRDefault="00547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3A241" w14:textId="77777777" w:rsidR="000C4BEC" w:rsidRDefault="000C4BEC" w:rsidP="00656ECD">
    <w:pPr>
      <w:pStyle w:val="Footer"/>
      <w:jc w:val="right"/>
      <w:rPr>
        <w:rStyle w:val="PageNumber"/>
        <w:rFonts w:ascii="Arial" w:hAnsi="Arial" w:cs="Arial"/>
        <w:b/>
        <w:sz w:val="16"/>
        <w:szCs w:val="16"/>
      </w:rPr>
    </w:pPr>
  </w:p>
  <w:p w14:paraId="76D47EC9" w14:textId="71401FD0" w:rsidR="000C4BEC" w:rsidRPr="007569C1" w:rsidRDefault="000C4BEC" w:rsidP="00656ECD">
    <w:pPr>
      <w:pStyle w:val="Footer"/>
      <w:jc w:val="right"/>
      <w:rPr>
        <w:rFonts w:ascii="Arial" w:hAnsi="Arial" w:cs="Arial"/>
        <w:b/>
        <w:color w:val="77328A"/>
        <w:sz w:val="16"/>
        <w:szCs w:val="16"/>
      </w:rPr>
    </w:pPr>
    <w:r w:rsidRPr="007569C1">
      <w:rPr>
        <w:rStyle w:val="PageNumber"/>
        <w:rFonts w:ascii="Arial" w:hAnsi="Arial" w:cs="Arial"/>
        <w:b/>
        <w:color w:val="77328A"/>
        <w:sz w:val="16"/>
        <w:szCs w:val="16"/>
      </w:rPr>
      <w:fldChar w:fldCharType="begin"/>
    </w:r>
    <w:r w:rsidRPr="007569C1">
      <w:rPr>
        <w:rStyle w:val="PageNumber"/>
        <w:rFonts w:ascii="Arial" w:hAnsi="Arial" w:cs="Arial"/>
        <w:b/>
        <w:color w:val="77328A"/>
        <w:sz w:val="16"/>
        <w:szCs w:val="16"/>
      </w:rPr>
      <w:instrText xml:space="preserve"> PAGE </w:instrText>
    </w:r>
    <w:r w:rsidRPr="007569C1">
      <w:rPr>
        <w:rStyle w:val="PageNumber"/>
        <w:rFonts w:ascii="Arial" w:hAnsi="Arial" w:cs="Arial"/>
        <w:b/>
        <w:color w:val="77328A"/>
        <w:sz w:val="16"/>
        <w:szCs w:val="16"/>
      </w:rPr>
      <w:fldChar w:fldCharType="separate"/>
    </w:r>
    <w:r w:rsidR="0072658C">
      <w:rPr>
        <w:rStyle w:val="PageNumber"/>
        <w:rFonts w:ascii="Arial" w:hAnsi="Arial" w:cs="Arial"/>
        <w:b/>
        <w:noProof/>
        <w:color w:val="77328A"/>
        <w:sz w:val="16"/>
        <w:szCs w:val="16"/>
      </w:rPr>
      <w:t>10</w:t>
    </w:r>
    <w:r w:rsidRPr="007569C1">
      <w:rPr>
        <w:rStyle w:val="PageNumber"/>
        <w:rFonts w:ascii="Arial" w:hAnsi="Arial" w:cs="Arial"/>
        <w:b/>
        <w:color w:val="77328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5E57E" w14:textId="77777777" w:rsidR="000C4BEC" w:rsidRDefault="000C4BEC" w:rsidP="00046705">
    <w:pPr>
      <w:pStyle w:val="Footer"/>
      <w:jc w:val="right"/>
      <w:rPr>
        <w:rStyle w:val="PageNumber"/>
        <w:rFonts w:ascii="Arial" w:hAnsi="Arial" w:cs="Arial"/>
        <w:b/>
        <w:sz w:val="16"/>
        <w:szCs w:val="16"/>
      </w:rPr>
    </w:pPr>
  </w:p>
  <w:p w14:paraId="5EA1D6F5" w14:textId="77777777" w:rsidR="000C4BEC" w:rsidRPr="00D12EF8" w:rsidRDefault="000C4BEC"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E319A" w14:textId="77777777" w:rsidR="00547A4F" w:rsidRDefault="00547A4F" w:rsidP="00B96D34">
      <w:r>
        <w:continuationSeparator/>
      </w:r>
    </w:p>
    <w:p w14:paraId="5E11A44E" w14:textId="77777777" w:rsidR="00547A4F" w:rsidRPr="00B96D34" w:rsidRDefault="00547A4F" w:rsidP="00B96D34">
      <w:pPr>
        <w:pStyle w:val="Footer"/>
      </w:pPr>
    </w:p>
  </w:footnote>
  <w:footnote w:type="continuationSeparator" w:id="0">
    <w:p w14:paraId="5719827D" w14:textId="77777777" w:rsidR="00547A4F" w:rsidRDefault="00547A4F" w:rsidP="00962B2B">
      <w:r>
        <w:continuationSeparator/>
      </w:r>
    </w:p>
  </w:footnote>
  <w:footnote w:type="continuationNotice" w:id="1">
    <w:p w14:paraId="60184918" w14:textId="77777777" w:rsidR="00547A4F" w:rsidRDefault="00547A4F"/>
  </w:footnote>
  <w:footnote w:id="2">
    <w:p w14:paraId="4AE61ECC" w14:textId="77777777" w:rsidR="000C4BEC" w:rsidRDefault="000C4BEC" w:rsidP="006E55B5">
      <w:pPr>
        <w:pStyle w:val="NIHRCFootnotes"/>
      </w:pPr>
      <w:r>
        <w:rPr>
          <w:rStyle w:val="FootnoteReference"/>
        </w:rPr>
        <w:footnoteRef/>
      </w:r>
      <w:r>
        <w:t xml:space="preserve"> Sections 6(2)(ca) and 24(1)(aa) of the NI Act 1998 limit the competence of the NI Assembly and Executive and proscribe making any law which is incompatible with Protocol Article 2.</w:t>
      </w:r>
    </w:p>
  </w:footnote>
  <w:footnote w:id="3">
    <w:p w14:paraId="27469B3D" w14:textId="77777777" w:rsidR="000C4BEC" w:rsidRDefault="000C4BEC" w:rsidP="007472AD">
      <w:pPr>
        <w:pStyle w:val="NIHRCFootnotes"/>
      </w:pPr>
      <w:r>
        <w:rPr>
          <w:rStyle w:val="FootnoteReference"/>
        </w:rPr>
        <w:footnoteRef/>
      </w:r>
      <w:r>
        <w:t xml:space="preserve"> Belfast (Good Friday) Agreement 1998.</w:t>
      </w:r>
    </w:p>
  </w:footnote>
  <w:footnote w:id="4">
    <w:p w14:paraId="5ABE3EB0" w14:textId="77777777" w:rsidR="000C4BEC" w:rsidRDefault="000C4BEC" w:rsidP="007472AD">
      <w:pPr>
        <w:pStyle w:val="NIHRCFootnotes"/>
      </w:pPr>
      <w:r>
        <w:rPr>
          <w:rStyle w:val="FootnoteReference"/>
        </w:rPr>
        <w:footnoteRef/>
      </w:r>
      <w:r>
        <w:t xml:space="preserve"> Directive 2000/43/EC, ‘EU Council Directive on Implementing the Principle of Equal Treatment between Persons Irrespective of Racial or Ethnic Origin’, 29 June 2000; Directive 2000/78/EC, ‘EU Council Directive on Establishing a General Framework for Equal Treatment in Employment and Occupation’, 27 November 2000; Directive 2004/113/EC, ‘EU Council Directive on Implementing the Principle of Equal Treatment between Men and Women in the access to and supply of goods and Services’, 13 December 2004;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between Men and Women Engaged in an Activity in a Self -employed Capacity’, 7 July 2010.; Directive 79/7/EEC, ‘EU Council Directive on the Progressive Implementation of the Principle of Equal Treatment for Men and Women in Matters of Social Security’, 19 December 1978.</w:t>
      </w:r>
    </w:p>
  </w:footnote>
  <w:footnote w:id="5">
    <w:p w14:paraId="4F77C35F" w14:textId="77777777" w:rsidR="000C4BEC" w:rsidRDefault="000C4BEC" w:rsidP="007472AD">
      <w:pPr>
        <w:pStyle w:val="NIHRCFootnotes"/>
      </w:pPr>
      <w:r>
        <w:rPr>
          <w:rStyle w:val="FootnoteReference"/>
        </w:rPr>
        <w:footnoteRef/>
      </w:r>
      <w:r>
        <w:t xml:space="preserve"> Article 13, The Ireland/NI Protocol to the EU/UK Withdrawal Agreement 2020.</w:t>
      </w:r>
    </w:p>
  </w:footnote>
  <w:footnote w:id="6">
    <w:p w14:paraId="6914C75B" w14:textId="1801D0B8" w:rsidR="000C4BEC" w:rsidRDefault="000C4BEC" w:rsidP="00D57D50">
      <w:pPr>
        <w:pStyle w:val="NIHRCFootnotes"/>
      </w:pPr>
      <w:r>
        <w:rPr>
          <w:rStyle w:val="FootnoteReference"/>
        </w:rPr>
        <w:footnoteRef/>
      </w:r>
      <w:r>
        <w:t xml:space="preserve"> </w:t>
      </w:r>
      <w:r w:rsidRPr="0034651C">
        <w:t>NI Office, ‘UK Government Commitment to “No Diminution of Rights, Safeguards and Equality of Opportunity” in Northern Ireland: What does it Mean and How will it be Implemented?’ (NIO, 2020), at para 8.</w:t>
      </w:r>
    </w:p>
  </w:footnote>
  <w:footnote w:id="7">
    <w:p w14:paraId="408F00C2" w14:textId="77777777" w:rsidR="000C4BEC" w:rsidRPr="00654887" w:rsidRDefault="000C4BEC" w:rsidP="007472AD">
      <w:pPr>
        <w:pStyle w:val="NIHRCFootnotes"/>
      </w:pPr>
      <w:r w:rsidRPr="00654887">
        <w:rPr>
          <w:rStyle w:val="FootnoteReference"/>
          <w:rFonts w:eastAsiaTheme="majorEastAsia"/>
        </w:rPr>
        <w:footnoteRef/>
      </w:r>
      <w:r w:rsidRPr="00654887">
        <w:t xml:space="preserve"> Belfast (Good Friday) Agreement, 10 April 1998, at Part 6 on Rights, Safeguards and Equality of Opportunity – Human Rights.</w:t>
      </w:r>
    </w:p>
  </w:footnote>
  <w:footnote w:id="8">
    <w:p w14:paraId="77D4DCF2" w14:textId="69E92AC3" w:rsidR="0059457A" w:rsidRDefault="0059457A" w:rsidP="00A86360">
      <w:pPr>
        <w:pStyle w:val="NIHRCFootnotes"/>
      </w:pPr>
      <w:r>
        <w:rPr>
          <w:rStyle w:val="FootnoteReference"/>
        </w:rPr>
        <w:footnoteRef/>
      </w:r>
      <w:r>
        <w:t xml:space="preserve"> NI Human Rights Commission and Equality Commission NI, ‘Working Paper: Scope of Article 2(1) of the Ireland/NI Protocol to the UK-EU Withdrawal Agreement 2020’, (NIHRC and ECNI, 2022).</w:t>
      </w:r>
    </w:p>
  </w:footnote>
  <w:footnote w:id="9">
    <w:p w14:paraId="0A3ED1A3" w14:textId="69C63D77" w:rsidR="000C4BEC" w:rsidRDefault="000C4BEC" w:rsidP="007472AD">
      <w:pPr>
        <w:pStyle w:val="NIHRCFootnotes"/>
      </w:pPr>
      <w:r>
        <w:rPr>
          <w:rStyle w:val="FootnoteReference"/>
        </w:rPr>
        <w:footnoteRef/>
      </w:r>
      <w:r>
        <w:t xml:space="preserve"> </w:t>
      </w:r>
      <w:r w:rsidRPr="00654887">
        <w:t>Directive 2003/9/EC, ‘EU Council Directive Laying Down Minimum Standards for the Reception of Asylum Seekers’, 27 January 2003.</w:t>
      </w:r>
    </w:p>
  </w:footnote>
  <w:footnote w:id="10">
    <w:p w14:paraId="02D9E2E8" w14:textId="2410237B" w:rsidR="000C4BEC" w:rsidRDefault="000C4BEC" w:rsidP="00155810">
      <w:pPr>
        <w:pStyle w:val="NIHRCFootnotes"/>
      </w:pPr>
      <w:r>
        <w:rPr>
          <w:rStyle w:val="FootnoteReference"/>
        </w:rPr>
        <w:footnoteRef/>
      </w:r>
      <w:r>
        <w:t xml:space="preserve"> </w:t>
      </w:r>
      <w:r w:rsidRPr="00654887">
        <w:t>Directive 2005/85/EC, ‘EU Council Directive on Minimum Standards on Procedures in Member States for Granting and Withdrawing Refugee Status’, 1 December 2005.</w:t>
      </w:r>
    </w:p>
  </w:footnote>
  <w:footnote w:id="11">
    <w:p w14:paraId="491CE5DF" w14:textId="77777777" w:rsidR="000C4BEC" w:rsidRDefault="000C4BEC" w:rsidP="007472AD">
      <w:pPr>
        <w:pStyle w:val="NIHRCFootnotes"/>
      </w:pPr>
      <w:r>
        <w:rPr>
          <w:rStyle w:val="FootnoteReference"/>
        </w:rPr>
        <w:footnoteRef/>
      </w:r>
      <w:r>
        <w:t xml:space="preserve"> UN High Commissioner for Refugees, ‘Observations on the New Plan for Immigration policy statement of the Government of the United Kingdom’, (UNHCR, 2021), para 5.</w:t>
      </w:r>
    </w:p>
  </w:footnote>
  <w:footnote w:id="12">
    <w:p w14:paraId="74AB7C37" w14:textId="4106BBEC" w:rsidR="000C4BEC" w:rsidRDefault="000C4BEC" w:rsidP="007472AD">
      <w:pPr>
        <w:pStyle w:val="NIHRCFootnotes"/>
      </w:pPr>
      <w:r>
        <w:rPr>
          <w:rStyle w:val="FootnoteReference"/>
        </w:rPr>
        <w:footnoteRef/>
      </w:r>
      <w:r>
        <w:t xml:space="preserve"> </w:t>
      </w:r>
      <w:hyperlink r:id="rId1" w:history="1">
        <w:r w:rsidRPr="0052524F">
          <w:t>Refugee</w:t>
        </w:r>
      </w:hyperlink>
      <w:r w:rsidRPr="0052524F">
        <w:t xml:space="preserve"> Council, ‘Top facts from the latest statistics on refugees and people seeking asylum’. Available at:</w:t>
      </w:r>
      <w:r>
        <w:rPr>
          <w:rStyle w:val="Hyperlink"/>
        </w:rPr>
        <w:t xml:space="preserve"> </w:t>
      </w:r>
      <w:hyperlink r:id="rId2" w:history="1">
        <w:r>
          <w:rPr>
            <w:rStyle w:val="Hyperlink"/>
          </w:rPr>
          <w:t>Top facts from the latest statistics on refugees and people seeking asylum - Refugee Council</w:t>
        </w:r>
      </w:hyperlink>
    </w:p>
  </w:footnote>
  <w:footnote w:id="13">
    <w:p w14:paraId="71C952DF" w14:textId="77777777" w:rsidR="000C4BEC" w:rsidRPr="00D14D92" w:rsidRDefault="000C4BEC" w:rsidP="007472AD">
      <w:pPr>
        <w:pStyle w:val="NIHRCFootnotes"/>
      </w:pPr>
      <w:r w:rsidRPr="00D14D92">
        <w:rPr>
          <w:rStyle w:val="FootnoteReference"/>
        </w:rPr>
        <w:footnoteRef/>
      </w:r>
      <w:r w:rsidRPr="00D14D92">
        <w:t xml:space="preserve"> Home Office, ‘Press Release: First migrants set for Rwanda to be given final notice’, 1 June 2022.</w:t>
      </w:r>
    </w:p>
  </w:footnote>
  <w:footnote w:id="14">
    <w:p w14:paraId="537D2FD1" w14:textId="77777777" w:rsidR="000C4BEC" w:rsidRPr="00D14D92" w:rsidRDefault="000C4BEC" w:rsidP="007472AD">
      <w:pPr>
        <w:pStyle w:val="NIHRCFootnotes"/>
      </w:pPr>
      <w:r w:rsidRPr="00D14D92">
        <w:rPr>
          <w:rStyle w:val="FootnoteReference"/>
        </w:rPr>
        <w:footnoteRef/>
      </w:r>
      <w:r w:rsidRPr="00D14D92">
        <w:t xml:space="preserve"> European Court of Human Rights, ‘Press Release: The European Court grants urgent interim measure in case concerning asylum-seeker’s imminent removal from the UK to Rwanda’, 14 June 2022.</w:t>
      </w:r>
    </w:p>
  </w:footnote>
  <w:footnote w:id="15">
    <w:p w14:paraId="04A05A0B" w14:textId="77777777" w:rsidR="000C4BEC" w:rsidRPr="00D14D92" w:rsidRDefault="000C4BEC" w:rsidP="007472AD">
      <w:pPr>
        <w:pStyle w:val="NIHRCFootnotes"/>
      </w:pPr>
      <w:r w:rsidRPr="00D14D92">
        <w:rPr>
          <w:rStyle w:val="FootnoteReference"/>
        </w:rPr>
        <w:footnoteRef/>
      </w:r>
      <w:r w:rsidRPr="00D14D92">
        <w:t xml:space="preserve"> UN Refugee Agency, ‘Press Release: UN Refugee Agency opposes plan to export asylum’, 14 April 2022.</w:t>
      </w:r>
    </w:p>
  </w:footnote>
  <w:footnote w:id="16">
    <w:p w14:paraId="16AB07CE" w14:textId="77777777" w:rsidR="000C4BEC" w:rsidRDefault="000C4BEC" w:rsidP="007472AD">
      <w:pPr>
        <w:pStyle w:val="NIHRCFootnotes"/>
      </w:pPr>
      <w:r w:rsidRPr="00D14D92">
        <w:rPr>
          <w:rStyle w:val="FootnoteReference"/>
        </w:rPr>
        <w:footnoteRef/>
      </w:r>
      <w:r w:rsidRPr="00D14D92">
        <w:t xml:space="preserve"> UN Refugee Agency, ‘UNCHR Analysis of the Legality and Appropriateness of the Transfer of Asylum-Seekers Under the UK-Rwanda Arrangement’ (UNCHR, 2022).</w:t>
      </w:r>
    </w:p>
  </w:footnote>
  <w:footnote w:id="17">
    <w:p w14:paraId="785A187B" w14:textId="064AB1F3" w:rsidR="000C4BEC" w:rsidRDefault="000C4BEC" w:rsidP="00057C53">
      <w:pPr>
        <w:pStyle w:val="NIHRCFootnotes"/>
      </w:pPr>
      <w:r>
        <w:rPr>
          <w:rStyle w:val="FootnoteReference"/>
        </w:rPr>
        <w:footnoteRef/>
      </w:r>
      <w:r>
        <w:t xml:space="preserve"> Article 7, </w:t>
      </w:r>
      <w:r w:rsidRPr="00654887">
        <w:t>Directive 2005/85/EC, ‘EU Council Directive on Minimum Standards on Procedures in Member States for Granting and Withdrawing Refugee Status’, 1 December 2005.</w:t>
      </w:r>
    </w:p>
  </w:footnote>
  <w:footnote w:id="18">
    <w:p w14:paraId="28AF3675" w14:textId="7C71ADE2" w:rsidR="000C4BEC" w:rsidRDefault="000C4BEC" w:rsidP="000C4BEC">
      <w:pPr>
        <w:pStyle w:val="NIHRCFootnotes"/>
      </w:pPr>
      <w:r>
        <w:rPr>
          <w:rStyle w:val="FootnoteReference"/>
        </w:rPr>
        <w:footnoteRef/>
      </w:r>
      <w:r>
        <w:t xml:space="preserve"> Article 17, </w:t>
      </w:r>
      <w:r w:rsidRPr="00654887">
        <w:t>Directive 2003/9/EC, ‘EU Council Directive Laying Down Minimum Standards for the Reception of Asylum Seekers’, 27 January 2003.</w:t>
      </w:r>
    </w:p>
  </w:footnote>
  <w:footnote w:id="19">
    <w:p w14:paraId="6BA310E9" w14:textId="77777777" w:rsidR="000C4BEC" w:rsidRPr="00A37A09" w:rsidRDefault="000C4BEC" w:rsidP="00C61501">
      <w:pPr>
        <w:pStyle w:val="NIHRCFootnotes"/>
      </w:pPr>
      <w:r w:rsidRPr="00A37A09">
        <w:rPr>
          <w:rStyle w:val="FootnoteReference"/>
        </w:rPr>
        <w:footnoteRef/>
      </w:r>
      <w:r w:rsidRPr="00A37A09">
        <w:t xml:space="preserve"> CEDAW/C/GBR/CO/8, 'UN CEDAW Committee Concluding Observations on the Eighth Periodic Report of the UK of Great Britain and NI', 14 March 2019.</w:t>
      </w:r>
    </w:p>
  </w:footnote>
  <w:footnote w:id="20">
    <w:p w14:paraId="2E65F18D" w14:textId="15915389" w:rsidR="000C4BEC" w:rsidRDefault="000C4BEC" w:rsidP="000C4BEC">
      <w:pPr>
        <w:pStyle w:val="NIHRCFootnotes"/>
      </w:pPr>
      <w:r>
        <w:rPr>
          <w:rStyle w:val="FootnoteReference"/>
        </w:rPr>
        <w:footnoteRef/>
      </w:r>
      <w:r>
        <w:t xml:space="preserve"> Home Office, ‘Detention: General Instructions’, (UK Gov, 2022), at 7.</w:t>
      </w:r>
    </w:p>
  </w:footnote>
  <w:footnote w:id="21">
    <w:p w14:paraId="76F57BE3" w14:textId="477D8F08" w:rsidR="000C4BEC" w:rsidRDefault="000C4BEC" w:rsidP="000C4BEC">
      <w:pPr>
        <w:pStyle w:val="NIHRCFootnotes"/>
      </w:pPr>
      <w:r>
        <w:rPr>
          <w:rStyle w:val="FootnoteReference"/>
        </w:rPr>
        <w:footnoteRef/>
      </w:r>
      <w:r>
        <w:t xml:space="preserve"> The Migration Observatory, ‘Immigration Detention in the UK’ (OU, 2022).</w:t>
      </w:r>
    </w:p>
  </w:footnote>
  <w:footnote w:id="22">
    <w:p w14:paraId="0F6A6FD2" w14:textId="77777777" w:rsidR="000C4BEC" w:rsidRDefault="000C4BEC" w:rsidP="007472AD">
      <w:pPr>
        <w:pStyle w:val="NIHRCFootnotes"/>
      </w:pPr>
    </w:p>
  </w:footnote>
  <w:footnote w:id="23">
    <w:p w14:paraId="2F87D558" w14:textId="77777777" w:rsidR="000C4BEC" w:rsidRDefault="000C4BEC" w:rsidP="007472AD">
      <w:pPr>
        <w:pStyle w:val="NIHRCFootnotes"/>
      </w:pPr>
      <w:r w:rsidRPr="00A37A09">
        <w:rPr>
          <w:rStyle w:val="FootnoteReference"/>
        </w:rPr>
        <w:footnoteRef/>
      </w:r>
      <w:r w:rsidRPr="00A37A09">
        <w:t xml:space="preserve"> Faith Voices for Reproductive Justice, End Deportations Belfast, Alliance for Choice Belfast, Alliance for Choice Derry et al, ‘Press Release: Statement criticising the detention of pregnant women in Larne House’, 31 October 2022.</w:t>
      </w:r>
    </w:p>
  </w:footnote>
  <w:footnote w:id="24">
    <w:p w14:paraId="30CE09B5" w14:textId="2635DA25" w:rsidR="00717FDE" w:rsidRDefault="00717FDE" w:rsidP="00214A30">
      <w:pPr>
        <w:pStyle w:val="NIHRCFootnotes"/>
      </w:pPr>
      <w:r>
        <w:rPr>
          <w:rStyle w:val="FootnoteReference"/>
        </w:rPr>
        <w:footnoteRef/>
      </w:r>
      <w:r>
        <w:t xml:space="preserve"> The Immigration Act 2016 (Commencement No. 1 and Transitional Provisions) (Scotland and Northern Ireland) Regulations 2022.</w:t>
      </w:r>
      <w:bookmarkStart w:id="4" w:name="_GoBack"/>
      <w:bookmarkEnd w:id="4"/>
    </w:p>
  </w:footnote>
  <w:footnote w:id="25">
    <w:p w14:paraId="3E025C1A" w14:textId="77777777" w:rsidR="000C4BEC" w:rsidRDefault="000C4BEC" w:rsidP="007472AD">
      <w:pPr>
        <w:pStyle w:val="NIHRCFootnotes"/>
      </w:pPr>
      <w:r>
        <w:rPr>
          <w:rStyle w:val="FootnoteReference"/>
        </w:rPr>
        <w:footnoteRef/>
      </w:r>
      <w:r>
        <w:t xml:space="preserve"> Home Office, ‘Immigration Bail Conditions: Electronic monitoring (EM) expansion pilot’, (UK Gov, 2022), at 7.</w:t>
      </w:r>
    </w:p>
  </w:footnote>
  <w:footnote w:id="26">
    <w:p w14:paraId="7B94176D" w14:textId="77777777" w:rsidR="000C4BEC" w:rsidRDefault="000C4BEC" w:rsidP="007472AD">
      <w:pPr>
        <w:pStyle w:val="NIHRCFootnotes"/>
      </w:pPr>
      <w:r>
        <w:rPr>
          <w:rStyle w:val="FootnoteReference"/>
        </w:rPr>
        <w:footnoteRef/>
      </w:r>
      <w:r>
        <w:t xml:space="preserve"> Libert v France (2018) ECHR 185.</w:t>
      </w:r>
    </w:p>
  </w:footnote>
  <w:footnote w:id="27">
    <w:p w14:paraId="573F2313" w14:textId="77777777" w:rsidR="000C4BEC" w:rsidRDefault="000C4BEC" w:rsidP="007472AD">
      <w:pPr>
        <w:pStyle w:val="NIHRCFootnotes"/>
      </w:pPr>
      <w:r>
        <w:rPr>
          <w:rStyle w:val="FootnoteReference"/>
        </w:rPr>
        <w:footnoteRef/>
      </w:r>
      <w:r>
        <w:t xml:space="preserve"> Dudgeon v UK (1981) ECHR 5, at para 51-53.</w:t>
      </w:r>
    </w:p>
  </w:footnote>
  <w:footnote w:id="28">
    <w:p w14:paraId="52B2D13D" w14:textId="623727DF" w:rsidR="000C4BEC" w:rsidRDefault="000C4BEC" w:rsidP="007472AD">
      <w:pPr>
        <w:pStyle w:val="NIHRCFootnotes"/>
      </w:pPr>
      <w:r>
        <w:rPr>
          <w:rStyle w:val="FootnoteReference"/>
        </w:rPr>
        <w:footnoteRef/>
      </w:r>
      <w:r>
        <w:t xml:space="preserve"> Article 8(2), ECHR.</w:t>
      </w:r>
    </w:p>
  </w:footnote>
  <w:footnote w:id="29">
    <w:p w14:paraId="3111F63D" w14:textId="77777777" w:rsidR="000C4BEC" w:rsidRDefault="000C4BEC" w:rsidP="007472AD">
      <w:pPr>
        <w:pStyle w:val="NIHRCFootnotes"/>
      </w:pPr>
      <w:r>
        <w:rPr>
          <w:rStyle w:val="FootnoteReference"/>
        </w:rPr>
        <w:footnoteRef/>
      </w:r>
      <w:r>
        <w:t xml:space="preserve"> Bail for Immigration Detainees, Medical Justice and Public Law Project, ‘Every Move You Make: The Human Cost of GPS Tagging in the Immigration System’, (2022).</w:t>
      </w:r>
    </w:p>
  </w:footnote>
  <w:footnote w:id="30">
    <w:p w14:paraId="19205D47" w14:textId="3241D65A" w:rsidR="000C4BEC" w:rsidRPr="00654887" w:rsidRDefault="000C4BEC" w:rsidP="007472AD">
      <w:pPr>
        <w:pStyle w:val="NIHRCFootnotes"/>
      </w:pPr>
      <w:r w:rsidRPr="00654887">
        <w:rPr>
          <w:rStyle w:val="FootnoteReference"/>
          <w:rFonts w:eastAsiaTheme="majorEastAsia"/>
        </w:rPr>
        <w:footnoteRef/>
      </w:r>
      <w:r w:rsidRPr="00654887">
        <w:t xml:space="preserve"> CRC/C/GBR/CO/5, 'UN CRC Committee Concluding Observations on the Fifth Periodic Report of the UK of Great Britain and NI', 12 July 2016, at </w:t>
      </w:r>
      <w:r>
        <w:t xml:space="preserve">para </w:t>
      </w:r>
      <w:r w:rsidRPr="00654887">
        <w:t>76-77.</w:t>
      </w:r>
    </w:p>
  </w:footnote>
  <w:footnote w:id="31">
    <w:p w14:paraId="0C576018" w14:textId="6827816B" w:rsidR="009973BD" w:rsidRDefault="009973BD" w:rsidP="004C2185">
      <w:pPr>
        <w:pStyle w:val="NIHRCFootnotes"/>
      </w:pPr>
      <w:r>
        <w:rPr>
          <w:rStyle w:val="FootnoteReference"/>
        </w:rPr>
        <w:footnoteRef/>
      </w:r>
      <w:r>
        <w:t xml:space="preserve"> Article 18, </w:t>
      </w:r>
      <w:r w:rsidRPr="00654887">
        <w:t>Directive 2003/9/EC, ‘EU Council Directive Laying Down Minimum Standards for the Reception of Asylum Seekers’, 27 January 2003.</w:t>
      </w:r>
    </w:p>
  </w:footnote>
  <w:footnote w:id="32">
    <w:p w14:paraId="121DDF31" w14:textId="77777777" w:rsidR="0059457A" w:rsidRDefault="0059457A" w:rsidP="0059457A">
      <w:pPr>
        <w:pStyle w:val="NIHRCFootnotes"/>
      </w:pPr>
      <w:r>
        <w:rPr>
          <w:rStyle w:val="FootnoteReference"/>
        </w:rPr>
        <w:footnoteRef/>
      </w:r>
      <w:r>
        <w:t xml:space="preserve"> Article 10, </w:t>
      </w:r>
      <w:r w:rsidRPr="00654887">
        <w:t>Directive 2003/9/EC, ‘EU Council Directive Laying Down Minimum Standards for the Reception of Asylum Seekers’, 27 January 2003.</w:t>
      </w:r>
    </w:p>
  </w:footnote>
  <w:footnote w:id="33">
    <w:p w14:paraId="1F08256F" w14:textId="77777777" w:rsidR="0059457A" w:rsidRDefault="0059457A" w:rsidP="0059457A">
      <w:pPr>
        <w:pStyle w:val="NIHRCFootnotes"/>
      </w:pPr>
      <w:r>
        <w:rPr>
          <w:rStyle w:val="FootnoteReference"/>
        </w:rPr>
        <w:footnoteRef/>
      </w:r>
      <w:r>
        <w:t xml:space="preserve"> Article 15, </w:t>
      </w:r>
      <w:r w:rsidRPr="00654887">
        <w:t>Directive 2003/9/EC, ‘EU Council Directive Laying Down Minimum Standards for the Reception of Asylum Seekers’, 27 January 2003.</w:t>
      </w:r>
    </w:p>
  </w:footnote>
  <w:footnote w:id="34">
    <w:p w14:paraId="3386D1DE" w14:textId="77777777" w:rsidR="0059457A" w:rsidRDefault="0059457A" w:rsidP="0059457A">
      <w:pPr>
        <w:pStyle w:val="NIHRCFootnotes"/>
      </w:pPr>
      <w:r>
        <w:rPr>
          <w:rStyle w:val="FootnoteReference"/>
        </w:rPr>
        <w:footnoteRef/>
      </w:r>
      <w:r>
        <w:t xml:space="preserve"> Article 17, </w:t>
      </w:r>
      <w:r w:rsidRPr="00654887">
        <w:t>Directive 2003/9/EC, ‘EU Council Directive Laying Down Minimum Standards for the Reception of Asylum Seekers’, 27 January 2003.</w:t>
      </w:r>
    </w:p>
  </w:footnote>
  <w:footnote w:id="35">
    <w:p w14:paraId="649975CD" w14:textId="5B6F84B8" w:rsidR="000C4BEC" w:rsidRDefault="000C4BEC" w:rsidP="007472AD">
      <w:pPr>
        <w:pStyle w:val="NIHRCFootnotes"/>
      </w:pPr>
      <w:r>
        <w:rPr>
          <w:rStyle w:val="FootnoteReference"/>
        </w:rPr>
        <w:footnoteRef/>
      </w:r>
      <w:r>
        <w:t xml:space="preserve"> </w:t>
      </w:r>
      <w:r w:rsidR="00567AB0" w:rsidRPr="00654887">
        <w:t xml:space="preserve">CRC/C/GBR/CO/5, 'UN CRC Committee Concluding Observations on the Fifth Periodic Report of the UK of Great Britain and NI', 12 July 2016, at </w:t>
      </w:r>
      <w:r w:rsidR="00567AB0">
        <w:t xml:space="preserve">para </w:t>
      </w:r>
      <w:r w:rsidR="00567AB0" w:rsidRPr="00654887">
        <w:t>76-77.</w:t>
      </w:r>
    </w:p>
  </w:footnote>
  <w:footnote w:id="36">
    <w:p w14:paraId="4852E435" w14:textId="77777777" w:rsidR="000C4BEC" w:rsidRPr="007131BF" w:rsidRDefault="000C4BEC" w:rsidP="00E25E1A">
      <w:pPr>
        <w:pStyle w:val="NIHRCFootnotes"/>
      </w:pPr>
      <w:r w:rsidRPr="007131BF">
        <w:rPr>
          <w:rStyle w:val="FootnoteReference"/>
        </w:rPr>
        <w:footnoteRef/>
      </w:r>
      <w:r w:rsidRPr="007131BF">
        <w:t xml:space="preserve"> CEDAW/C/GBR/CO/8, 'UN CEDAW Committee Concluding Observations on the Eighth Periodic Report of the UK of Great</w:t>
      </w:r>
      <w:r>
        <w:t xml:space="preserve"> Britain and NI', 14 March 2019, at para 55.</w:t>
      </w:r>
    </w:p>
  </w:footnote>
  <w:footnote w:id="37">
    <w:p w14:paraId="09A71B7A" w14:textId="77777777" w:rsidR="000C4BEC" w:rsidRPr="000F0071" w:rsidRDefault="000C4BEC" w:rsidP="007472AD">
      <w:pPr>
        <w:pStyle w:val="NIHRCFootnotes"/>
      </w:pPr>
      <w:r w:rsidRPr="000F0071">
        <w:rPr>
          <w:rStyle w:val="FootnoteReference"/>
        </w:rPr>
        <w:footnoteRef/>
      </w:r>
      <w:r w:rsidRPr="000F0071">
        <w:t xml:space="preserve"> </w:t>
      </w:r>
      <w:r>
        <w:t>E/C.12/GBR/CO/6, ‘UN CESCR Committee concluding observations on the sixth periodic report of the UK of Great Britain and NI’, 14 July 2016, at para 51.</w:t>
      </w:r>
    </w:p>
  </w:footnote>
  <w:footnote w:id="38">
    <w:p w14:paraId="6AD5D103" w14:textId="77777777" w:rsidR="000C4BEC" w:rsidRPr="00481421" w:rsidRDefault="000C4BEC" w:rsidP="007472AD">
      <w:pPr>
        <w:pStyle w:val="NIHRCFootnotes"/>
      </w:pPr>
      <w:r w:rsidRPr="00481421">
        <w:rPr>
          <w:rStyle w:val="FootnoteReference"/>
        </w:rPr>
        <w:footnoteRef/>
      </w:r>
      <w:r w:rsidRPr="00481421">
        <w:t xml:space="preserve"> Home Office, 'Report on review of weekly allowances paid to asylum seekers and failed asylum seekers: 2021' (HO, 2022).</w:t>
      </w:r>
    </w:p>
  </w:footnote>
  <w:footnote w:id="39">
    <w:p w14:paraId="27C05B0D" w14:textId="77777777" w:rsidR="000C4BEC" w:rsidRPr="00481421" w:rsidRDefault="000C4BEC" w:rsidP="007472AD">
      <w:pPr>
        <w:pStyle w:val="NIHRCFootnotes"/>
      </w:pPr>
      <w:r w:rsidRPr="00481421">
        <w:rPr>
          <w:rStyle w:val="FootnoteReference"/>
          <w:rFonts w:cs="Verdana"/>
        </w:rPr>
        <w:footnoteRef/>
      </w:r>
      <w:r w:rsidRPr="00481421">
        <w:t xml:space="preserve"> Office for National Statistics, 'Immigration Statistics: Asylum and Resettlement - Asylum Seekers in Receipt of Support' (ONS, 2022).</w:t>
      </w:r>
    </w:p>
  </w:footnote>
  <w:footnote w:id="40">
    <w:p w14:paraId="1971B80C" w14:textId="77777777" w:rsidR="000C4BEC" w:rsidRPr="00481421" w:rsidRDefault="000C4BEC" w:rsidP="007472AD">
      <w:pPr>
        <w:pStyle w:val="NIHRCFootnotes"/>
      </w:pPr>
      <w:r w:rsidRPr="00481421">
        <w:rPr>
          <w:rStyle w:val="FootnoteReference"/>
          <w:rFonts w:cs="Verdana"/>
        </w:rPr>
        <w:footnoteRef/>
      </w:r>
      <w:r w:rsidRPr="00481421">
        <w:t xml:space="preserve"> British Red Cross, 'The Longest Year: Life Under Local Restrictions – NI Briefing' (BRC, 2021).</w:t>
      </w:r>
    </w:p>
  </w:footnote>
  <w:footnote w:id="41">
    <w:p w14:paraId="3AAE7249" w14:textId="77777777" w:rsidR="000C4BEC" w:rsidRPr="00481421" w:rsidRDefault="000C4BEC" w:rsidP="007472AD">
      <w:pPr>
        <w:pStyle w:val="NIHRCFootnotes"/>
      </w:pPr>
      <w:r w:rsidRPr="00481421">
        <w:rPr>
          <w:rStyle w:val="FootnoteReference"/>
          <w:rFonts w:cs="Verdana"/>
        </w:rPr>
        <w:footnoteRef/>
      </w:r>
      <w:r w:rsidRPr="00481421">
        <w:t xml:space="preserve"> NI Human Rights Commission, 'Response to the NI Affairs Committee Inquiry into the Experience of Minority Ethnic and Migrant People in NI' (NIHRC, 2021).</w:t>
      </w:r>
    </w:p>
  </w:footnote>
  <w:footnote w:id="42">
    <w:p w14:paraId="5FFB4F97" w14:textId="790181D5" w:rsidR="000C4BEC" w:rsidRPr="00E16ADE" w:rsidRDefault="000C4BEC" w:rsidP="003B4A83">
      <w:pPr>
        <w:pStyle w:val="NIHRCFootnotes"/>
      </w:pPr>
      <w:r w:rsidRPr="00E16ADE">
        <w:rPr>
          <w:rStyle w:val="FootnoteReference"/>
        </w:rPr>
        <w:footnoteRef/>
      </w:r>
      <w:r w:rsidRPr="00E16ADE">
        <w:t xml:space="preserve"> UK Government, 'Contracts Finder – Asylum Accommodation and Support Services Contract NI’. Available at: </w:t>
      </w:r>
      <w:hyperlink r:id="rId3" w:history="1">
        <w:r w:rsidRPr="00040DCE">
          <w:rPr>
            <w:rStyle w:val="Hyperlink"/>
          </w:rPr>
          <w:t>https://www.contractsfinder.service.gov.uk/Notice/af043016-dd83-4308-8b3c-0d134a3a89c9</w:t>
        </w:r>
      </w:hyperlink>
      <w:r>
        <w:t xml:space="preserve">; </w:t>
      </w:r>
      <w:r w:rsidRPr="008A34AA">
        <w:t>UK Visas and Immigration, 'A Home Office Guide to Living in Asylum Accommodation' (HO, 2019).</w:t>
      </w:r>
    </w:p>
  </w:footnote>
  <w:footnote w:id="43">
    <w:p w14:paraId="6552854D" w14:textId="49DEB0D4" w:rsidR="000C4BEC" w:rsidRPr="00E16ADE" w:rsidRDefault="000C4BEC" w:rsidP="007472AD">
      <w:pPr>
        <w:pStyle w:val="NIHRCFootnotes"/>
      </w:pPr>
      <w:r w:rsidRPr="00E16ADE">
        <w:rPr>
          <w:rStyle w:val="FootnoteReference"/>
        </w:rPr>
        <w:footnoteRef/>
      </w:r>
      <w:r w:rsidRPr="00E16ADE">
        <w:t xml:space="preserve"> UK Government, 'Contracts Finder – Asylum Accommodation and Support Services Contract NI’. Available at: </w:t>
      </w:r>
      <w:hyperlink r:id="rId4" w:history="1">
        <w:r w:rsidRPr="00040DCE">
          <w:rPr>
            <w:rStyle w:val="Hyperlink"/>
          </w:rPr>
          <w:t>https://www.contractsfinder.service.gov.uk/Notice/af043016-dd83-4308-8b3c-0d134a3a89c9</w:t>
        </w:r>
      </w:hyperlink>
      <w:r>
        <w:t xml:space="preserve">; </w:t>
      </w:r>
      <w:r w:rsidRPr="008A34AA">
        <w:t>UK Visas and Immigration, 'A Home Office Guide to Living in Asylum Accommodation' (HO, 2019).</w:t>
      </w:r>
    </w:p>
  </w:footnote>
  <w:footnote w:id="44">
    <w:p w14:paraId="33DF1DAA" w14:textId="27F43A52" w:rsidR="000C4BEC" w:rsidRDefault="000C4BEC" w:rsidP="007472AD">
      <w:pPr>
        <w:pStyle w:val="NIHRCFootnotes"/>
      </w:pPr>
      <w:r>
        <w:rPr>
          <w:rStyle w:val="FootnoteReference"/>
        </w:rPr>
        <w:footnoteRef/>
      </w:r>
      <w:r>
        <w:t xml:space="preserve"> Email from the Home Office to the NI Human Rights Commission, 14 November 2022.</w:t>
      </w:r>
    </w:p>
  </w:footnote>
  <w:footnote w:id="45">
    <w:p w14:paraId="478A17AA" w14:textId="77777777" w:rsidR="000C4BEC" w:rsidRDefault="000C4BEC" w:rsidP="007472AD">
      <w:pPr>
        <w:pStyle w:val="NIHRCFootnotes"/>
      </w:pPr>
      <w:r w:rsidRPr="008A34AA">
        <w:rPr>
          <w:rStyle w:val="FootnoteReference"/>
        </w:rPr>
        <w:footnoteRef/>
      </w:r>
      <w:r w:rsidRPr="008A34AA">
        <w:t xml:space="preserve"> Meetings between NI Human Rights Commission and civil society organisations, May 2022, August 2022 and October 2022.</w:t>
      </w:r>
    </w:p>
  </w:footnote>
  <w:footnote w:id="46">
    <w:p w14:paraId="17BAB019" w14:textId="77777777" w:rsidR="000C4BEC" w:rsidRPr="00B21A6E" w:rsidRDefault="000C4BEC" w:rsidP="007472AD">
      <w:pPr>
        <w:pStyle w:val="NIHRCFootnotes"/>
      </w:pPr>
      <w:r w:rsidRPr="00B21A6E">
        <w:rPr>
          <w:rStyle w:val="FootnoteReference"/>
        </w:rPr>
        <w:footnoteRef/>
      </w:r>
      <w:r w:rsidRPr="00B21A6E">
        <w:t xml:space="preserve"> </w:t>
      </w:r>
      <w:r>
        <w:t>Ibid; The UK Government is obligated to ensure access to education under Article 13 UN ICESCR, Article 28 UN CRC, and Article 5(e)(v) UN CERD, and the right to health under Article 12 UN ICESCR, Article 24 UN CRC and Article 5(e)(iv) UN CERD. See also Council Directive 2000/43/EC, Implementing the principle of equal treatment between persons irrespective of racial or ethnic origin, 29 June 2000, which creates provisions for equal access to healthcare and education with respect to race. The Race Equality Directive is listed in Annex 1 of the Ireland/Northern Ireland Protocol, and therefore the UK Government and NI Executive is required to keep pace with the Directive with respect to standards in NI.</w:t>
      </w:r>
    </w:p>
  </w:footnote>
  <w:footnote w:id="47">
    <w:p w14:paraId="7DCD4C73" w14:textId="115689E2" w:rsidR="000C4BEC" w:rsidRDefault="000C4BEC" w:rsidP="007472AD">
      <w:pPr>
        <w:pStyle w:val="NIHRCFootnotes"/>
      </w:pPr>
      <w:r>
        <w:rPr>
          <w:rStyle w:val="FootnoteReference"/>
        </w:rPr>
        <w:footnoteRef/>
      </w:r>
      <w:r>
        <w:t xml:space="preserve"> I</w:t>
      </w:r>
      <w:r>
        <w:rPr>
          <w:highlight w:val="white"/>
        </w:rPr>
        <w:t>ndependent Chief Inspector of Borders and Immigration, 'An Inspection of Contingency Asylum Accommodation May 2021-November 2021' (UK Gov, 2022), at paras 9.7 and 9.41. </w:t>
      </w:r>
    </w:p>
  </w:footnote>
  <w:footnote w:id="48">
    <w:p w14:paraId="28F5DDD1" w14:textId="4377C072" w:rsidR="000C4BEC" w:rsidRPr="00654887" w:rsidRDefault="000C4BEC" w:rsidP="007472AD">
      <w:pPr>
        <w:pStyle w:val="NIHRCFootnotes"/>
      </w:pPr>
      <w:r w:rsidRPr="00654887">
        <w:rPr>
          <w:rStyle w:val="FootnoteReference"/>
        </w:rPr>
        <w:footnoteRef/>
      </w:r>
      <w:r w:rsidRPr="00654887">
        <w:t xml:space="preserve"> Meetings between NI Human Rights Commission and civil society organisations, May 2022, August 2022 and October 2022.</w:t>
      </w:r>
    </w:p>
  </w:footnote>
  <w:footnote w:id="49">
    <w:p w14:paraId="54445F4D" w14:textId="77777777" w:rsidR="00DF6A0A" w:rsidRDefault="00DF6A0A" w:rsidP="00DF6A0A">
      <w:pPr>
        <w:pStyle w:val="NIHRCFootnotes"/>
      </w:pPr>
      <w:r>
        <w:rPr>
          <w:rStyle w:val="FootnoteReference"/>
        </w:rPr>
        <w:footnoteRef/>
      </w:r>
      <w:r>
        <w:t xml:space="preserve"> E/C.12/GBR/CO/6, ‘UN CESCR Committee concluding observations on the sixth periodic report of the UK of Great Britain and NI’, 14 July 2016, at paras 24-25.</w:t>
      </w:r>
    </w:p>
  </w:footnote>
  <w:footnote w:id="50">
    <w:p w14:paraId="5E08E1F1" w14:textId="77777777" w:rsidR="00DF6A0A" w:rsidRPr="00654887" w:rsidRDefault="00DF6A0A" w:rsidP="00DF6A0A">
      <w:pPr>
        <w:pStyle w:val="NIHRCFootnotes"/>
      </w:pPr>
      <w:r w:rsidRPr="00654887">
        <w:rPr>
          <w:rStyle w:val="FootnoteReference"/>
          <w:rFonts w:eastAsiaTheme="majorEastAsia"/>
        </w:rPr>
        <w:footnoteRef/>
      </w:r>
      <w:r w:rsidRPr="00654887">
        <w:t xml:space="preserve"> CEDAW/C/GBR/CO/8, 'UN CEDAW Committee Concluding Observations on the Eighth Periodic Report of the UK of Great Britain and NI', 14 March 2019, at para 55(c).</w:t>
      </w:r>
    </w:p>
  </w:footnote>
  <w:footnote w:id="51">
    <w:p w14:paraId="134442A7" w14:textId="7208E133" w:rsidR="00570B98" w:rsidRDefault="00570B98" w:rsidP="00570B98">
      <w:pPr>
        <w:pStyle w:val="NIHRCFootnotes"/>
      </w:pPr>
      <w:r>
        <w:rPr>
          <w:rStyle w:val="FootnoteReference"/>
        </w:rPr>
        <w:footnoteRef/>
      </w:r>
      <w:r>
        <w:t xml:space="preserve"> Children’s Law Centre and South Tyrone Empowerment Programme, ‘Joint Submission to Framework Convention on National Minorities Advisory Committee: Rights of Asylum Seeker Children Living in Contingency Accommodation (Hotel Buildings) in NI, run by Mears Group PLC’ (CLC and STEP, 2022), at 11.</w:t>
      </w:r>
    </w:p>
  </w:footnote>
  <w:footnote w:id="52">
    <w:p w14:paraId="21DCFC72" w14:textId="77777777" w:rsidR="000C4BEC" w:rsidRPr="00654887" w:rsidRDefault="000C4BEC" w:rsidP="0053000B">
      <w:pPr>
        <w:pStyle w:val="NIHRCFootnotes"/>
      </w:pPr>
      <w:r w:rsidRPr="00654887">
        <w:rPr>
          <w:rStyle w:val="FootnoteReference"/>
          <w:rFonts w:eastAsiaTheme="majorEastAsia"/>
        </w:rPr>
        <w:footnoteRef/>
      </w:r>
      <w:r w:rsidRPr="00654887">
        <w:t xml:space="preserve"> National Institute of Economic and Social Research, 'What Can Be Done About the Cost of Living Crisis?' (NIESR, 2022).</w:t>
      </w:r>
    </w:p>
  </w:footnote>
  <w:footnote w:id="53">
    <w:p w14:paraId="78BFE43D" w14:textId="39F6512A" w:rsidR="00567AB0" w:rsidRDefault="00567AB0" w:rsidP="00567AB0">
      <w:pPr>
        <w:pStyle w:val="NIHRCFootnotes"/>
      </w:pPr>
      <w:r>
        <w:rPr>
          <w:rStyle w:val="FootnoteReference"/>
        </w:rPr>
        <w:footnoteRef/>
      </w:r>
      <w:r>
        <w:t xml:space="preserve"> Home Office, ‘Permission to work and volunteering for asylum seekers’, (UK Gov, 2022).</w:t>
      </w:r>
    </w:p>
  </w:footnote>
  <w:footnote w:id="54">
    <w:p w14:paraId="6D52B87A" w14:textId="77777777" w:rsidR="000C4BEC" w:rsidRDefault="000C4BEC" w:rsidP="007472AD">
      <w:pPr>
        <w:pStyle w:val="NIHRCFootnotes"/>
      </w:pPr>
      <w:r>
        <w:rPr>
          <w:rStyle w:val="FootnoteReference"/>
        </w:rPr>
        <w:footnoteRef/>
      </w:r>
      <w:r>
        <w:t xml:space="preserve"> </w:t>
      </w:r>
      <w:r w:rsidRPr="00654887">
        <w:t>CAT/C/GBR/CO/6, 'UN CAT Committee Concluding Observations on the Sixth Periodic Report of the UK of Great Britain and NI', 7 June 2019.</w:t>
      </w:r>
    </w:p>
  </w:footnote>
  <w:footnote w:id="55">
    <w:p w14:paraId="197C10CA" w14:textId="77777777" w:rsidR="000C4BEC" w:rsidRPr="00654887" w:rsidRDefault="000C4BEC" w:rsidP="007472AD">
      <w:pPr>
        <w:pStyle w:val="NIHRCFootnotes"/>
      </w:pPr>
      <w:r w:rsidRPr="00654887">
        <w:rPr>
          <w:rStyle w:val="FootnoteReference"/>
        </w:rPr>
        <w:footnoteRef/>
      </w:r>
      <w:r w:rsidRPr="00654887">
        <w:t xml:space="preserve"> Letter from the UN Special Rapporteur on trafficking in persons, especially women and children, Siobhán Mullally; UN Special Rapporteur on the human rights of migrants, Felipe González Morales; UN Special Rapporteur on contemporary forms of slavery, including its causes and consequences, Tomoya Obokata; and UN Special Rapporteur on the promotion and protection of human rights and fundamental freedoms while countering terrorism, Fionnuala Ní Aoláin to the UK Government, 5 November 2021.</w:t>
      </w:r>
    </w:p>
  </w:footnote>
  <w:footnote w:id="56">
    <w:p w14:paraId="479CE196" w14:textId="77777777" w:rsidR="000C4BEC" w:rsidRPr="00654887" w:rsidRDefault="000C4BEC" w:rsidP="007472AD">
      <w:pPr>
        <w:pStyle w:val="NIHRCFootnotes"/>
      </w:pPr>
      <w:r w:rsidRPr="00654887">
        <w:rPr>
          <w:rStyle w:val="FootnoteReference"/>
        </w:rPr>
        <w:footnoteRef/>
      </w:r>
      <w:r w:rsidRPr="00654887">
        <w:t xml:space="preserve"> Ibid.</w:t>
      </w:r>
    </w:p>
  </w:footnote>
  <w:footnote w:id="57">
    <w:p w14:paraId="688706EA" w14:textId="77777777" w:rsidR="000C4BEC" w:rsidRDefault="000C4BEC" w:rsidP="007472AD">
      <w:pPr>
        <w:pStyle w:val="NIHRCFootnotes"/>
      </w:pPr>
      <w:r>
        <w:rPr>
          <w:rStyle w:val="FootnoteReference"/>
        </w:rPr>
        <w:footnoteRef/>
      </w:r>
      <w:r>
        <w:t xml:space="preserve"> </w:t>
      </w:r>
      <w:r w:rsidRPr="00654887">
        <w:t>Belfast (Good Friday) Agreement, 10 April 1998, at Part 6 on Rights, Safeguards and Equalit</w:t>
      </w:r>
      <w:r>
        <w:t xml:space="preserve">y of Opportunity – Human Rights; the Agreement protects a victim’s right to remember as well as contribute to a changed society. There are additional arguments as to why the EU Trafficking Directive falls within scope of Protocol Article 2, including the equality of opportunity protections under the agreement and under Article 4 of the ECHR, which the Commission interprets as falling within scope of the non-diminution commitment insofar as it is underpinned by EU legislation; </w:t>
      </w:r>
      <w:r w:rsidRPr="00B41B8D">
        <w:t>NI Human Rights Commission and Equality Commission NI, ‘Scope of Article 2(1) of the Ireland/Northern Ireland Protocol to the UK-EU Withdrawal Agreement 2020’, (NIHRC/ECNI, 2022)</w:t>
      </w:r>
      <w:r>
        <w:t>.</w:t>
      </w:r>
    </w:p>
  </w:footnote>
  <w:footnote w:id="58">
    <w:p w14:paraId="4C35AD01" w14:textId="05CC7AA9" w:rsidR="00DD0E83" w:rsidRDefault="00DD0E83" w:rsidP="00DD0E83">
      <w:pPr>
        <w:pStyle w:val="NIHRCFootnotes"/>
      </w:pPr>
      <w:r>
        <w:rPr>
          <w:rStyle w:val="FootnoteReference"/>
        </w:rPr>
        <w:footnoteRef/>
      </w:r>
      <w:r>
        <w:t xml:space="preserve"> Letter from the UN Special Rapporteur on trafficking in persons, especially women and children, Siobhán Mullally; UN Special Rapporteur on the human rights of migrants, Felipe González Morales; UN Special Rapporteur on contemporary forms of slavery, including its causes and consequences, Tomoya Obokata; and UN Special Rapporteur on the promotion and protection of human rights and fundamental freedoms while countering terrorism, Fionnuala Ní Aoláin to the UK Government, 5 November 2021.</w:t>
      </w:r>
    </w:p>
  </w:footnote>
  <w:footnote w:id="59">
    <w:p w14:paraId="1F212D88" w14:textId="77777777" w:rsidR="000C4BEC" w:rsidRPr="00654887" w:rsidRDefault="000C4BEC" w:rsidP="007472AD">
      <w:pPr>
        <w:pStyle w:val="NIHRCFootnotes"/>
      </w:pPr>
      <w:r w:rsidRPr="00654887">
        <w:rPr>
          <w:rStyle w:val="FootnoteReference"/>
          <w:rFonts w:eastAsiaTheme="majorEastAsia"/>
        </w:rPr>
        <w:footnoteRef/>
      </w:r>
      <w:r w:rsidRPr="00654887">
        <w:t xml:space="preserve"> NI Human Rights Commission, ‘Response to Call for Evidence by the Joint Committee on Human Rights on the Nationality </w:t>
      </w:r>
      <w:r>
        <w:t>and Borders Bill’ (NIHRC, 2021)</w:t>
      </w:r>
      <w:r w:rsidRPr="00654887">
        <w:t>, at paras 4.5-4.25 and 7.1-7.12.</w:t>
      </w:r>
    </w:p>
  </w:footnote>
  <w:footnote w:id="60">
    <w:p w14:paraId="56DC6ACF" w14:textId="77777777" w:rsidR="000C4BEC" w:rsidRPr="00654887" w:rsidRDefault="000C4BEC" w:rsidP="007472AD">
      <w:pPr>
        <w:pStyle w:val="NIHRCFootnotes"/>
      </w:pPr>
      <w:r w:rsidRPr="00654887">
        <w:rPr>
          <w:rStyle w:val="FootnoteReference"/>
          <w:rFonts w:eastAsiaTheme="majorEastAsia"/>
        </w:rPr>
        <w:footnoteRef/>
      </w:r>
      <w:r w:rsidRPr="00654887">
        <w:t xml:space="preserve"> UK Parliament, ‘Nationality and Borders Bill: Explanatory Notes’ (HoL, 2021), at para 676.</w:t>
      </w:r>
    </w:p>
  </w:footnote>
  <w:footnote w:id="61">
    <w:p w14:paraId="60FA6E13" w14:textId="7F3296F2" w:rsidR="000C4BEC" w:rsidRPr="00654887" w:rsidRDefault="000C4BEC" w:rsidP="007472AD">
      <w:pPr>
        <w:pStyle w:val="NIHRCFootnotes"/>
      </w:pPr>
      <w:r w:rsidRPr="00654887">
        <w:rPr>
          <w:rStyle w:val="FootnoteReference"/>
          <w:rFonts w:eastAsiaTheme="majorEastAsia"/>
        </w:rPr>
        <w:footnoteRef/>
      </w:r>
      <w:r w:rsidRPr="00654887">
        <w:t xml:space="preserve"> </w:t>
      </w:r>
      <w:r w:rsidR="004C2185" w:rsidRPr="004C2185">
        <w:t xml:space="preserve"> </w:t>
      </w:r>
      <w:r w:rsidR="004C2185">
        <w:t>Letter from the NI Human Rights Commission and the Equality Commission for NI to Secretary of State for the Home Department, Priti Patel MP, 9 February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B5A33"/>
    <w:multiLevelType w:val="multilevel"/>
    <w:tmpl w:val="5A62C84E"/>
    <w:lvl w:ilvl="0">
      <w:start w:val="3"/>
      <w:numFmt w:val="decimal"/>
      <w:lvlText w:val="%1"/>
      <w:lvlJc w:val="left"/>
      <w:pPr>
        <w:ind w:left="608" w:hanging="608"/>
      </w:pPr>
      <w:rPr>
        <w:rFonts w:cs="MinionPro-Regular" w:hint="default"/>
        <w:color w:val="000000"/>
      </w:rPr>
    </w:lvl>
    <w:lvl w:ilvl="1">
      <w:start w:val="32"/>
      <w:numFmt w:val="decimal"/>
      <w:lvlText w:val="%1.%2"/>
      <w:lvlJc w:val="left"/>
      <w:pPr>
        <w:ind w:left="720" w:hanging="720"/>
      </w:pPr>
      <w:rPr>
        <w:rFonts w:cs="MinionPro-Regular" w:hint="default"/>
        <w:color w:val="000000"/>
      </w:rPr>
    </w:lvl>
    <w:lvl w:ilvl="2">
      <w:start w:val="1"/>
      <w:numFmt w:val="decimal"/>
      <w:lvlText w:val="%1.%2.%3"/>
      <w:lvlJc w:val="left"/>
      <w:pPr>
        <w:ind w:left="1080" w:hanging="1080"/>
      </w:pPr>
      <w:rPr>
        <w:rFonts w:cs="MinionPro-Regular" w:hint="default"/>
        <w:color w:val="000000"/>
      </w:rPr>
    </w:lvl>
    <w:lvl w:ilvl="3">
      <w:start w:val="1"/>
      <w:numFmt w:val="decimal"/>
      <w:lvlText w:val="%1.%2.%3.%4"/>
      <w:lvlJc w:val="left"/>
      <w:pPr>
        <w:ind w:left="1440" w:hanging="1440"/>
      </w:pPr>
      <w:rPr>
        <w:rFonts w:cs="MinionPro-Regular" w:hint="default"/>
        <w:color w:val="000000"/>
      </w:rPr>
    </w:lvl>
    <w:lvl w:ilvl="4">
      <w:start w:val="1"/>
      <w:numFmt w:val="decimal"/>
      <w:lvlText w:val="%1.%2.%3.%4.%5"/>
      <w:lvlJc w:val="left"/>
      <w:pPr>
        <w:ind w:left="1440" w:hanging="1440"/>
      </w:pPr>
      <w:rPr>
        <w:rFonts w:cs="MinionPro-Regular" w:hint="default"/>
        <w:color w:val="000000"/>
      </w:rPr>
    </w:lvl>
    <w:lvl w:ilvl="5">
      <w:start w:val="1"/>
      <w:numFmt w:val="decimal"/>
      <w:lvlText w:val="%1.%2.%3.%4.%5.%6"/>
      <w:lvlJc w:val="left"/>
      <w:pPr>
        <w:ind w:left="1800" w:hanging="1800"/>
      </w:pPr>
      <w:rPr>
        <w:rFonts w:cs="MinionPro-Regular" w:hint="default"/>
        <w:color w:val="000000"/>
      </w:rPr>
    </w:lvl>
    <w:lvl w:ilvl="6">
      <w:start w:val="1"/>
      <w:numFmt w:val="decimal"/>
      <w:lvlText w:val="%1.%2.%3.%4.%5.%6.%7"/>
      <w:lvlJc w:val="left"/>
      <w:pPr>
        <w:ind w:left="2160" w:hanging="2160"/>
      </w:pPr>
      <w:rPr>
        <w:rFonts w:cs="MinionPro-Regular" w:hint="default"/>
        <w:color w:val="000000"/>
      </w:rPr>
    </w:lvl>
    <w:lvl w:ilvl="7">
      <w:start w:val="1"/>
      <w:numFmt w:val="decimal"/>
      <w:lvlText w:val="%1.%2.%3.%4.%5.%6.%7.%8"/>
      <w:lvlJc w:val="left"/>
      <w:pPr>
        <w:ind w:left="2520" w:hanging="2520"/>
      </w:pPr>
      <w:rPr>
        <w:rFonts w:cs="MinionPro-Regular" w:hint="default"/>
        <w:color w:val="000000"/>
      </w:rPr>
    </w:lvl>
    <w:lvl w:ilvl="8">
      <w:start w:val="1"/>
      <w:numFmt w:val="decimal"/>
      <w:lvlText w:val="%1.%2.%3.%4.%5.%6.%7.%8.%9"/>
      <w:lvlJc w:val="left"/>
      <w:pPr>
        <w:ind w:left="2880" w:hanging="2880"/>
      </w:pPr>
      <w:rPr>
        <w:rFonts w:cs="MinionPro-Regular" w:hint="default"/>
        <w:color w:val="000000"/>
      </w:rPr>
    </w:lvl>
  </w:abstractNum>
  <w:abstractNum w:abstractNumId="1" w15:restartNumberingAfterBreak="0">
    <w:nsid w:val="119E2045"/>
    <w:multiLevelType w:val="multilevel"/>
    <w:tmpl w:val="7E341BA2"/>
    <w:lvl w:ilvl="0">
      <w:start w:val="3"/>
      <w:numFmt w:val="decimal"/>
      <w:lvlText w:val="%1"/>
      <w:lvlJc w:val="left"/>
      <w:pPr>
        <w:ind w:left="608" w:hanging="608"/>
      </w:pPr>
      <w:rPr>
        <w:rFonts w:cs="MinionPro-Regular" w:hint="default"/>
        <w:color w:val="000000"/>
      </w:rPr>
    </w:lvl>
    <w:lvl w:ilvl="1">
      <w:start w:val="37"/>
      <w:numFmt w:val="decimal"/>
      <w:lvlText w:val="%1.%2"/>
      <w:lvlJc w:val="left"/>
      <w:pPr>
        <w:ind w:left="720" w:hanging="720"/>
      </w:pPr>
      <w:rPr>
        <w:rFonts w:cs="MinionPro-Regular" w:hint="default"/>
        <w:color w:val="000000"/>
      </w:rPr>
    </w:lvl>
    <w:lvl w:ilvl="2">
      <w:start w:val="1"/>
      <w:numFmt w:val="decimal"/>
      <w:lvlText w:val="%1.%2.%3"/>
      <w:lvlJc w:val="left"/>
      <w:pPr>
        <w:ind w:left="1080" w:hanging="1080"/>
      </w:pPr>
      <w:rPr>
        <w:rFonts w:cs="MinionPro-Regular" w:hint="default"/>
        <w:color w:val="000000"/>
      </w:rPr>
    </w:lvl>
    <w:lvl w:ilvl="3">
      <w:start w:val="1"/>
      <w:numFmt w:val="decimal"/>
      <w:lvlText w:val="%1.%2.%3.%4"/>
      <w:lvlJc w:val="left"/>
      <w:pPr>
        <w:ind w:left="1440" w:hanging="1440"/>
      </w:pPr>
      <w:rPr>
        <w:rFonts w:cs="MinionPro-Regular" w:hint="default"/>
        <w:color w:val="000000"/>
      </w:rPr>
    </w:lvl>
    <w:lvl w:ilvl="4">
      <w:start w:val="1"/>
      <w:numFmt w:val="decimal"/>
      <w:lvlText w:val="%1.%2.%3.%4.%5"/>
      <w:lvlJc w:val="left"/>
      <w:pPr>
        <w:ind w:left="1440" w:hanging="1440"/>
      </w:pPr>
      <w:rPr>
        <w:rFonts w:cs="MinionPro-Regular" w:hint="default"/>
        <w:color w:val="000000"/>
      </w:rPr>
    </w:lvl>
    <w:lvl w:ilvl="5">
      <w:start w:val="1"/>
      <w:numFmt w:val="decimal"/>
      <w:lvlText w:val="%1.%2.%3.%4.%5.%6"/>
      <w:lvlJc w:val="left"/>
      <w:pPr>
        <w:ind w:left="1800" w:hanging="1800"/>
      </w:pPr>
      <w:rPr>
        <w:rFonts w:cs="MinionPro-Regular" w:hint="default"/>
        <w:color w:val="000000"/>
      </w:rPr>
    </w:lvl>
    <w:lvl w:ilvl="6">
      <w:start w:val="1"/>
      <w:numFmt w:val="decimal"/>
      <w:lvlText w:val="%1.%2.%3.%4.%5.%6.%7"/>
      <w:lvlJc w:val="left"/>
      <w:pPr>
        <w:ind w:left="2160" w:hanging="2160"/>
      </w:pPr>
      <w:rPr>
        <w:rFonts w:cs="MinionPro-Regular" w:hint="default"/>
        <w:color w:val="000000"/>
      </w:rPr>
    </w:lvl>
    <w:lvl w:ilvl="7">
      <w:start w:val="1"/>
      <w:numFmt w:val="decimal"/>
      <w:lvlText w:val="%1.%2.%3.%4.%5.%6.%7.%8"/>
      <w:lvlJc w:val="left"/>
      <w:pPr>
        <w:ind w:left="2520" w:hanging="2520"/>
      </w:pPr>
      <w:rPr>
        <w:rFonts w:cs="MinionPro-Regular" w:hint="default"/>
        <w:color w:val="000000"/>
      </w:rPr>
    </w:lvl>
    <w:lvl w:ilvl="8">
      <w:start w:val="1"/>
      <w:numFmt w:val="decimal"/>
      <w:lvlText w:val="%1.%2.%3.%4.%5.%6.%7.%8.%9"/>
      <w:lvlJc w:val="left"/>
      <w:pPr>
        <w:ind w:left="2880" w:hanging="2880"/>
      </w:pPr>
      <w:rPr>
        <w:rFonts w:cs="MinionPro-Regular" w:hint="default"/>
        <w:color w:val="000000"/>
      </w:rPr>
    </w:lvl>
  </w:abstractNum>
  <w:abstractNum w:abstractNumId="2"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A3669F"/>
    <w:multiLevelType w:val="multilevel"/>
    <w:tmpl w:val="2904F430"/>
    <w:lvl w:ilvl="0">
      <w:start w:val="3"/>
      <w:numFmt w:val="decimal"/>
      <w:lvlText w:val="%1"/>
      <w:lvlJc w:val="left"/>
      <w:pPr>
        <w:ind w:left="608" w:hanging="608"/>
      </w:pPr>
      <w:rPr>
        <w:rFonts w:cs="MinionPro-Regular" w:hint="default"/>
        <w:color w:val="000000"/>
        <w:sz w:val="24"/>
      </w:rPr>
    </w:lvl>
    <w:lvl w:ilvl="1">
      <w:start w:val="1"/>
      <w:numFmt w:val="decimal"/>
      <w:lvlText w:val="%1.%2"/>
      <w:lvlJc w:val="left"/>
      <w:pPr>
        <w:ind w:left="720" w:hanging="720"/>
      </w:pPr>
      <w:rPr>
        <w:rFonts w:cs="MinionPro-Regular" w:hint="default"/>
        <w:b w:val="0"/>
        <w:color w:val="000000"/>
        <w:sz w:val="24"/>
      </w:rPr>
    </w:lvl>
    <w:lvl w:ilvl="2">
      <w:start w:val="1"/>
      <w:numFmt w:val="decimal"/>
      <w:lvlText w:val="%1.%2.%3"/>
      <w:lvlJc w:val="left"/>
      <w:pPr>
        <w:ind w:left="1080" w:hanging="1080"/>
      </w:pPr>
      <w:rPr>
        <w:rFonts w:cs="MinionPro-Regular" w:hint="default"/>
        <w:color w:val="000000"/>
        <w:sz w:val="24"/>
      </w:rPr>
    </w:lvl>
    <w:lvl w:ilvl="3">
      <w:start w:val="1"/>
      <w:numFmt w:val="decimal"/>
      <w:lvlText w:val="%1.%2.%3.%4"/>
      <w:lvlJc w:val="left"/>
      <w:pPr>
        <w:ind w:left="1440" w:hanging="1440"/>
      </w:pPr>
      <w:rPr>
        <w:rFonts w:cs="MinionPro-Regular" w:hint="default"/>
        <w:color w:val="000000"/>
        <w:sz w:val="24"/>
      </w:rPr>
    </w:lvl>
    <w:lvl w:ilvl="4">
      <w:start w:val="1"/>
      <w:numFmt w:val="decimal"/>
      <w:lvlText w:val="%1.%2.%3.%4.%5"/>
      <w:lvlJc w:val="left"/>
      <w:pPr>
        <w:ind w:left="1800" w:hanging="1800"/>
      </w:pPr>
      <w:rPr>
        <w:rFonts w:cs="MinionPro-Regular" w:hint="default"/>
        <w:color w:val="000000"/>
        <w:sz w:val="24"/>
      </w:rPr>
    </w:lvl>
    <w:lvl w:ilvl="5">
      <w:start w:val="1"/>
      <w:numFmt w:val="decimal"/>
      <w:lvlText w:val="%1.%2.%3.%4.%5.%6"/>
      <w:lvlJc w:val="left"/>
      <w:pPr>
        <w:ind w:left="2160" w:hanging="2160"/>
      </w:pPr>
      <w:rPr>
        <w:rFonts w:cs="MinionPro-Regular" w:hint="default"/>
        <w:color w:val="000000"/>
        <w:sz w:val="24"/>
      </w:rPr>
    </w:lvl>
    <w:lvl w:ilvl="6">
      <w:start w:val="1"/>
      <w:numFmt w:val="decimal"/>
      <w:lvlText w:val="%1.%2.%3.%4.%5.%6.%7"/>
      <w:lvlJc w:val="left"/>
      <w:pPr>
        <w:ind w:left="2520" w:hanging="2520"/>
      </w:pPr>
      <w:rPr>
        <w:rFonts w:cs="MinionPro-Regular" w:hint="default"/>
        <w:color w:val="000000"/>
        <w:sz w:val="24"/>
      </w:rPr>
    </w:lvl>
    <w:lvl w:ilvl="7">
      <w:start w:val="1"/>
      <w:numFmt w:val="decimal"/>
      <w:lvlText w:val="%1.%2.%3.%4.%5.%6.%7.%8"/>
      <w:lvlJc w:val="left"/>
      <w:pPr>
        <w:ind w:left="2880" w:hanging="2880"/>
      </w:pPr>
      <w:rPr>
        <w:rFonts w:cs="MinionPro-Regular" w:hint="default"/>
        <w:color w:val="000000"/>
        <w:sz w:val="24"/>
      </w:rPr>
    </w:lvl>
    <w:lvl w:ilvl="8">
      <w:start w:val="1"/>
      <w:numFmt w:val="decimal"/>
      <w:lvlText w:val="%1.%2.%3.%4.%5.%6.%7.%8.%9"/>
      <w:lvlJc w:val="left"/>
      <w:pPr>
        <w:ind w:left="3240" w:hanging="3240"/>
      </w:pPr>
      <w:rPr>
        <w:rFonts w:cs="MinionPro-Regular" w:hint="default"/>
        <w:color w:val="000000"/>
        <w:sz w:val="24"/>
      </w:rPr>
    </w:lvl>
  </w:abstractNum>
  <w:abstractNum w:abstractNumId="5" w15:restartNumberingAfterBreak="0">
    <w:nsid w:val="2B9D58B2"/>
    <w:multiLevelType w:val="multilevel"/>
    <w:tmpl w:val="E8D00842"/>
    <w:lvl w:ilvl="0">
      <w:start w:val="3"/>
      <w:numFmt w:val="decimal"/>
      <w:lvlText w:val="%1.0"/>
      <w:lvlJc w:val="left"/>
      <w:pPr>
        <w:ind w:left="720" w:hanging="720"/>
      </w:pPr>
      <w:rPr>
        <w:rFonts w:hint="default"/>
        <w:b/>
      </w:rPr>
    </w:lvl>
    <w:lvl w:ilvl="1">
      <w:start w:val="1"/>
      <w:numFmt w:val="decimal"/>
      <w:lvlText w:val="%1.%2"/>
      <w:lvlJc w:val="left"/>
      <w:pPr>
        <w:ind w:left="1146" w:hanging="720"/>
      </w:pPr>
      <w:rPr>
        <w:rFonts w:hint="default"/>
        <w:b w:val="0"/>
        <w:color w:val="auto"/>
        <w:sz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6" w15:restartNumberingAfterBreak="0">
    <w:nsid w:val="30CA695D"/>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01B002F"/>
    <w:multiLevelType w:val="multilevel"/>
    <w:tmpl w:val="DC46E4F0"/>
    <w:lvl w:ilvl="0">
      <w:start w:val="3"/>
      <w:numFmt w:val="decimal"/>
      <w:lvlText w:val="%1"/>
      <w:lvlJc w:val="left"/>
      <w:pPr>
        <w:ind w:left="608" w:hanging="608"/>
      </w:pPr>
      <w:rPr>
        <w:rFonts w:cs="MinionPro-Regular" w:hint="default"/>
        <w:color w:val="000000"/>
        <w:sz w:val="24"/>
      </w:rPr>
    </w:lvl>
    <w:lvl w:ilvl="1">
      <w:start w:val="13"/>
      <w:numFmt w:val="decimal"/>
      <w:lvlText w:val="%1.%2"/>
      <w:lvlJc w:val="left"/>
      <w:pPr>
        <w:ind w:left="720" w:hanging="720"/>
      </w:pPr>
      <w:rPr>
        <w:rFonts w:cs="MinionPro-Regular" w:hint="default"/>
        <w:b/>
        <w:color w:val="000000"/>
        <w:sz w:val="24"/>
      </w:rPr>
    </w:lvl>
    <w:lvl w:ilvl="2">
      <w:start w:val="1"/>
      <w:numFmt w:val="decimal"/>
      <w:lvlText w:val="%1.%2.%3"/>
      <w:lvlJc w:val="left"/>
      <w:pPr>
        <w:ind w:left="1080" w:hanging="1080"/>
      </w:pPr>
      <w:rPr>
        <w:rFonts w:cs="MinionPro-Regular" w:hint="default"/>
        <w:color w:val="000000"/>
        <w:sz w:val="24"/>
      </w:rPr>
    </w:lvl>
    <w:lvl w:ilvl="3">
      <w:start w:val="1"/>
      <w:numFmt w:val="decimal"/>
      <w:lvlText w:val="%1.%2.%3.%4"/>
      <w:lvlJc w:val="left"/>
      <w:pPr>
        <w:ind w:left="1440" w:hanging="1440"/>
      </w:pPr>
      <w:rPr>
        <w:rFonts w:cs="MinionPro-Regular" w:hint="default"/>
        <w:color w:val="000000"/>
        <w:sz w:val="24"/>
      </w:rPr>
    </w:lvl>
    <w:lvl w:ilvl="4">
      <w:start w:val="1"/>
      <w:numFmt w:val="decimal"/>
      <w:lvlText w:val="%1.%2.%3.%4.%5"/>
      <w:lvlJc w:val="left"/>
      <w:pPr>
        <w:ind w:left="1800" w:hanging="1800"/>
      </w:pPr>
      <w:rPr>
        <w:rFonts w:cs="MinionPro-Regular" w:hint="default"/>
        <w:color w:val="000000"/>
        <w:sz w:val="24"/>
      </w:rPr>
    </w:lvl>
    <w:lvl w:ilvl="5">
      <w:start w:val="1"/>
      <w:numFmt w:val="decimal"/>
      <w:lvlText w:val="%1.%2.%3.%4.%5.%6"/>
      <w:lvlJc w:val="left"/>
      <w:pPr>
        <w:ind w:left="2160" w:hanging="2160"/>
      </w:pPr>
      <w:rPr>
        <w:rFonts w:cs="MinionPro-Regular" w:hint="default"/>
        <w:color w:val="000000"/>
        <w:sz w:val="24"/>
      </w:rPr>
    </w:lvl>
    <w:lvl w:ilvl="6">
      <w:start w:val="1"/>
      <w:numFmt w:val="decimal"/>
      <w:lvlText w:val="%1.%2.%3.%4.%5.%6.%7"/>
      <w:lvlJc w:val="left"/>
      <w:pPr>
        <w:ind w:left="2520" w:hanging="2520"/>
      </w:pPr>
      <w:rPr>
        <w:rFonts w:cs="MinionPro-Regular" w:hint="default"/>
        <w:color w:val="000000"/>
        <w:sz w:val="24"/>
      </w:rPr>
    </w:lvl>
    <w:lvl w:ilvl="7">
      <w:start w:val="1"/>
      <w:numFmt w:val="decimal"/>
      <w:lvlText w:val="%1.%2.%3.%4.%5.%6.%7.%8"/>
      <w:lvlJc w:val="left"/>
      <w:pPr>
        <w:ind w:left="2880" w:hanging="2880"/>
      </w:pPr>
      <w:rPr>
        <w:rFonts w:cs="MinionPro-Regular" w:hint="default"/>
        <w:color w:val="000000"/>
        <w:sz w:val="24"/>
      </w:rPr>
    </w:lvl>
    <w:lvl w:ilvl="8">
      <w:start w:val="1"/>
      <w:numFmt w:val="decimal"/>
      <w:lvlText w:val="%1.%2.%3.%4.%5.%6.%7.%8.%9"/>
      <w:lvlJc w:val="left"/>
      <w:pPr>
        <w:ind w:left="3240" w:hanging="3240"/>
      </w:pPr>
      <w:rPr>
        <w:rFonts w:cs="MinionPro-Regular" w:hint="default"/>
        <w:color w:val="000000"/>
        <w:sz w:val="24"/>
      </w:rPr>
    </w:lvl>
  </w:abstractNum>
  <w:abstractNum w:abstractNumId="10" w15:restartNumberingAfterBreak="0">
    <w:nsid w:val="408B51D8"/>
    <w:multiLevelType w:val="multilevel"/>
    <w:tmpl w:val="6B50365E"/>
    <w:lvl w:ilvl="0">
      <w:start w:val="3"/>
      <w:numFmt w:val="decimal"/>
      <w:lvlText w:val="%1"/>
      <w:lvlJc w:val="left"/>
      <w:pPr>
        <w:ind w:left="608" w:hanging="608"/>
      </w:pPr>
      <w:rPr>
        <w:rFonts w:cs="MinionPro-Regular" w:hint="default"/>
        <w:color w:val="000000"/>
      </w:rPr>
    </w:lvl>
    <w:lvl w:ilvl="1">
      <w:start w:val="1"/>
      <w:numFmt w:val="decimal"/>
      <w:lvlText w:val="%1.%2"/>
      <w:lvlJc w:val="left"/>
      <w:pPr>
        <w:ind w:left="720" w:hanging="720"/>
      </w:pPr>
      <w:rPr>
        <w:rFonts w:cs="MinionPro-Regular" w:hint="default"/>
        <w:b w:val="0"/>
        <w:color w:val="000000"/>
        <w:sz w:val="24"/>
        <w:szCs w:val="24"/>
      </w:rPr>
    </w:lvl>
    <w:lvl w:ilvl="2">
      <w:start w:val="1"/>
      <w:numFmt w:val="decimal"/>
      <w:lvlText w:val="%1.%2.%3"/>
      <w:lvlJc w:val="left"/>
      <w:pPr>
        <w:ind w:left="1080" w:hanging="1080"/>
      </w:pPr>
      <w:rPr>
        <w:rFonts w:cs="MinionPro-Regular" w:hint="default"/>
        <w:color w:val="000000"/>
      </w:rPr>
    </w:lvl>
    <w:lvl w:ilvl="3">
      <w:start w:val="1"/>
      <w:numFmt w:val="decimal"/>
      <w:lvlText w:val="%1.%2.%3.%4"/>
      <w:lvlJc w:val="left"/>
      <w:pPr>
        <w:ind w:left="1440" w:hanging="1440"/>
      </w:pPr>
      <w:rPr>
        <w:rFonts w:cs="MinionPro-Regular" w:hint="default"/>
        <w:color w:val="000000"/>
      </w:rPr>
    </w:lvl>
    <w:lvl w:ilvl="4">
      <w:start w:val="1"/>
      <w:numFmt w:val="decimal"/>
      <w:lvlText w:val="%1.%2.%3.%4.%5"/>
      <w:lvlJc w:val="left"/>
      <w:pPr>
        <w:ind w:left="1440" w:hanging="1440"/>
      </w:pPr>
      <w:rPr>
        <w:rFonts w:cs="MinionPro-Regular" w:hint="default"/>
        <w:color w:val="000000"/>
      </w:rPr>
    </w:lvl>
    <w:lvl w:ilvl="5">
      <w:start w:val="1"/>
      <w:numFmt w:val="decimal"/>
      <w:lvlText w:val="%1.%2.%3.%4.%5.%6"/>
      <w:lvlJc w:val="left"/>
      <w:pPr>
        <w:ind w:left="1800" w:hanging="1800"/>
      </w:pPr>
      <w:rPr>
        <w:rFonts w:cs="MinionPro-Regular" w:hint="default"/>
        <w:color w:val="000000"/>
      </w:rPr>
    </w:lvl>
    <w:lvl w:ilvl="6">
      <w:start w:val="1"/>
      <w:numFmt w:val="decimal"/>
      <w:lvlText w:val="%1.%2.%3.%4.%5.%6.%7"/>
      <w:lvlJc w:val="left"/>
      <w:pPr>
        <w:ind w:left="2160" w:hanging="2160"/>
      </w:pPr>
      <w:rPr>
        <w:rFonts w:cs="MinionPro-Regular" w:hint="default"/>
        <w:color w:val="000000"/>
      </w:rPr>
    </w:lvl>
    <w:lvl w:ilvl="7">
      <w:start w:val="1"/>
      <w:numFmt w:val="decimal"/>
      <w:lvlText w:val="%1.%2.%3.%4.%5.%6.%7.%8"/>
      <w:lvlJc w:val="left"/>
      <w:pPr>
        <w:ind w:left="2520" w:hanging="2520"/>
      </w:pPr>
      <w:rPr>
        <w:rFonts w:cs="MinionPro-Regular" w:hint="default"/>
        <w:color w:val="000000"/>
      </w:rPr>
    </w:lvl>
    <w:lvl w:ilvl="8">
      <w:start w:val="1"/>
      <w:numFmt w:val="decimal"/>
      <w:lvlText w:val="%1.%2.%3.%4.%5.%6.%7.%8.%9"/>
      <w:lvlJc w:val="left"/>
      <w:pPr>
        <w:ind w:left="2880" w:hanging="2880"/>
      </w:pPr>
      <w:rPr>
        <w:rFonts w:cs="MinionPro-Regular" w:hint="default"/>
        <w:color w:val="000000"/>
      </w:rPr>
    </w:lvl>
  </w:abstractNum>
  <w:abstractNum w:abstractNumId="11" w15:restartNumberingAfterBreak="0">
    <w:nsid w:val="435B35E6"/>
    <w:multiLevelType w:val="multilevel"/>
    <w:tmpl w:val="27D0BE20"/>
    <w:lvl w:ilvl="0">
      <w:start w:val="3"/>
      <w:numFmt w:val="decimal"/>
      <w:lvlText w:val="%1"/>
      <w:lvlJc w:val="left"/>
      <w:pPr>
        <w:ind w:left="608" w:hanging="608"/>
      </w:pPr>
      <w:rPr>
        <w:rFonts w:cs="MinionPro-Regular" w:hint="default"/>
        <w:color w:val="000000"/>
        <w:sz w:val="24"/>
      </w:rPr>
    </w:lvl>
    <w:lvl w:ilvl="1">
      <w:start w:val="1"/>
      <w:numFmt w:val="decimal"/>
      <w:lvlText w:val="%1.%2"/>
      <w:lvlJc w:val="left"/>
      <w:pPr>
        <w:ind w:left="720" w:hanging="720"/>
      </w:pPr>
      <w:rPr>
        <w:rFonts w:cs="MinionPro-Regular" w:hint="default"/>
        <w:b w:val="0"/>
        <w:color w:val="000000"/>
        <w:sz w:val="24"/>
      </w:rPr>
    </w:lvl>
    <w:lvl w:ilvl="2">
      <w:start w:val="1"/>
      <w:numFmt w:val="decimal"/>
      <w:lvlText w:val="%1.%2.%3"/>
      <w:lvlJc w:val="left"/>
      <w:pPr>
        <w:ind w:left="1080" w:hanging="1080"/>
      </w:pPr>
      <w:rPr>
        <w:rFonts w:cs="MinionPro-Regular" w:hint="default"/>
        <w:color w:val="000000"/>
        <w:sz w:val="24"/>
      </w:rPr>
    </w:lvl>
    <w:lvl w:ilvl="3">
      <w:start w:val="1"/>
      <w:numFmt w:val="decimal"/>
      <w:lvlText w:val="%1.%2.%3.%4"/>
      <w:lvlJc w:val="left"/>
      <w:pPr>
        <w:ind w:left="1440" w:hanging="1440"/>
      </w:pPr>
      <w:rPr>
        <w:rFonts w:cs="MinionPro-Regular" w:hint="default"/>
        <w:color w:val="000000"/>
        <w:sz w:val="24"/>
      </w:rPr>
    </w:lvl>
    <w:lvl w:ilvl="4">
      <w:start w:val="1"/>
      <w:numFmt w:val="decimal"/>
      <w:lvlText w:val="%1.%2.%3.%4.%5"/>
      <w:lvlJc w:val="left"/>
      <w:pPr>
        <w:ind w:left="1800" w:hanging="1800"/>
      </w:pPr>
      <w:rPr>
        <w:rFonts w:cs="MinionPro-Regular" w:hint="default"/>
        <w:color w:val="000000"/>
        <w:sz w:val="24"/>
      </w:rPr>
    </w:lvl>
    <w:lvl w:ilvl="5">
      <w:start w:val="1"/>
      <w:numFmt w:val="decimal"/>
      <w:lvlText w:val="%1.%2.%3.%4.%5.%6"/>
      <w:lvlJc w:val="left"/>
      <w:pPr>
        <w:ind w:left="2160" w:hanging="2160"/>
      </w:pPr>
      <w:rPr>
        <w:rFonts w:cs="MinionPro-Regular" w:hint="default"/>
        <w:color w:val="000000"/>
        <w:sz w:val="24"/>
      </w:rPr>
    </w:lvl>
    <w:lvl w:ilvl="6">
      <w:start w:val="1"/>
      <w:numFmt w:val="decimal"/>
      <w:lvlText w:val="%1.%2.%3.%4.%5.%6.%7"/>
      <w:lvlJc w:val="left"/>
      <w:pPr>
        <w:ind w:left="2520" w:hanging="2520"/>
      </w:pPr>
      <w:rPr>
        <w:rFonts w:cs="MinionPro-Regular" w:hint="default"/>
        <w:color w:val="000000"/>
        <w:sz w:val="24"/>
      </w:rPr>
    </w:lvl>
    <w:lvl w:ilvl="7">
      <w:start w:val="1"/>
      <w:numFmt w:val="decimal"/>
      <w:lvlText w:val="%1.%2.%3.%4.%5.%6.%7.%8"/>
      <w:lvlJc w:val="left"/>
      <w:pPr>
        <w:ind w:left="2880" w:hanging="2880"/>
      </w:pPr>
      <w:rPr>
        <w:rFonts w:cs="MinionPro-Regular" w:hint="default"/>
        <w:color w:val="000000"/>
        <w:sz w:val="24"/>
      </w:rPr>
    </w:lvl>
    <w:lvl w:ilvl="8">
      <w:start w:val="1"/>
      <w:numFmt w:val="decimal"/>
      <w:lvlText w:val="%1.%2.%3.%4.%5.%6.%7.%8.%9"/>
      <w:lvlJc w:val="left"/>
      <w:pPr>
        <w:ind w:left="3240" w:hanging="3240"/>
      </w:pPr>
      <w:rPr>
        <w:rFonts w:cs="MinionPro-Regular" w:hint="default"/>
        <w:color w:val="000000"/>
        <w:sz w:val="24"/>
      </w:rPr>
    </w:lvl>
  </w:abstractNum>
  <w:abstractNum w:abstractNumId="12" w15:restartNumberingAfterBreak="0">
    <w:nsid w:val="44360A21"/>
    <w:multiLevelType w:val="multilevel"/>
    <w:tmpl w:val="1D26BB8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color w:val="auto"/>
        <w:sz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3" w15:restartNumberingAfterBreak="0">
    <w:nsid w:val="469C0F8A"/>
    <w:multiLevelType w:val="multilevel"/>
    <w:tmpl w:val="ABB6EF62"/>
    <w:lvl w:ilvl="0">
      <w:start w:val="3"/>
      <w:numFmt w:val="decimal"/>
      <w:lvlText w:val="%1"/>
      <w:lvlJc w:val="left"/>
      <w:pPr>
        <w:ind w:left="608" w:hanging="608"/>
      </w:pPr>
      <w:rPr>
        <w:rFonts w:cs="MinionPro-Regular" w:hint="default"/>
        <w:color w:val="000000"/>
      </w:rPr>
    </w:lvl>
    <w:lvl w:ilvl="1">
      <w:start w:val="31"/>
      <w:numFmt w:val="decimal"/>
      <w:lvlText w:val="%1.%2"/>
      <w:lvlJc w:val="left"/>
      <w:pPr>
        <w:ind w:left="720" w:hanging="720"/>
      </w:pPr>
      <w:rPr>
        <w:rFonts w:cs="MinionPro-Regular" w:hint="default"/>
        <w:color w:val="000000"/>
      </w:rPr>
    </w:lvl>
    <w:lvl w:ilvl="2">
      <w:start w:val="1"/>
      <w:numFmt w:val="decimal"/>
      <w:lvlText w:val="%1.%2.%3"/>
      <w:lvlJc w:val="left"/>
      <w:pPr>
        <w:ind w:left="1080" w:hanging="1080"/>
      </w:pPr>
      <w:rPr>
        <w:rFonts w:cs="MinionPro-Regular" w:hint="default"/>
        <w:color w:val="000000"/>
      </w:rPr>
    </w:lvl>
    <w:lvl w:ilvl="3">
      <w:start w:val="1"/>
      <w:numFmt w:val="decimal"/>
      <w:lvlText w:val="%1.%2.%3.%4"/>
      <w:lvlJc w:val="left"/>
      <w:pPr>
        <w:ind w:left="1440" w:hanging="1440"/>
      </w:pPr>
      <w:rPr>
        <w:rFonts w:cs="MinionPro-Regular" w:hint="default"/>
        <w:color w:val="000000"/>
      </w:rPr>
    </w:lvl>
    <w:lvl w:ilvl="4">
      <w:start w:val="1"/>
      <w:numFmt w:val="decimal"/>
      <w:lvlText w:val="%1.%2.%3.%4.%5"/>
      <w:lvlJc w:val="left"/>
      <w:pPr>
        <w:ind w:left="1440" w:hanging="1440"/>
      </w:pPr>
      <w:rPr>
        <w:rFonts w:cs="MinionPro-Regular" w:hint="default"/>
        <w:color w:val="000000"/>
      </w:rPr>
    </w:lvl>
    <w:lvl w:ilvl="5">
      <w:start w:val="1"/>
      <w:numFmt w:val="decimal"/>
      <w:lvlText w:val="%1.%2.%3.%4.%5.%6"/>
      <w:lvlJc w:val="left"/>
      <w:pPr>
        <w:ind w:left="1800" w:hanging="1800"/>
      </w:pPr>
      <w:rPr>
        <w:rFonts w:cs="MinionPro-Regular" w:hint="default"/>
        <w:color w:val="000000"/>
      </w:rPr>
    </w:lvl>
    <w:lvl w:ilvl="6">
      <w:start w:val="1"/>
      <w:numFmt w:val="decimal"/>
      <w:lvlText w:val="%1.%2.%3.%4.%5.%6.%7"/>
      <w:lvlJc w:val="left"/>
      <w:pPr>
        <w:ind w:left="2160" w:hanging="2160"/>
      </w:pPr>
      <w:rPr>
        <w:rFonts w:cs="MinionPro-Regular" w:hint="default"/>
        <w:color w:val="000000"/>
      </w:rPr>
    </w:lvl>
    <w:lvl w:ilvl="7">
      <w:start w:val="1"/>
      <w:numFmt w:val="decimal"/>
      <w:lvlText w:val="%1.%2.%3.%4.%5.%6.%7.%8"/>
      <w:lvlJc w:val="left"/>
      <w:pPr>
        <w:ind w:left="2520" w:hanging="2520"/>
      </w:pPr>
      <w:rPr>
        <w:rFonts w:cs="MinionPro-Regular" w:hint="default"/>
        <w:color w:val="000000"/>
      </w:rPr>
    </w:lvl>
    <w:lvl w:ilvl="8">
      <w:start w:val="1"/>
      <w:numFmt w:val="decimal"/>
      <w:lvlText w:val="%1.%2.%3.%4.%5.%6.%7.%8.%9"/>
      <w:lvlJc w:val="left"/>
      <w:pPr>
        <w:ind w:left="2880" w:hanging="2880"/>
      </w:pPr>
      <w:rPr>
        <w:rFonts w:cs="MinionPro-Regular" w:hint="default"/>
        <w:color w:val="000000"/>
      </w:rPr>
    </w:lvl>
  </w:abstractNum>
  <w:abstractNum w:abstractNumId="14"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2326CA"/>
    <w:multiLevelType w:val="multilevel"/>
    <w:tmpl w:val="DC461FCE"/>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color w:val="auto"/>
        <w:sz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6" w15:restartNumberingAfterBreak="0">
    <w:nsid w:val="61DA32DB"/>
    <w:multiLevelType w:val="multilevel"/>
    <w:tmpl w:val="5C964CF4"/>
    <w:lvl w:ilvl="0">
      <w:start w:val="3"/>
      <w:numFmt w:val="decimal"/>
      <w:lvlText w:val="%1"/>
      <w:lvlJc w:val="left"/>
      <w:pPr>
        <w:ind w:left="608" w:hanging="608"/>
      </w:pPr>
      <w:rPr>
        <w:rFonts w:cs="MinionPro-Regular" w:hint="default"/>
        <w:color w:val="000000"/>
      </w:rPr>
    </w:lvl>
    <w:lvl w:ilvl="1">
      <w:start w:val="43"/>
      <w:numFmt w:val="decimal"/>
      <w:lvlText w:val="%1.%2"/>
      <w:lvlJc w:val="left"/>
      <w:pPr>
        <w:ind w:left="720" w:hanging="720"/>
      </w:pPr>
      <w:rPr>
        <w:rFonts w:cs="MinionPro-Regular" w:hint="default"/>
        <w:color w:val="000000"/>
      </w:rPr>
    </w:lvl>
    <w:lvl w:ilvl="2">
      <w:start w:val="1"/>
      <w:numFmt w:val="decimal"/>
      <w:lvlText w:val="%1.%2.%3"/>
      <w:lvlJc w:val="left"/>
      <w:pPr>
        <w:ind w:left="1080" w:hanging="1080"/>
      </w:pPr>
      <w:rPr>
        <w:rFonts w:cs="MinionPro-Regular" w:hint="default"/>
        <w:color w:val="000000"/>
      </w:rPr>
    </w:lvl>
    <w:lvl w:ilvl="3">
      <w:start w:val="1"/>
      <w:numFmt w:val="decimal"/>
      <w:lvlText w:val="%1.%2.%3.%4"/>
      <w:lvlJc w:val="left"/>
      <w:pPr>
        <w:ind w:left="1440" w:hanging="1440"/>
      </w:pPr>
      <w:rPr>
        <w:rFonts w:cs="MinionPro-Regular" w:hint="default"/>
        <w:color w:val="000000"/>
      </w:rPr>
    </w:lvl>
    <w:lvl w:ilvl="4">
      <w:start w:val="1"/>
      <w:numFmt w:val="decimal"/>
      <w:lvlText w:val="%1.%2.%3.%4.%5"/>
      <w:lvlJc w:val="left"/>
      <w:pPr>
        <w:ind w:left="1440" w:hanging="1440"/>
      </w:pPr>
      <w:rPr>
        <w:rFonts w:cs="MinionPro-Regular" w:hint="default"/>
        <w:color w:val="000000"/>
      </w:rPr>
    </w:lvl>
    <w:lvl w:ilvl="5">
      <w:start w:val="1"/>
      <w:numFmt w:val="decimal"/>
      <w:lvlText w:val="%1.%2.%3.%4.%5.%6"/>
      <w:lvlJc w:val="left"/>
      <w:pPr>
        <w:ind w:left="1800" w:hanging="1800"/>
      </w:pPr>
      <w:rPr>
        <w:rFonts w:cs="MinionPro-Regular" w:hint="default"/>
        <w:color w:val="000000"/>
      </w:rPr>
    </w:lvl>
    <w:lvl w:ilvl="6">
      <w:start w:val="1"/>
      <w:numFmt w:val="decimal"/>
      <w:lvlText w:val="%1.%2.%3.%4.%5.%6.%7"/>
      <w:lvlJc w:val="left"/>
      <w:pPr>
        <w:ind w:left="2160" w:hanging="2160"/>
      </w:pPr>
      <w:rPr>
        <w:rFonts w:cs="MinionPro-Regular" w:hint="default"/>
        <w:color w:val="000000"/>
      </w:rPr>
    </w:lvl>
    <w:lvl w:ilvl="7">
      <w:start w:val="1"/>
      <w:numFmt w:val="decimal"/>
      <w:lvlText w:val="%1.%2.%3.%4.%5.%6.%7.%8"/>
      <w:lvlJc w:val="left"/>
      <w:pPr>
        <w:ind w:left="2520" w:hanging="2520"/>
      </w:pPr>
      <w:rPr>
        <w:rFonts w:cs="MinionPro-Regular" w:hint="default"/>
        <w:color w:val="000000"/>
      </w:rPr>
    </w:lvl>
    <w:lvl w:ilvl="8">
      <w:start w:val="1"/>
      <w:numFmt w:val="decimal"/>
      <w:lvlText w:val="%1.%2.%3.%4.%5.%6.%7.%8.%9"/>
      <w:lvlJc w:val="left"/>
      <w:pPr>
        <w:ind w:left="2880" w:hanging="2880"/>
      </w:pPr>
      <w:rPr>
        <w:rFonts w:cs="MinionPro-Regular" w:hint="default"/>
        <w:color w:val="000000"/>
      </w:rPr>
    </w:lvl>
  </w:abstractNum>
  <w:abstractNum w:abstractNumId="17" w15:restartNumberingAfterBreak="0">
    <w:nsid w:val="61E9792B"/>
    <w:multiLevelType w:val="multilevel"/>
    <w:tmpl w:val="27D0BE20"/>
    <w:lvl w:ilvl="0">
      <w:start w:val="3"/>
      <w:numFmt w:val="decimal"/>
      <w:lvlText w:val="%1"/>
      <w:lvlJc w:val="left"/>
      <w:pPr>
        <w:ind w:left="608" w:hanging="608"/>
      </w:pPr>
      <w:rPr>
        <w:rFonts w:cs="MinionPro-Regular" w:hint="default"/>
        <w:color w:val="000000"/>
        <w:sz w:val="24"/>
      </w:rPr>
    </w:lvl>
    <w:lvl w:ilvl="1">
      <w:start w:val="27"/>
      <w:numFmt w:val="decimal"/>
      <w:lvlText w:val="%1.%2"/>
      <w:lvlJc w:val="left"/>
      <w:pPr>
        <w:ind w:left="720" w:hanging="720"/>
      </w:pPr>
      <w:rPr>
        <w:rFonts w:cs="MinionPro-Regular" w:hint="default"/>
        <w:color w:val="000000"/>
        <w:sz w:val="24"/>
      </w:rPr>
    </w:lvl>
    <w:lvl w:ilvl="2">
      <w:start w:val="1"/>
      <w:numFmt w:val="decimal"/>
      <w:lvlText w:val="%1.%2.%3"/>
      <w:lvlJc w:val="left"/>
      <w:pPr>
        <w:ind w:left="1080" w:hanging="1080"/>
      </w:pPr>
      <w:rPr>
        <w:rFonts w:cs="MinionPro-Regular" w:hint="default"/>
        <w:color w:val="000000"/>
        <w:sz w:val="24"/>
      </w:rPr>
    </w:lvl>
    <w:lvl w:ilvl="3">
      <w:start w:val="1"/>
      <w:numFmt w:val="decimal"/>
      <w:lvlText w:val="%1.%2.%3.%4"/>
      <w:lvlJc w:val="left"/>
      <w:pPr>
        <w:ind w:left="1440" w:hanging="1440"/>
      </w:pPr>
      <w:rPr>
        <w:rFonts w:cs="MinionPro-Regular" w:hint="default"/>
        <w:color w:val="000000"/>
        <w:sz w:val="24"/>
      </w:rPr>
    </w:lvl>
    <w:lvl w:ilvl="4">
      <w:start w:val="1"/>
      <w:numFmt w:val="decimal"/>
      <w:lvlText w:val="%1.%2.%3.%4.%5"/>
      <w:lvlJc w:val="left"/>
      <w:pPr>
        <w:ind w:left="1800" w:hanging="1800"/>
      </w:pPr>
      <w:rPr>
        <w:rFonts w:cs="MinionPro-Regular" w:hint="default"/>
        <w:color w:val="000000"/>
        <w:sz w:val="24"/>
      </w:rPr>
    </w:lvl>
    <w:lvl w:ilvl="5">
      <w:start w:val="1"/>
      <w:numFmt w:val="decimal"/>
      <w:lvlText w:val="%1.%2.%3.%4.%5.%6"/>
      <w:lvlJc w:val="left"/>
      <w:pPr>
        <w:ind w:left="2160" w:hanging="2160"/>
      </w:pPr>
      <w:rPr>
        <w:rFonts w:cs="MinionPro-Regular" w:hint="default"/>
        <w:color w:val="000000"/>
        <w:sz w:val="24"/>
      </w:rPr>
    </w:lvl>
    <w:lvl w:ilvl="6">
      <w:start w:val="1"/>
      <w:numFmt w:val="decimal"/>
      <w:lvlText w:val="%1.%2.%3.%4.%5.%6.%7"/>
      <w:lvlJc w:val="left"/>
      <w:pPr>
        <w:ind w:left="2520" w:hanging="2520"/>
      </w:pPr>
      <w:rPr>
        <w:rFonts w:cs="MinionPro-Regular" w:hint="default"/>
        <w:color w:val="000000"/>
        <w:sz w:val="24"/>
      </w:rPr>
    </w:lvl>
    <w:lvl w:ilvl="7">
      <w:start w:val="1"/>
      <w:numFmt w:val="decimal"/>
      <w:lvlText w:val="%1.%2.%3.%4.%5.%6.%7.%8"/>
      <w:lvlJc w:val="left"/>
      <w:pPr>
        <w:ind w:left="2880" w:hanging="2880"/>
      </w:pPr>
      <w:rPr>
        <w:rFonts w:cs="MinionPro-Regular" w:hint="default"/>
        <w:color w:val="000000"/>
        <w:sz w:val="24"/>
      </w:rPr>
    </w:lvl>
    <w:lvl w:ilvl="8">
      <w:start w:val="1"/>
      <w:numFmt w:val="decimal"/>
      <w:lvlText w:val="%1.%2.%3.%4.%5.%6.%7.%8.%9"/>
      <w:lvlJc w:val="left"/>
      <w:pPr>
        <w:ind w:left="3240" w:hanging="3240"/>
      </w:pPr>
      <w:rPr>
        <w:rFonts w:cs="MinionPro-Regular" w:hint="default"/>
        <w:color w:val="000000"/>
        <w:sz w:val="24"/>
      </w:rPr>
    </w:lvl>
  </w:abstractNum>
  <w:abstractNum w:abstractNumId="18" w15:restartNumberingAfterBreak="0">
    <w:nsid w:val="635614AB"/>
    <w:multiLevelType w:val="multilevel"/>
    <w:tmpl w:val="66987632"/>
    <w:lvl w:ilvl="0">
      <w:start w:val="3"/>
      <w:numFmt w:val="decimal"/>
      <w:lvlText w:val="%1.0"/>
      <w:lvlJc w:val="left"/>
      <w:pPr>
        <w:ind w:left="720" w:hanging="720"/>
      </w:pPr>
      <w:rPr>
        <w:rFonts w:hint="default"/>
        <w:b/>
      </w:rPr>
    </w:lvl>
    <w:lvl w:ilvl="1">
      <w:start w:val="1"/>
      <w:numFmt w:val="decimal"/>
      <w:lvlText w:val="%1.%2"/>
      <w:lvlJc w:val="left"/>
      <w:pPr>
        <w:ind w:left="1440" w:hanging="720"/>
      </w:pPr>
      <w:rPr>
        <w:rFonts w:hint="default"/>
        <w:b w:val="0"/>
        <w:color w:val="auto"/>
        <w:sz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9" w15:restartNumberingAfterBreak="0">
    <w:nsid w:val="66D4103C"/>
    <w:multiLevelType w:val="multilevel"/>
    <w:tmpl w:val="DC461FCE"/>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color w:val="auto"/>
        <w:sz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0" w15:restartNumberingAfterBreak="0">
    <w:nsid w:val="6B7C3FF6"/>
    <w:multiLevelType w:val="multilevel"/>
    <w:tmpl w:val="173CD93E"/>
    <w:lvl w:ilvl="0">
      <w:start w:val="3"/>
      <w:numFmt w:val="decimal"/>
      <w:lvlText w:val="%1"/>
      <w:lvlJc w:val="left"/>
      <w:pPr>
        <w:ind w:left="608" w:hanging="608"/>
      </w:pPr>
      <w:rPr>
        <w:rFonts w:hint="default"/>
        <w:color w:val="auto"/>
        <w:sz w:val="24"/>
      </w:rPr>
    </w:lvl>
    <w:lvl w:ilvl="1">
      <w:start w:val="19"/>
      <w:numFmt w:val="decimal"/>
      <w:lvlText w:val="%1.%2"/>
      <w:lvlJc w:val="left"/>
      <w:pPr>
        <w:ind w:left="720" w:hanging="720"/>
      </w:pPr>
      <w:rPr>
        <w:rFonts w:hint="default"/>
        <w:color w:val="auto"/>
        <w:sz w:val="24"/>
      </w:rPr>
    </w:lvl>
    <w:lvl w:ilvl="2">
      <w:start w:val="1"/>
      <w:numFmt w:val="decimal"/>
      <w:lvlText w:val="%1.%2.%3"/>
      <w:lvlJc w:val="left"/>
      <w:pPr>
        <w:ind w:left="1080" w:hanging="1080"/>
      </w:pPr>
      <w:rPr>
        <w:rFonts w:hint="default"/>
        <w:color w:val="auto"/>
        <w:sz w:val="24"/>
      </w:rPr>
    </w:lvl>
    <w:lvl w:ilvl="3">
      <w:start w:val="1"/>
      <w:numFmt w:val="decimal"/>
      <w:lvlText w:val="%1.%2.%3.%4"/>
      <w:lvlJc w:val="left"/>
      <w:pPr>
        <w:ind w:left="1440" w:hanging="1440"/>
      </w:pPr>
      <w:rPr>
        <w:rFonts w:hint="default"/>
        <w:color w:val="auto"/>
        <w:sz w:val="24"/>
      </w:rPr>
    </w:lvl>
    <w:lvl w:ilvl="4">
      <w:start w:val="1"/>
      <w:numFmt w:val="decimal"/>
      <w:lvlText w:val="%1.%2.%3.%4.%5"/>
      <w:lvlJc w:val="left"/>
      <w:pPr>
        <w:ind w:left="1800" w:hanging="1800"/>
      </w:pPr>
      <w:rPr>
        <w:rFonts w:hint="default"/>
        <w:color w:val="auto"/>
        <w:sz w:val="24"/>
      </w:rPr>
    </w:lvl>
    <w:lvl w:ilvl="5">
      <w:start w:val="1"/>
      <w:numFmt w:val="decimal"/>
      <w:lvlText w:val="%1.%2.%3.%4.%5.%6"/>
      <w:lvlJc w:val="left"/>
      <w:pPr>
        <w:ind w:left="2160" w:hanging="2160"/>
      </w:pPr>
      <w:rPr>
        <w:rFonts w:hint="default"/>
        <w:color w:val="auto"/>
        <w:sz w:val="24"/>
      </w:rPr>
    </w:lvl>
    <w:lvl w:ilvl="6">
      <w:start w:val="1"/>
      <w:numFmt w:val="decimal"/>
      <w:lvlText w:val="%1.%2.%3.%4.%5.%6.%7"/>
      <w:lvlJc w:val="left"/>
      <w:pPr>
        <w:ind w:left="2520" w:hanging="2520"/>
      </w:pPr>
      <w:rPr>
        <w:rFonts w:hint="default"/>
        <w:color w:val="auto"/>
        <w:sz w:val="24"/>
      </w:rPr>
    </w:lvl>
    <w:lvl w:ilvl="7">
      <w:start w:val="1"/>
      <w:numFmt w:val="decimal"/>
      <w:lvlText w:val="%1.%2.%3.%4.%5.%6.%7.%8"/>
      <w:lvlJc w:val="left"/>
      <w:pPr>
        <w:ind w:left="2880" w:hanging="2880"/>
      </w:pPr>
      <w:rPr>
        <w:rFonts w:hint="default"/>
        <w:color w:val="auto"/>
        <w:sz w:val="24"/>
      </w:rPr>
    </w:lvl>
    <w:lvl w:ilvl="8">
      <w:start w:val="1"/>
      <w:numFmt w:val="decimal"/>
      <w:lvlText w:val="%1.%2.%3.%4.%5.%6.%7.%8.%9"/>
      <w:lvlJc w:val="left"/>
      <w:pPr>
        <w:ind w:left="3240" w:hanging="3240"/>
      </w:pPr>
      <w:rPr>
        <w:rFonts w:hint="default"/>
        <w:color w:val="auto"/>
        <w:sz w:val="24"/>
      </w:rPr>
    </w:lvl>
  </w:abstractNum>
  <w:abstractNum w:abstractNumId="21"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FE724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22"/>
  </w:num>
  <w:num w:numId="3">
    <w:abstractNumId w:val="2"/>
  </w:num>
  <w:num w:numId="4">
    <w:abstractNumId w:val="7"/>
  </w:num>
  <w:num w:numId="5">
    <w:abstractNumId w:val="21"/>
  </w:num>
  <w:num w:numId="6">
    <w:abstractNumId w:val="3"/>
  </w:num>
  <w:num w:numId="7">
    <w:abstractNumId w:val="8"/>
  </w:num>
  <w:num w:numId="8">
    <w:abstractNumId w:val="6"/>
  </w:num>
  <w:num w:numId="9">
    <w:abstractNumId w:val="12"/>
  </w:num>
  <w:num w:numId="10">
    <w:abstractNumId w:val="19"/>
  </w:num>
  <w:num w:numId="11">
    <w:abstractNumId w:val="23"/>
  </w:num>
  <w:num w:numId="12">
    <w:abstractNumId w:val="15"/>
  </w:num>
  <w:num w:numId="13">
    <w:abstractNumId w:val="5"/>
  </w:num>
  <w:num w:numId="14">
    <w:abstractNumId w:val="18"/>
  </w:num>
  <w:num w:numId="15">
    <w:abstractNumId w:val="9"/>
  </w:num>
  <w:num w:numId="16">
    <w:abstractNumId w:val="11"/>
  </w:num>
  <w:num w:numId="17">
    <w:abstractNumId w:val="20"/>
  </w:num>
  <w:num w:numId="18">
    <w:abstractNumId w:val="17"/>
  </w:num>
  <w:num w:numId="19">
    <w:abstractNumId w:val="4"/>
  </w:num>
  <w:num w:numId="20">
    <w:abstractNumId w:val="13"/>
  </w:num>
  <w:num w:numId="21">
    <w:abstractNumId w:val="0"/>
  </w:num>
  <w:num w:numId="22">
    <w:abstractNumId w:val="1"/>
  </w:num>
  <w:num w:numId="23">
    <w:abstractNumId w:val="1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532"/>
    <w:rsid w:val="00000FC3"/>
    <w:rsid w:val="000154A9"/>
    <w:rsid w:val="000440D0"/>
    <w:rsid w:val="00046705"/>
    <w:rsid w:val="00046C6E"/>
    <w:rsid w:val="00052299"/>
    <w:rsid w:val="0005379E"/>
    <w:rsid w:val="000552D4"/>
    <w:rsid w:val="00057C53"/>
    <w:rsid w:val="00074702"/>
    <w:rsid w:val="00075709"/>
    <w:rsid w:val="000A75D1"/>
    <w:rsid w:val="000C4BEC"/>
    <w:rsid w:val="000C5EE4"/>
    <w:rsid w:val="000C7210"/>
    <w:rsid w:val="000D3990"/>
    <w:rsid w:val="000E1F61"/>
    <w:rsid w:val="000E7F0C"/>
    <w:rsid w:val="000F0071"/>
    <w:rsid w:val="000F6306"/>
    <w:rsid w:val="00103E3A"/>
    <w:rsid w:val="001361D5"/>
    <w:rsid w:val="00140A28"/>
    <w:rsid w:val="00141758"/>
    <w:rsid w:val="00142244"/>
    <w:rsid w:val="00145DF2"/>
    <w:rsid w:val="00152618"/>
    <w:rsid w:val="001534D9"/>
    <w:rsid w:val="00155810"/>
    <w:rsid w:val="00174C60"/>
    <w:rsid w:val="00195313"/>
    <w:rsid w:val="0019782E"/>
    <w:rsid w:val="001A5BBE"/>
    <w:rsid w:val="001B3439"/>
    <w:rsid w:val="001B5D1B"/>
    <w:rsid w:val="001D7FD4"/>
    <w:rsid w:val="001E1817"/>
    <w:rsid w:val="001E3E3F"/>
    <w:rsid w:val="001E79A9"/>
    <w:rsid w:val="002000B9"/>
    <w:rsid w:val="0020459D"/>
    <w:rsid w:val="0020608F"/>
    <w:rsid w:val="00211EF8"/>
    <w:rsid w:val="00213B8A"/>
    <w:rsid w:val="002148C8"/>
    <w:rsid w:val="00214A30"/>
    <w:rsid w:val="00224140"/>
    <w:rsid w:val="002243B1"/>
    <w:rsid w:val="002351CB"/>
    <w:rsid w:val="00240D93"/>
    <w:rsid w:val="002428EC"/>
    <w:rsid w:val="00245151"/>
    <w:rsid w:val="00251058"/>
    <w:rsid w:val="00253575"/>
    <w:rsid w:val="00254EF4"/>
    <w:rsid w:val="00255864"/>
    <w:rsid w:val="00255D6E"/>
    <w:rsid w:val="00266CF6"/>
    <w:rsid w:val="0027296E"/>
    <w:rsid w:val="00272ADE"/>
    <w:rsid w:val="00277350"/>
    <w:rsid w:val="00284E28"/>
    <w:rsid w:val="0028647C"/>
    <w:rsid w:val="00290593"/>
    <w:rsid w:val="00291DC1"/>
    <w:rsid w:val="00294A13"/>
    <w:rsid w:val="002B1272"/>
    <w:rsid w:val="002D5967"/>
    <w:rsid w:val="002F0041"/>
    <w:rsid w:val="002F0CAB"/>
    <w:rsid w:val="002F5CD3"/>
    <w:rsid w:val="00305BB6"/>
    <w:rsid w:val="00306317"/>
    <w:rsid w:val="003262AD"/>
    <w:rsid w:val="00331C61"/>
    <w:rsid w:val="00334FDC"/>
    <w:rsid w:val="00341BFE"/>
    <w:rsid w:val="0034651C"/>
    <w:rsid w:val="003520AF"/>
    <w:rsid w:val="00361AE2"/>
    <w:rsid w:val="00362567"/>
    <w:rsid w:val="00367CCA"/>
    <w:rsid w:val="00373C8A"/>
    <w:rsid w:val="003823A2"/>
    <w:rsid w:val="00385948"/>
    <w:rsid w:val="003A133F"/>
    <w:rsid w:val="003A5077"/>
    <w:rsid w:val="003A59B1"/>
    <w:rsid w:val="003B17C0"/>
    <w:rsid w:val="003B4A83"/>
    <w:rsid w:val="003B7D0E"/>
    <w:rsid w:val="003C1F41"/>
    <w:rsid w:val="003C405E"/>
    <w:rsid w:val="003C4584"/>
    <w:rsid w:val="003C6568"/>
    <w:rsid w:val="003D09D2"/>
    <w:rsid w:val="003E5E8F"/>
    <w:rsid w:val="003E704A"/>
    <w:rsid w:val="003E78CD"/>
    <w:rsid w:val="003F06EF"/>
    <w:rsid w:val="00401A12"/>
    <w:rsid w:val="00402467"/>
    <w:rsid w:val="00404A5E"/>
    <w:rsid w:val="0041789B"/>
    <w:rsid w:val="00441B9D"/>
    <w:rsid w:val="00443135"/>
    <w:rsid w:val="0044647C"/>
    <w:rsid w:val="00450EA1"/>
    <w:rsid w:val="00452453"/>
    <w:rsid w:val="0046120B"/>
    <w:rsid w:val="0046234B"/>
    <w:rsid w:val="00463D6B"/>
    <w:rsid w:val="00464B59"/>
    <w:rsid w:val="00465C32"/>
    <w:rsid w:val="00466A2E"/>
    <w:rsid w:val="004672AC"/>
    <w:rsid w:val="004917EE"/>
    <w:rsid w:val="00493A9F"/>
    <w:rsid w:val="004B1DA0"/>
    <w:rsid w:val="004C2185"/>
    <w:rsid w:val="004D253C"/>
    <w:rsid w:val="004E3A22"/>
    <w:rsid w:val="004E4A7E"/>
    <w:rsid w:val="005060BE"/>
    <w:rsid w:val="00514272"/>
    <w:rsid w:val="00514FF5"/>
    <w:rsid w:val="0052524F"/>
    <w:rsid w:val="0053000B"/>
    <w:rsid w:val="00530D1F"/>
    <w:rsid w:val="0053377E"/>
    <w:rsid w:val="00547A4F"/>
    <w:rsid w:val="00547F5C"/>
    <w:rsid w:val="00552293"/>
    <w:rsid w:val="005651FC"/>
    <w:rsid w:val="00566574"/>
    <w:rsid w:val="00567AB0"/>
    <w:rsid w:val="00570B98"/>
    <w:rsid w:val="0057709E"/>
    <w:rsid w:val="005827B2"/>
    <w:rsid w:val="00584467"/>
    <w:rsid w:val="005854E2"/>
    <w:rsid w:val="00593AD9"/>
    <w:rsid w:val="0059457A"/>
    <w:rsid w:val="005A0BC3"/>
    <w:rsid w:val="005A509C"/>
    <w:rsid w:val="005A763B"/>
    <w:rsid w:val="005B3287"/>
    <w:rsid w:val="005B351D"/>
    <w:rsid w:val="005B723E"/>
    <w:rsid w:val="005C0531"/>
    <w:rsid w:val="005D6C4E"/>
    <w:rsid w:val="005E1E35"/>
    <w:rsid w:val="005E5194"/>
    <w:rsid w:val="005F5CA6"/>
    <w:rsid w:val="0060606F"/>
    <w:rsid w:val="00610C4D"/>
    <w:rsid w:val="006135EA"/>
    <w:rsid w:val="00613662"/>
    <w:rsid w:val="00620875"/>
    <w:rsid w:val="00625EC7"/>
    <w:rsid w:val="00643519"/>
    <w:rsid w:val="00656ECD"/>
    <w:rsid w:val="00676DB9"/>
    <w:rsid w:val="00682EB8"/>
    <w:rsid w:val="00695B1E"/>
    <w:rsid w:val="00695FCE"/>
    <w:rsid w:val="006A11CB"/>
    <w:rsid w:val="006A6AC0"/>
    <w:rsid w:val="006B49E4"/>
    <w:rsid w:val="006B58E0"/>
    <w:rsid w:val="006C33D7"/>
    <w:rsid w:val="006E55B5"/>
    <w:rsid w:val="006F4FBB"/>
    <w:rsid w:val="00705833"/>
    <w:rsid w:val="007131BF"/>
    <w:rsid w:val="00717FDE"/>
    <w:rsid w:val="00721455"/>
    <w:rsid w:val="0072658C"/>
    <w:rsid w:val="00746C15"/>
    <w:rsid w:val="007472AD"/>
    <w:rsid w:val="0075182C"/>
    <w:rsid w:val="00752E0D"/>
    <w:rsid w:val="007569C1"/>
    <w:rsid w:val="00776DD9"/>
    <w:rsid w:val="00794636"/>
    <w:rsid w:val="00795706"/>
    <w:rsid w:val="007A79D6"/>
    <w:rsid w:val="007B0757"/>
    <w:rsid w:val="007B1EDE"/>
    <w:rsid w:val="007C0950"/>
    <w:rsid w:val="007C4D7B"/>
    <w:rsid w:val="007F266D"/>
    <w:rsid w:val="00801600"/>
    <w:rsid w:val="00804D64"/>
    <w:rsid w:val="00812D47"/>
    <w:rsid w:val="00815281"/>
    <w:rsid w:val="008159E8"/>
    <w:rsid w:val="00820392"/>
    <w:rsid w:val="0084622F"/>
    <w:rsid w:val="00856D34"/>
    <w:rsid w:val="00861919"/>
    <w:rsid w:val="00864AEF"/>
    <w:rsid w:val="0087161B"/>
    <w:rsid w:val="00872187"/>
    <w:rsid w:val="00875E68"/>
    <w:rsid w:val="00890EE7"/>
    <w:rsid w:val="008A4C43"/>
    <w:rsid w:val="008D1834"/>
    <w:rsid w:val="008D7B53"/>
    <w:rsid w:val="008D7C32"/>
    <w:rsid w:val="008E3378"/>
    <w:rsid w:val="008E7E01"/>
    <w:rsid w:val="008F0754"/>
    <w:rsid w:val="00925B4D"/>
    <w:rsid w:val="0093128A"/>
    <w:rsid w:val="00935A0D"/>
    <w:rsid w:val="00962930"/>
    <w:rsid w:val="00962B2B"/>
    <w:rsid w:val="0096459E"/>
    <w:rsid w:val="0096585F"/>
    <w:rsid w:val="00975580"/>
    <w:rsid w:val="00991F97"/>
    <w:rsid w:val="009923C6"/>
    <w:rsid w:val="00994083"/>
    <w:rsid w:val="009973BD"/>
    <w:rsid w:val="009B0E46"/>
    <w:rsid w:val="009C1BD5"/>
    <w:rsid w:val="009D7F60"/>
    <w:rsid w:val="00A03A7B"/>
    <w:rsid w:val="00A1169D"/>
    <w:rsid w:val="00A33337"/>
    <w:rsid w:val="00A349F7"/>
    <w:rsid w:val="00A712AE"/>
    <w:rsid w:val="00A76174"/>
    <w:rsid w:val="00A86360"/>
    <w:rsid w:val="00A97BDE"/>
    <w:rsid w:val="00AA3FD0"/>
    <w:rsid w:val="00AC2013"/>
    <w:rsid w:val="00AE2918"/>
    <w:rsid w:val="00B0697B"/>
    <w:rsid w:val="00B24764"/>
    <w:rsid w:val="00B36C6D"/>
    <w:rsid w:val="00B41ACF"/>
    <w:rsid w:val="00B41B8D"/>
    <w:rsid w:val="00B4557F"/>
    <w:rsid w:val="00B463D2"/>
    <w:rsid w:val="00B57D05"/>
    <w:rsid w:val="00B75D4A"/>
    <w:rsid w:val="00B84E75"/>
    <w:rsid w:val="00B871FD"/>
    <w:rsid w:val="00B96D34"/>
    <w:rsid w:val="00BB46E7"/>
    <w:rsid w:val="00BD6EAF"/>
    <w:rsid w:val="00BE20CC"/>
    <w:rsid w:val="00BE57E3"/>
    <w:rsid w:val="00BE5849"/>
    <w:rsid w:val="00BF1279"/>
    <w:rsid w:val="00C143FA"/>
    <w:rsid w:val="00C247D6"/>
    <w:rsid w:val="00C2725D"/>
    <w:rsid w:val="00C32489"/>
    <w:rsid w:val="00C41C8C"/>
    <w:rsid w:val="00C44F2D"/>
    <w:rsid w:val="00C4502A"/>
    <w:rsid w:val="00C53E07"/>
    <w:rsid w:val="00C61501"/>
    <w:rsid w:val="00C72E95"/>
    <w:rsid w:val="00C73F6D"/>
    <w:rsid w:val="00C76E49"/>
    <w:rsid w:val="00C81502"/>
    <w:rsid w:val="00C94B83"/>
    <w:rsid w:val="00C95DC8"/>
    <w:rsid w:val="00CA1566"/>
    <w:rsid w:val="00CB65D0"/>
    <w:rsid w:val="00CB7C9D"/>
    <w:rsid w:val="00CD0015"/>
    <w:rsid w:val="00CE3039"/>
    <w:rsid w:val="00CF0261"/>
    <w:rsid w:val="00CF2592"/>
    <w:rsid w:val="00D0287C"/>
    <w:rsid w:val="00D12EF8"/>
    <w:rsid w:val="00D13D8A"/>
    <w:rsid w:val="00D16532"/>
    <w:rsid w:val="00D2770F"/>
    <w:rsid w:val="00D3249D"/>
    <w:rsid w:val="00D412FC"/>
    <w:rsid w:val="00D572DD"/>
    <w:rsid w:val="00D57D50"/>
    <w:rsid w:val="00D60FCB"/>
    <w:rsid w:val="00D614CA"/>
    <w:rsid w:val="00D61778"/>
    <w:rsid w:val="00D84088"/>
    <w:rsid w:val="00D96136"/>
    <w:rsid w:val="00DA31CF"/>
    <w:rsid w:val="00DB55F1"/>
    <w:rsid w:val="00DD0E83"/>
    <w:rsid w:val="00DE1C44"/>
    <w:rsid w:val="00DE7D9B"/>
    <w:rsid w:val="00DF6A0A"/>
    <w:rsid w:val="00DF6DA9"/>
    <w:rsid w:val="00E11FF2"/>
    <w:rsid w:val="00E25E1A"/>
    <w:rsid w:val="00E31815"/>
    <w:rsid w:val="00E348F8"/>
    <w:rsid w:val="00E41D54"/>
    <w:rsid w:val="00E74517"/>
    <w:rsid w:val="00E92C63"/>
    <w:rsid w:val="00EA061D"/>
    <w:rsid w:val="00EA12CE"/>
    <w:rsid w:val="00EA2EB7"/>
    <w:rsid w:val="00EA5A98"/>
    <w:rsid w:val="00EA6D72"/>
    <w:rsid w:val="00ED163D"/>
    <w:rsid w:val="00ED40E9"/>
    <w:rsid w:val="00ED78B5"/>
    <w:rsid w:val="00EF14BB"/>
    <w:rsid w:val="00EF52DC"/>
    <w:rsid w:val="00EF65AC"/>
    <w:rsid w:val="00F03104"/>
    <w:rsid w:val="00F04B5A"/>
    <w:rsid w:val="00F05D49"/>
    <w:rsid w:val="00F14C8F"/>
    <w:rsid w:val="00F17D73"/>
    <w:rsid w:val="00F31387"/>
    <w:rsid w:val="00F35E28"/>
    <w:rsid w:val="00F41A2B"/>
    <w:rsid w:val="00F43CE4"/>
    <w:rsid w:val="00F5416F"/>
    <w:rsid w:val="00F56C78"/>
    <w:rsid w:val="00F57CF7"/>
    <w:rsid w:val="00F65740"/>
    <w:rsid w:val="00F65AC6"/>
    <w:rsid w:val="00F703FC"/>
    <w:rsid w:val="00F74307"/>
    <w:rsid w:val="00F94C71"/>
    <w:rsid w:val="00F95482"/>
    <w:rsid w:val="00FE0AF7"/>
    <w:rsid w:val="00FF3CBA"/>
    <w:rsid w:val="02AB4992"/>
    <w:rsid w:val="05534615"/>
    <w:rsid w:val="0607EB64"/>
    <w:rsid w:val="088DADD4"/>
    <w:rsid w:val="126DBC60"/>
    <w:rsid w:val="14D21181"/>
    <w:rsid w:val="23116475"/>
    <w:rsid w:val="2463788A"/>
    <w:rsid w:val="25F353B8"/>
    <w:rsid w:val="2F190884"/>
    <w:rsid w:val="43635478"/>
    <w:rsid w:val="4B553E00"/>
    <w:rsid w:val="525B1F63"/>
    <w:rsid w:val="5494BA74"/>
    <w:rsid w:val="54BF48B3"/>
    <w:rsid w:val="5F32D66B"/>
    <w:rsid w:val="6B9657D3"/>
    <w:rsid w:val="70DA5BBF"/>
    <w:rsid w:val="7D10D1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5426E5"/>
  <w14:defaultImageDpi w14:val="300"/>
  <w15:docId w15:val="{D33733BB-7DD5-44F3-A983-C8EF93E4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D0015"/>
    <w:pPr>
      <w:keepNext/>
      <w:keepLines/>
      <w:spacing w:before="240"/>
      <w:outlineLvl w:val="0"/>
    </w:pPr>
    <w:rPr>
      <w:rFonts w:ascii="Verdana" w:eastAsiaTheme="majorEastAsia" w:hAnsi="Verdana" w:cstheme="majorBidi"/>
      <w:b/>
      <w:color w:val="77328A"/>
      <w:sz w:val="30"/>
      <w:szCs w:val="32"/>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basedOn w:val="Normal"/>
    <w:link w:val="FootnoteTextChar"/>
    <w:uiPriority w:val="99"/>
    <w:unhideWhenUsed/>
    <w:rsid w:val="00224140"/>
  </w:style>
  <w:style w:type="character" w:customStyle="1" w:styleId="FootnoteTextChar">
    <w:name w:val="Footnote Text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4"/>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ascii="Verdana" w:hAnsi="Verdana"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basedOn w:val="Normal"/>
    <w:uiPriority w:val="34"/>
    <w:qFormat/>
    <w:rsid w:val="008A4C43"/>
    <w:pPr>
      <w:ind w:left="720"/>
      <w:contextualSpacing/>
    </w:pPr>
  </w:style>
  <w:style w:type="character" w:customStyle="1" w:styleId="Heading1Char">
    <w:name w:val="Heading 1 Char"/>
    <w:basedOn w:val="DefaultParagraphFont"/>
    <w:link w:val="Heading1"/>
    <w:uiPriority w:val="9"/>
    <w:rsid w:val="00CD0015"/>
    <w:rPr>
      <w:rFonts w:ascii="Verdana" w:eastAsiaTheme="majorEastAsia" w:hAnsi="Verdana" w:cstheme="majorBidi"/>
      <w:b/>
      <w:color w:val="77328A"/>
      <w:sz w:val="30"/>
      <w:szCs w:val="32"/>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BF1279"/>
    <w:pPr>
      <w:spacing w:line="240" w:lineRule="exact"/>
      <w:jc w:val="both"/>
    </w:pPr>
    <w:rPr>
      <w:vertAlign w:val="superscript"/>
    </w:rPr>
  </w:style>
  <w:style w:type="character" w:styleId="EndnoteReference">
    <w:name w:val="endnote reference"/>
    <w:basedOn w:val="DefaultParagraphFont"/>
    <w:uiPriority w:val="99"/>
    <w:semiHidden/>
    <w:unhideWhenUsed/>
    <w:rsid w:val="005B3287"/>
    <w:rPr>
      <w:vertAlign w:val="superscript"/>
    </w:rPr>
  </w:style>
  <w:style w:type="paragraph" w:styleId="EndnoteText">
    <w:name w:val="endnote text"/>
    <w:basedOn w:val="Normal"/>
    <w:link w:val="EndnoteTextChar"/>
    <w:uiPriority w:val="99"/>
    <w:semiHidden/>
    <w:unhideWhenUsed/>
    <w:rsid w:val="005B3287"/>
    <w:rPr>
      <w:sz w:val="20"/>
      <w:szCs w:val="20"/>
    </w:rPr>
  </w:style>
  <w:style w:type="character" w:customStyle="1" w:styleId="EndnoteTextChar">
    <w:name w:val="Endnote Text Char"/>
    <w:basedOn w:val="DefaultParagraphFont"/>
    <w:link w:val="EndnoteText"/>
    <w:uiPriority w:val="99"/>
    <w:semiHidden/>
    <w:rsid w:val="005B3287"/>
    <w:rPr>
      <w:sz w:val="20"/>
      <w:szCs w:val="20"/>
    </w:rPr>
  </w:style>
  <w:style w:type="character" w:styleId="CommentReference">
    <w:name w:val="annotation reference"/>
    <w:basedOn w:val="DefaultParagraphFont"/>
    <w:uiPriority w:val="99"/>
    <w:semiHidden/>
    <w:unhideWhenUsed/>
    <w:rsid w:val="00514FF5"/>
    <w:rPr>
      <w:sz w:val="16"/>
      <w:szCs w:val="16"/>
    </w:rPr>
  </w:style>
  <w:style w:type="paragraph" w:styleId="CommentText">
    <w:name w:val="annotation text"/>
    <w:basedOn w:val="Normal"/>
    <w:link w:val="CommentTextChar"/>
    <w:uiPriority w:val="99"/>
    <w:unhideWhenUsed/>
    <w:rsid w:val="00514FF5"/>
    <w:rPr>
      <w:sz w:val="20"/>
      <w:szCs w:val="20"/>
    </w:rPr>
  </w:style>
  <w:style w:type="character" w:customStyle="1" w:styleId="CommentTextChar">
    <w:name w:val="Comment Text Char"/>
    <w:basedOn w:val="DefaultParagraphFont"/>
    <w:link w:val="CommentText"/>
    <w:uiPriority w:val="99"/>
    <w:rsid w:val="00514FF5"/>
    <w:rPr>
      <w:sz w:val="20"/>
      <w:szCs w:val="20"/>
    </w:rPr>
  </w:style>
  <w:style w:type="paragraph" w:styleId="CommentSubject">
    <w:name w:val="annotation subject"/>
    <w:basedOn w:val="CommentText"/>
    <w:next w:val="CommentText"/>
    <w:link w:val="CommentSubjectChar"/>
    <w:uiPriority w:val="99"/>
    <w:semiHidden/>
    <w:unhideWhenUsed/>
    <w:rsid w:val="00514FF5"/>
    <w:rPr>
      <w:b/>
      <w:bCs/>
    </w:rPr>
  </w:style>
  <w:style w:type="character" w:customStyle="1" w:styleId="CommentSubjectChar">
    <w:name w:val="Comment Subject Char"/>
    <w:basedOn w:val="CommentTextChar"/>
    <w:link w:val="CommentSubject"/>
    <w:uiPriority w:val="99"/>
    <w:semiHidden/>
    <w:rsid w:val="00514FF5"/>
    <w:rPr>
      <w:b/>
      <w:bCs/>
      <w:sz w:val="20"/>
      <w:szCs w:val="20"/>
    </w:rPr>
  </w:style>
  <w:style w:type="paragraph" w:styleId="Revision">
    <w:name w:val="Revision"/>
    <w:hidden/>
    <w:uiPriority w:val="99"/>
    <w:semiHidden/>
    <w:rsid w:val="0028647C"/>
  </w:style>
  <w:style w:type="character" w:styleId="FollowedHyperlink">
    <w:name w:val="FollowedHyperlink"/>
    <w:basedOn w:val="DefaultParagraphFont"/>
    <w:uiPriority w:val="99"/>
    <w:semiHidden/>
    <w:unhideWhenUsed/>
    <w:rsid w:val="00452453"/>
    <w:rPr>
      <w:color w:val="800080" w:themeColor="followedHyperlink"/>
      <w:u w:val="single"/>
    </w:rPr>
  </w:style>
  <w:style w:type="character" w:customStyle="1" w:styleId="UnresolvedMention1">
    <w:name w:val="Unresolved Mention1"/>
    <w:basedOn w:val="DefaultParagraphFont"/>
    <w:uiPriority w:val="99"/>
    <w:semiHidden/>
    <w:unhideWhenUsed/>
    <w:rsid w:val="00547F5C"/>
    <w:rPr>
      <w:color w:val="605E5C"/>
      <w:shd w:val="clear" w:color="auto" w:fill="E1DFDD"/>
    </w:rPr>
  </w:style>
  <w:style w:type="paragraph" w:styleId="Quote">
    <w:name w:val="Quote"/>
    <w:basedOn w:val="Normal"/>
    <w:next w:val="Normal"/>
    <w:link w:val="QuoteChar"/>
    <w:uiPriority w:val="29"/>
    <w:qFormat/>
    <w:rsid w:val="004E3A22"/>
    <w:pPr>
      <w:spacing w:line="288" w:lineRule="auto"/>
      <w:ind w:left="862" w:right="862"/>
    </w:pPr>
    <w:rPr>
      <w:rFonts w:ascii="Verdana" w:hAnsi="Verdana"/>
      <w:iCs/>
    </w:rPr>
  </w:style>
  <w:style w:type="character" w:customStyle="1" w:styleId="QuoteChar">
    <w:name w:val="Quote Char"/>
    <w:basedOn w:val="DefaultParagraphFont"/>
    <w:link w:val="Quote"/>
    <w:uiPriority w:val="29"/>
    <w:rsid w:val="004E3A22"/>
    <w:rPr>
      <w:rFonts w:ascii="Verdana" w:hAnsi="Verdana"/>
      <w:iCs/>
    </w:rPr>
  </w:style>
  <w:style w:type="character" w:customStyle="1" w:styleId="Mention">
    <w:name w:val="Mention"/>
    <w:basedOn w:val="DefaultParagraphFont"/>
    <w:uiPriority w:val="99"/>
    <w:unhideWhenUsed/>
    <w:rsid w:val="000C7210"/>
    <w:rPr>
      <w:color w:val="2B579A"/>
      <w:shd w:val="clear" w:color="auto" w:fill="E1DFDD"/>
    </w:rPr>
  </w:style>
  <w:style w:type="paragraph" w:styleId="TOCHeading">
    <w:name w:val="TOC Heading"/>
    <w:basedOn w:val="Heading1"/>
    <w:next w:val="Normal"/>
    <w:uiPriority w:val="39"/>
    <w:unhideWhenUsed/>
    <w:qFormat/>
    <w:rsid w:val="00820392"/>
    <w:pPr>
      <w:spacing w:line="259" w:lineRule="auto"/>
      <w:outlineLvl w:val="9"/>
    </w:pPr>
    <w:rPr>
      <w:rFonts w:asciiTheme="majorHAnsi" w:hAnsiTheme="majorHAnsi"/>
      <w:b w:val="0"/>
      <w:color w:val="365F91" w:themeColor="accent1" w:themeShade="BF"/>
      <w:sz w:val="32"/>
      <w:lang w:val="en-US"/>
    </w:rPr>
  </w:style>
  <w:style w:type="paragraph" w:styleId="TOC2">
    <w:name w:val="toc 2"/>
    <w:basedOn w:val="Normal"/>
    <w:next w:val="Normal"/>
    <w:autoRedefine/>
    <w:uiPriority w:val="39"/>
    <w:unhideWhenUsed/>
    <w:rsid w:val="00820392"/>
    <w:pPr>
      <w:spacing w:after="100" w:line="259" w:lineRule="auto"/>
      <w:ind w:left="220"/>
    </w:pPr>
    <w:rPr>
      <w:rFonts w:cs="Times New Roman"/>
      <w:sz w:val="22"/>
      <w:szCs w:val="22"/>
      <w:lang w:val="en-US"/>
    </w:rPr>
  </w:style>
  <w:style w:type="paragraph" w:styleId="TOC1">
    <w:name w:val="toc 1"/>
    <w:basedOn w:val="Normal"/>
    <w:next w:val="Normal"/>
    <w:autoRedefine/>
    <w:uiPriority w:val="39"/>
    <w:unhideWhenUsed/>
    <w:rsid w:val="00820392"/>
    <w:pPr>
      <w:spacing w:after="100" w:line="259" w:lineRule="auto"/>
    </w:pPr>
    <w:rPr>
      <w:rFonts w:cs="Times New Roman"/>
      <w:sz w:val="22"/>
      <w:szCs w:val="22"/>
      <w:lang w:val="en-US"/>
    </w:rPr>
  </w:style>
  <w:style w:type="paragraph" w:styleId="TOC3">
    <w:name w:val="toc 3"/>
    <w:basedOn w:val="Normal"/>
    <w:next w:val="Normal"/>
    <w:autoRedefine/>
    <w:uiPriority w:val="39"/>
    <w:unhideWhenUsed/>
    <w:rsid w:val="00820392"/>
    <w:pPr>
      <w:spacing w:after="100" w:line="259" w:lineRule="auto"/>
      <w:ind w:left="440"/>
    </w:pPr>
    <w:rPr>
      <w:rFonts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296649">
      <w:bodyDiv w:val="1"/>
      <w:marLeft w:val="0"/>
      <w:marRight w:val="0"/>
      <w:marTop w:val="0"/>
      <w:marBottom w:val="0"/>
      <w:divBdr>
        <w:top w:val="none" w:sz="0" w:space="0" w:color="auto"/>
        <w:left w:val="none" w:sz="0" w:space="0" w:color="auto"/>
        <w:bottom w:val="none" w:sz="0" w:space="0" w:color="auto"/>
        <w:right w:val="none" w:sz="0" w:space="0" w:color="auto"/>
      </w:divBdr>
    </w:div>
    <w:div w:id="819733437">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ihrc.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nihr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s://www.contractsfinder.service.gov.uk/Notice/af043016-dd83-4308-8b3c-0d134a3a89c9" TargetMode="External"/><Relationship Id="rId2" Type="http://schemas.openxmlformats.org/officeDocument/2006/relationships/hyperlink" Target="https://www.refugeecouncil.org.uk/information/refugee-asylum-facts/top-10-facts-about-refugees-and-people-seeking-asylum/" TargetMode="External"/><Relationship Id="rId1" Type="http://schemas.openxmlformats.org/officeDocument/2006/relationships/hyperlink" Target="https://www.refugeecouncil.org.uk/information/refugee-asylum-facts/top-10-facts-about-refugees-and-people-seeking-asylum/" TargetMode="External"/><Relationship Id="rId4" Type="http://schemas.openxmlformats.org/officeDocument/2006/relationships/hyperlink" Target="https://www.contractsfinder.service.gov.uk/Notice/af043016-dd83-4308-8b3c-0d134a3a89c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617"/>
    <w:rsid w:val="00333895"/>
    <w:rsid w:val="00BE5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0DC0F153704DB89C2F2693C0D1E936">
    <w:name w:val="C70DC0F153704DB89C2F2693C0D1E936"/>
    <w:rsid w:val="00BE5617"/>
  </w:style>
  <w:style w:type="paragraph" w:customStyle="1" w:styleId="9B2136FFAC624A7D90ED1526B1698A4A">
    <w:name w:val="9B2136FFAC624A7D90ED1526B1698A4A"/>
    <w:rsid w:val="00BE5617"/>
  </w:style>
  <w:style w:type="paragraph" w:customStyle="1" w:styleId="912BE90F34A940F5A0AA95C31C0B93C2">
    <w:name w:val="912BE90F34A940F5A0AA95C31C0B93C2"/>
    <w:rsid w:val="00BE5617"/>
  </w:style>
  <w:style w:type="paragraph" w:customStyle="1" w:styleId="4793DBC3580B4C15A33C7010F8E023A6">
    <w:name w:val="4793DBC3580B4C15A33C7010F8E023A6"/>
    <w:rsid w:val="00BE5617"/>
  </w:style>
  <w:style w:type="paragraph" w:customStyle="1" w:styleId="4105B42C2B1941699932F03993ECB902">
    <w:name w:val="4105B42C2B1941699932F03993ECB902"/>
    <w:rsid w:val="00BE5617"/>
  </w:style>
  <w:style w:type="paragraph" w:customStyle="1" w:styleId="32B4BE9D10374AA298E37266A4201B1E">
    <w:name w:val="32B4BE9D10374AA298E37266A4201B1E"/>
    <w:rsid w:val="00BE56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5" ma:contentTypeDescription="Create a new document." ma:contentTypeScope="" ma:versionID="90a1614633501ec1343f4d7b86bc3aa7">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f0cbf7324fedd348347fef82f34de55c"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6d6863-a85d-4a14-ba5d-ada9e5b222dd">
      <UserInfo>
        <DisplayName>Htaik Win</DisplayName>
        <AccountId>19</AccountId>
        <AccountType/>
      </UserInfo>
    </SharedWithUsers>
    <lcf76f155ced4ddcb4097134ff3c332f xmlns="12479bdc-b58c-44ab-9f0f-fa5baefb3da2">
      <Terms xmlns="http://schemas.microsoft.com/office/infopath/2007/PartnerControls"/>
    </lcf76f155ced4ddcb4097134ff3c332f>
    <TaxCatchAll xmlns="806d6863-a85d-4a14-ba5d-ada9e5b222dd" xsi:nil="true"/>
    <Date_x002f_Time xmlns="12479bdc-b58c-44ab-9f0f-fa5baefb3d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227E4-276E-4148-AE3B-0D173C3F831F}"/>
</file>

<file path=customXml/itemProps2.xml><?xml version="1.0" encoding="utf-8"?>
<ds:datastoreItem xmlns:ds="http://schemas.openxmlformats.org/officeDocument/2006/customXml" ds:itemID="{EE43DC3D-ECFC-4F7B-93D5-39639975EA42}">
  <ds:schemaRefs>
    <ds:schemaRef ds:uri="http://schemas.microsoft.com/office/2006/metadata/properties"/>
    <ds:schemaRef ds:uri="http://schemas.microsoft.com/office/infopath/2007/PartnerControls"/>
    <ds:schemaRef ds:uri="806d6863-a85d-4a14-ba5d-ada9e5b222dd"/>
  </ds:schemaRefs>
</ds:datastoreItem>
</file>

<file path=customXml/itemProps3.xml><?xml version="1.0" encoding="utf-8"?>
<ds:datastoreItem xmlns:ds="http://schemas.openxmlformats.org/officeDocument/2006/customXml" ds:itemID="{57DB2FF6-BEE4-4EDB-9688-0D96CA01D7E6}">
  <ds:schemaRefs>
    <ds:schemaRef ds:uri="http://schemas.microsoft.com/sharepoint/v3/contenttype/forms"/>
  </ds:schemaRefs>
</ds:datastoreItem>
</file>

<file path=customXml/itemProps4.xml><?xml version="1.0" encoding="utf-8"?>
<ds:datastoreItem xmlns:ds="http://schemas.openxmlformats.org/officeDocument/2006/customXml" ds:itemID="{F27922E8-E90B-4BA3-8A62-AB808406B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17</Pages>
  <Words>3560</Words>
  <Characters>20294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23807</CharactersWithSpaces>
  <SharedDoc>false</SharedDoc>
  <HLinks>
    <vt:vector size="48" baseType="variant">
      <vt:variant>
        <vt:i4>6946881</vt:i4>
      </vt:variant>
      <vt:variant>
        <vt:i4>3</vt:i4>
      </vt:variant>
      <vt:variant>
        <vt:i4>0</vt:i4>
      </vt:variant>
      <vt:variant>
        <vt:i4>5</vt:i4>
      </vt:variant>
      <vt:variant>
        <vt:lpwstr>mailto:info@nihrc.org</vt:lpwstr>
      </vt:variant>
      <vt:variant>
        <vt:lpwstr/>
      </vt:variant>
      <vt:variant>
        <vt:i4>4587543</vt:i4>
      </vt:variant>
      <vt:variant>
        <vt:i4>0</vt:i4>
      </vt:variant>
      <vt:variant>
        <vt:i4>0</vt:i4>
      </vt:variant>
      <vt:variant>
        <vt:i4>5</vt:i4>
      </vt:variant>
      <vt:variant>
        <vt:lpwstr>http://www.nihrc.org/</vt:lpwstr>
      </vt:variant>
      <vt:variant>
        <vt:lpwstr/>
      </vt:variant>
      <vt:variant>
        <vt:i4>7864361</vt:i4>
      </vt:variant>
      <vt:variant>
        <vt:i4>9</vt:i4>
      </vt:variant>
      <vt:variant>
        <vt:i4>0</vt:i4>
      </vt:variant>
      <vt:variant>
        <vt:i4>5</vt:i4>
      </vt:variant>
      <vt:variant>
        <vt:lpwstr>https://www.contractsfinder.service.gov.uk/Notice/af043016-dd83-4308-8b3c-0d134a3a89c9</vt:lpwstr>
      </vt:variant>
      <vt:variant>
        <vt:lpwstr/>
      </vt:variant>
      <vt:variant>
        <vt:i4>7864361</vt:i4>
      </vt:variant>
      <vt:variant>
        <vt:i4>6</vt:i4>
      </vt:variant>
      <vt:variant>
        <vt:i4>0</vt:i4>
      </vt:variant>
      <vt:variant>
        <vt:i4>5</vt:i4>
      </vt:variant>
      <vt:variant>
        <vt:lpwstr>https://www.contractsfinder.service.gov.uk/Notice/af043016-dd83-4308-8b3c-0d134a3a89c9</vt:lpwstr>
      </vt:variant>
      <vt:variant>
        <vt:lpwstr/>
      </vt:variant>
      <vt:variant>
        <vt:i4>655443</vt:i4>
      </vt:variant>
      <vt:variant>
        <vt:i4>3</vt:i4>
      </vt:variant>
      <vt:variant>
        <vt:i4>0</vt:i4>
      </vt:variant>
      <vt:variant>
        <vt:i4>5</vt:i4>
      </vt:variant>
      <vt:variant>
        <vt:lpwstr>https://www.refugeecouncil.org.uk/information/refugee-asylum-facts/top-10-facts-about-refugees-and-people-seeking-asylum/</vt:lpwstr>
      </vt:variant>
      <vt:variant>
        <vt:lpwstr/>
      </vt:variant>
      <vt:variant>
        <vt:i4>655443</vt:i4>
      </vt:variant>
      <vt:variant>
        <vt:i4>0</vt:i4>
      </vt:variant>
      <vt:variant>
        <vt:i4>0</vt:i4>
      </vt:variant>
      <vt:variant>
        <vt:i4>5</vt:i4>
      </vt:variant>
      <vt:variant>
        <vt:lpwstr>https://www.refugeecouncil.org.uk/information/refugee-asylum-facts/top-10-facts-about-refugees-and-people-seeking-asylum/</vt:lpwstr>
      </vt:variant>
      <vt:variant>
        <vt:lpwstr/>
      </vt:variant>
      <vt:variant>
        <vt:i4>7602199</vt:i4>
      </vt:variant>
      <vt:variant>
        <vt:i4>3</vt:i4>
      </vt:variant>
      <vt:variant>
        <vt:i4>0</vt:i4>
      </vt:variant>
      <vt:variant>
        <vt:i4>5</vt:i4>
      </vt:variant>
      <vt:variant>
        <vt:lpwstr>mailto:Htaik.Win@NIHRC.ORG</vt:lpwstr>
      </vt:variant>
      <vt:variant>
        <vt:lpwstr/>
      </vt:variant>
      <vt:variant>
        <vt:i4>1376380</vt:i4>
      </vt:variant>
      <vt:variant>
        <vt:i4>0</vt:i4>
      </vt:variant>
      <vt:variant>
        <vt:i4>0</vt:i4>
      </vt:variant>
      <vt:variant>
        <vt:i4>5</vt:i4>
      </vt:variant>
      <vt:variant>
        <vt:lpwstr>https://assets.publishing.service.gov.uk/government/uploads/system/uploads/attachment_data/file/1114501/Permission_to_work_and_volunteer.pdf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Emma Osborne</cp:lastModifiedBy>
  <cp:revision>139</cp:revision>
  <cp:lastPrinted>2018-04-20T19:30:00Z</cp:lastPrinted>
  <dcterms:created xsi:type="dcterms:W3CDTF">2022-11-23T00:26:00Z</dcterms:created>
  <dcterms:modified xsi:type="dcterms:W3CDTF">2022-12-19T12:18:00Z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Order">
    <vt:r8>9829200</vt:r8>
  </property>
  <property fmtid="{D5CDD505-2E9C-101B-9397-08002B2CF9AE}" pid="4" name="MediaServiceImageTags">
    <vt:lpwstr/>
  </property>
</Properties>
</file>