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FE3C6" w14:textId="77777777" w:rsidR="00F31387" w:rsidRDefault="00F31387" w:rsidP="003B7D0E">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2408A7EB" wp14:editId="488E2E01">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207206D0" w14:textId="77777777" w:rsidR="003B7D0E" w:rsidRPr="00EA12CE" w:rsidRDefault="003B7D0E" w:rsidP="003B7D0E">
      <w:pPr>
        <w:pStyle w:val="BasicParagraph"/>
        <w:suppressAutoHyphens/>
        <w:jc w:val="center"/>
        <w:rPr>
          <w:rFonts w:ascii="Verdana" w:hAnsi="Verdana" w:cs="Arial"/>
          <w:b/>
          <w:bCs/>
          <w:color w:val="734791"/>
          <w:sz w:val="36"/>
          <w:szCs w:val="36"/>
        </w:rPr>
      </w:pPr>
    </w:p>
    <w:p w14:paraId="1FC7E1E7" w14:textId="7A8B7BC8" w:rsidR="0096459E" w:rsidRPr="003B7D0E" w:rsidRDefault="00D86C49" w:rsidP="00A361AB">
      <w:pPr>
        <w:pStyle w:val="BasicParagraph"/>
        <w:suppressAutoHyphens/>
        <w:spacing w:line="276" w:lineRule="auto"/>
        <w:jc w:val="center"/>
        <w:rPr>
          <w:rFonts w:ascii="Verdana" w:hAnsi="Verdana" w:cs="Arial"/>
          <w:b/>
          <w:color w:val="77328A"/>
          <w:sz w:val="36"/>
          <w:szCs w:val="36"/>
        </w:rPr>
      </w:pPr>
      <w:r>
        <w:rPr>
          <w:rFonts w:ascii="Verdana" w:hAnsi="Verdana" w:cs="Arial"/>
          <w:b/>
          <w:bCs/>
          <w:color w:val="77328A"/>
          <w:sz w:val="36"/>
          <w:szCs w:val="36"/>
        </w:rPr>
        <w:t>Submission to the Department for Work and Pensions’ Consultation on Pathways to Work: Reforming Benefits and Support to Get Britain Working</w:t>
      </w:r>
    </w:p>
    <w:p w14:paraId="52320E9E" w14:textId="77777777" w:rsidR="00F31387" w:rsidRPr="00331C61" w:rsidRDefault="00F31387" w:rsidP="00A361AB">
      <w:pPr>
        <w:pStyle w:val="Default"/>
        <w:spacing w:line="360" w:lineRule="auto"/>
        <w:jc w:val="center"/>
        <w:rPr>
          <w:rFonts w:cs="Arial"/>
          <w:color w:val="232120"/>
          <w:sz w:val="36"/>
          <w:szCs w:val="36"/>
        </w:rPr>
      </w:pPr>
    </w:p>
    <w:p w14:paraId="6567A9F9" w14:textId="5CF3EADC" w:rsidR="008159E8" w:rsidRPr="00331C61" w:rsidRDefault="00D86C49" w:rsidP="00A361AB">
      <w:pPr>
        <w:spacing w:line="360" w:lineRule="auto"/>
        <w:jc w:val="center"/>
        <w:rPr>
          <w:rFonts w:ascii="Verdana" w:hAnsi="Verdana" w:cs="Arial"/>
          <w:b/>
          <w:color w:val="232120"/>
          <w:sz w:val="30"/>
          <w:szCs w:val="30"/>
        </w:rPr>
      </w:pPr>
      <w:r>
        <w:rPr>
          <w:rFonts w:ascii="Verdana" w:hAnsi="Verdana" w:cs="Arial"/>
          <w:b/>
          <w:color w:val="232120"/>
          <w:sz w:val="30"/>
          <w:szCs w:val="30"/>
        </w:rPr>
        <w:t>June 2025</w:t>
      </w:r>
    </w:p>
    <w:p w14:paraId="54F0A8D8" w14:textId="77777777" w:rsidR="00046705" w:rsidRPr="00331C61" w:rsidRDefault="00046705" w:rsidP="00A361AB">
      <w:pPr>
        <w:spacing w:line="360" w:lineRule="auto"/>
        <w:jc w:val="center"/>
        <w:rPr>
          <w:rFonts w:ascii="Verdana" w:hAnsi="Verdana" w:cs="Arial"/>
          <w:b/>
          <w:color w:val="232120"/>
          <w:sz w:val="28"/>
          <w:szCs w:val="28"/>
        </w:rPr>
      </w:pPr>
    </w:p>
    <w:p w14:paraId="2F8A5C2F" w14:textId="77777777" w:rsidR="00046705" w:rsidRPr="00331C61" w:rsidRDefault="00046705" w:rsidP="00A361AB">
      <w:pPr>
        <w:spacing w:line="360" w:lineRule="auto"/>
        <w:jc w:val="center"/>
        <w:rPr>
          <w:rFonts w:ascii="Verdana" w:hAnsi="Verdana" w:cs="Arial"/>
          <w:b/>
          <w:color w:val="232120"/>
          <w:sz w:val="28"/>
          <w:szCs w:val="28"/>
        </w:rPr>
      </w:pPr>
    </w:p>
    <w:p w14:paraId="69FF3842" w14:textId="77777777" w:rsidR="00EA12CE" w:rsidRPr="00331C61" w:rsidRDefault="00EA12CE" w:rsidP="00A361AB">
      <w:pPr>
        <w:pStyle w:val="Default"/>
        <w:spacing w:line="360" w:lineRule="auto"/>
        <w:jc w:val="center"/>
        <w:rPr>
          <w:rFonts w:cs="Arial"/>
          <w:b/>
          <w:color w:val="232120"/>
          <w:sz w:val="28"/>
          <w:szCs w:val="28"/>
          <w:lang w:val="en-GB"/>
        </w:rPr>
      </w:pPr>
    </w:p>
    <w:p w14:paraId="7F1E3D39" w14:textId="77777777" w:rsidR="003B7D0E" w:rsidRPr="00331C61" w:rsidRDefault="003B7D0E" w:rsidP="00A361AB">
      <w:pPr>
        <w:pStyle w:val="Default"/>
        <w:spacing w:line="360" w:lineRule="auto"/>
        <w:jc w:val="center"/>
        <w:rPr>
          <w:rFonts w:cs="Arial"/>
          <w:b/>
          <w:color w:val="232120"/>
          <w:sz w:val="36"/>
          <w:szCs w:val="36"/>
        </w:rPr>
      </w:pPr>
    </w:p>
    <w:p w14:paraId="461FC092" w14:textId="77777777" w:rsidR="003B7D0E" w:rsidRDefault="003B7D0E" w:rsidP="00A361AB">
      <w:pPr>
        <w:pStyle w:val="Default"/>
        <w:spacing w:line="360" w:lineRule="auto"/>
        <w:jc w:val="center"/>
        <w:rPr>
          <w:rFonts w:cs="Arial"/>
          <w:b/>
          <w:color w:val="232120"/>
          <w:sz w:val="36"/>
          <w:szCs w:val="36"/>
        </w:rPr>
      </w:pPr>
    </w:p>
    <w:p w14:paraId="4B2B8D76" w14:textId="77777777" w:rsidR="0096459E" w:rsidRPr="00331C61" w:rsidRDefault="0096459E" w:rsidP="00A361AB">
      <w:pPr>
        <w:pStyle w:val="Default"/>
        <w:spacing w:line="360" w:lineRule="auto"/>
        <w:jc w:val="center"/>
        <w:rPr>
          <w:rFonts w:cs="Arial"/>
          <w:b/>
          <w:color w:val="232120"/>
          <w:sz w:val="36"/>
          <w:szCs w:val="36"/>
        </w:rPr>
      </w:pPr>
    </w:p>
    <w:p w14:paraId="60DEBB56" w14:textId="77777777" w:rsidR="003B7D0E" w:rsidRPr="00331C61" w:rsidRDefault="003B7D0E" w:rsidP="00A361AB">
      <w:pPr>
        <w:pStyle w:val="Default"/>
        <w:spacing w:line="360" w:lineRule="auto"/>
        <w:jc w:val="center"/>
        <w:rPr>
          <w:rFonts w:cs="Arial"/>
          <w:b/>
          <w:color w:val="232120"/>
          <w:sz w:val="36"/>
          <w:szCs w:val="36"/>
        </w:rPr>
      </w:pPr>
    </w:p>
    <w:sdt>
      <w:sdtPr>
        <w:rPr>
          <w:rFonts w:ascii="Verdana" w:eastAsiaTheme="minorEastAsia" w:hAnsi="Verdana" w:cstheme="minorBidi"/>
          <w:color w:val="auto"/>
          <w:sz w:val="24"/>
          <w:szCs w:val="24"/>
          <w:lang w:val="en-GB"/>
        </w:rPr>
        <w:id w:val="1071078164"/>
        <w:docPartObj>
          <w:docPartGallery w:val="Table of Contents"/>
          <w:docPartUnique/>
        </w:docPartObj>
      </w:sdtPr>
      <w:sdtEndPr>
        <w:rPr>
          <w:b/>
          <w:bCs/>
          <w:noProof/>
        </w:rPr>
      </w:sdtEndPr>
      <w:sdtContent>
        <w:p w14:paraId="7D01768A" w14:textId="668C5ED6" w:rsidR="00480E98" w:rsidRPr="005B5F40" w:rsidRDefault="00480E98" w:rsidP="00A361AB">
          <w:pPr>
            <w:pStyle w:val="TOCHeading"/>
            <w:spacing w:line="360" w:lineRule="auto"/>
            <w:rPr>
              <w:rFonts w:ascii="Verdana" w:hAnsi="Verdana"/>
              <w:b/>
              <w:color w:val="8A3277"/>
              <w:sz w:val="30"/>
              <w:szCs w:val="30"/>
            </w:rPr>
          </w:pPr>
          <w:r w:rsidRPr="005B5F40">
            <w:rPr>
              <w:rFonts w:ascii="Verdana" w:hAnsi="Verdana"/>
              <w:b/>
              <w:color w:val="8A3277"/>
              <w:sz w:val="30"/>
              <w:szCs w:val="30"/>
            </w:rPr>
            <w:t>Table of Contents</w:t>
          </w:r>
        </w:p>
        <w:p w14:paraId="406FA74F" w14:textId="4AA6147F" w:rsidR="00407F11" w:rsidRPr="005B5F40" w:rsidRDefault="00480E98" w:rsidP="005B5F40">
          <w:pPr>
            <w:pStyle w:val="TOC1"/>
            <w:rPr>
              <w:kern w:val="2"/>
              <w:lang w:eastAsia="en-GB"/>
              <w14:ligatures w14:val="standardContextual"/>
            </w:rPr>
          </w:pPr>
          <w:r w:rsidRPr="005B5F40">
            <w:rPr>
              <w:noProof w:val="0"/>
            </w:rPr>
            <w:fldChar w:fldCharType="begin"/>
          </w:r>
          <w:r w:rsidRPr="005B5F40">
            <w:instrText xml:space="preserve"> TOC \o "1-3" \h \z \u </w:instrText>
          </w:r>
          <w:r w:rsidRPr="005B5F40">
            <w:rPr>
              <w:noProof w:val="0"/>
            </w:rPr>
            <w:fldChar w:fldCharType="separate"/>
          </w:r>
          <w:hyperlink w:anchor="_Toc201648651" w:history="1">
            <w:r w:rsidR="00407F11" w:rsidRPr="005B5F40">
              <w:rPr>
                <w:rStyle w:val="Hyperlink"/>
              </w:rPr>
              <w:t>Recommendations</w:t>
            </w:r>
            <w:r w:rsidR="00407F11" w:rsidRPr="005B5F40">
              <w:rPr>
                <w:webHidden/>
              </w:rPr>
              <w:tab/>
            </w:r>
            <w:r w:rsidR="00407F11" w:rsidRPr="005B5F40">
              <w:rPr>
                <w:webHidden/>
              </w:rPr>
              <w:fldChar w:fldCharType="begin"/>
            </w:r>
            <w:r w:rsidR="00407F11" w:rsidRPr="005B5F40">
              <w:rPr>
                <w:webHidden/>
              </w:rPr>
              <w:instrText xml:space="preserve"> PAGEREF _Toc201648651 \h </w:instrText>
            </w:r>
            <w:r w:rsidR="00407F11" w:rsidRPr="005B5F40">
              <w:rPr>
                <w:webHidden/>
              </w:rPr>
            </w:r>
            <w:r w:rsidR="00407F11" w:rsidRPr="005B5F40">
              <w:rPr>
                <w:webHidden/>
              </w:rPr>
              <w:fldChar w:fldCharType="separate"/>
            </w:r>
            <w:r w:rsidR="002745ED">
              <w:rPr>
                <w:webHidden/>
              </w:rPr>
              <w:t>3</w:t>
            </w:r>
            <w:r w:rsidR="00407F11" w:rsidRPr="005B5F40">
              <w:rPr>
                <w:webHidden/>
              </w:rPr>
              <w:fldChar w:fldCharType="end"/>
            </w:r>
          </w:hyperlink>
        </w:p>
        <w:p w14:paraId="16726881" w14:textId="7837F5C1" w:rsidR="00407F11" w:rsidRPr="005B5F40" w:rsidRDefault="00407F11" w:rsidP="005B5F40">
          <w:pPr>
            <w:pStyle w:val="TOC1"/>
            <w:rPr>
              <w:kern w:val="2"/>
              <w:lang w:eastAsia="en-GB"/>
              <w14:ligatures w14:val="standardContextual"/>
            </w:rPr>
          </w:pPr>
          <w:hyperlink w:anchor="_Toc201648652" w:history="1">
            <w:r w:rsidRPr="005B5F40">
              <w:rPr>
                <w:rStyle w:val="Hyperlink"/>
              </w:rPr>
              <w:t>1.0</w:t>
            </w:r>
            <w:r w:rsidRPr="005B5F40">
              <w:rPr>
                <w:kern w:val="2"/>
                <w:lang w:eastAsia="en-GB"/>
                <w14:ligatures w14:val="standardContextual"/>
              </w:rPr>
              <w:tab/>
            </w:r>
            <w:r w:rsidRPr="005B5F40">
              <w:rPr>
                <w:rStyle w:val="Hyperlink"/>
              </w:rPr>
              <w:t>Introduction</w:t>
            </w:r>
            <w:r w:rsidRPr="005B5F40">
              <w:rPr>
                <w:webHidden/>
              </w:rPr>
              <w:tab/>
            </w:r>
            <w:r w:rsidRPr="005B5F40">
              <w:rPr>
                <w:webHidden/>
              </w:rPr>
              <w:fldChar w:fldCharType="begin"/>
            </w:r>
            <w:r w:rsidRPr="005B5F40">
              <w:rPr>
                <w:webHidden/>
              </w:rPr>
              <w:instrText xml:space="preserve"> PAGEREF _Toc201648652 \h </w:instrText>
            </w:r>
            <w:r w:rsidRPr="005B5F40">
              <w:rPr>
                <w:webHidden/>
              </w:rPr>
            </w:r>
            <w:r w:rsidRPr="005B5F40">
              <w:rPr>
                <w:webHidden/>
              </w:rPr>
              <w:fldChar w:fldCharType="separate"/>
            </w:r>
            <w:r w:rsidR="002745ED">
              <w:rPr>
                <w:webHidden/>
              </w:rPr>
              <w:t>7</w:t>
            </w:r>
            <w:r w:rsidRPr="005B5F40">
              <w:rPr>
                <w:webHidden/>
              </w:rPr>
              <w:fldChar w:fldCharType="end"/>
            </w:r>
          </w:hyperlink>
        </w:p>
        <w:p w14:paraId="3E1FD86F" w14:textId="2E0FD212" w:rsidR="00407F11" w:rsidRPr="005B5F40" w:rsidRDefault="00407F11" w:rsidP="005B5F40">
          <w:pPr>
            <w:pStyle w:val="TOC1"/>
            <w:rPr>
              <w:kern w:val="2"/>
              <w:lang w:eastAsia="en-GB"/>
              <w14:ligatures w14:val="standardContextual"/>
            </w:rPr>
          </w:pPr>
          <w:hyperlink w:anchor="_Toc201648653" w:history="1">
            <w:r w:rsidRPr="005B5F40">
              <w:rPr>
                <w:rStyle w:val="Hyperlink"/>
              </w:rPr>
              <w:t>2.0</w:t>
            </w:r>
            <w:r w:rsidRPr="005B5F40">
              <w:rPr>
                <w:kern w:val="2"/>
                <w:lang w:eastAsia="en-GB"/>
                <w14:ligatures w14:val="standardContextual"/>
              </w:rPr>
              <w:tab/>
            </w:r>
            <w:r w:rsidRPr="005B5F40">
              <w:rPr>
                <w:rStyle w:val="Hyperlink"/>
              </w:rPr>
              <w:t>General Comments</w:t>
            </w:r>
            <w:r w:rsidRPr="005B5F40">
              <w:rPr>
                <w:webHidden/>
              </w:rPr>
              <w:tab/>
            </w:r>
            <w:r w:rsidRPr="005B5F40">
              <w:rPr>
                <w:webHidden/>
              </w:rPr>
              <w:fldChar w:fldCharType="begin"/>
            </w:r>
            <w:r w:rsidRPr="005B5F40">
              <w:rPr>
                <w:webHidden/>
              </w:rPr>
              <w:instrText xml:space="preserve"> PAGEREF _Toc201648653 \h </w:instrText>
            </w:r>
            <w:r w:rsidRPr="005B5F40">
              <w:rPr>
                <w:webHidden/>
              </w:rPr>
            </w:r>
            <w:r w:rsidRPr="005B5F40">
              <w:rPr>
                <w:webHidden/>
              </w:rPr>
              <w:fldChar w:fldCharType="separate"/>
            </w:r>
            <w:r w:rsidR="002745ED">
              <w:rPr>
                <w:webHidden/>
              </w:rPr>
              <w:t>9</w:t>
            </w:r>
            <w:r w:rsidRPr="005B5F40">
              <w:rPr>
                <w:webHidden/>
              </w:rPr>
              <w:fldChar w:fldCharType="end"/>
            </w:r>
          </w:hyperlink>
        </w:p>
        <w:p w14:paraId="66BEDD4F" w14:textId="459D31CC" w:rsidR="00407F11" w:rsidRPr="005B5F40" w:rsidRDefault="00407F11">
          <w:pPr>
            <w:pStyle w:val="TOC2"/>
            <w:tabs>
              <w:tab w:val="right" w:leader="dot" w:pos="9848"/>
            </w:tabs>
            <w:rPr>
              <w:rFonts w:ascii="Verdana" w:hAnsi="Verdana"/>
              <w:noProof/>
              <w:kern w:val="2"/>
              <w:lang w:eastAsia="en-GB"/>
              <w14:ligatures w14:val="standardContextual"/>
            </w:rPr>
          </w:pPr>
          <w:hyperlink w:anchor="_Toc201648654" w:history="1">
            <w:r w:rsidRPr="005B5F40">
              <w:rPr>
                <w:rStyle w:val="Hyperlink"/>
                <w:rFonts w:ascii="Verdana" w:hAnsi="Verdana"/>
                <w:noProof/>
              </w:rPr>
              <w:t>Northern Ireland Context</w:t>
            </w:r>
            <w:r w:rsidRPr="005B5F40">
              <w:rPr>
                <w:rFonts w:ascii="Verdana" w:hAnsi="Verdana"/>
                <w:noProof/>
                <w:webHidden/>
              </w:rPr>
              <w:tab/>
            </w:r>
            <w:r w:rsidRPr="005B5F40">
              <w:rPr>
                <w:rFonts w:ascii="Verdana" w:hAnsi="Verdana"/>
                <w:noProof/>
                <w:webHidden/>
              </w:rPr>
              <w:fldChar w:fldCharType="begin"/>
            </w:r>
            <w:r w:rsidRPr="005B5F40">
              <w:rPr>
                <w:rFonts w:ascii="Verdana" w:hAnsi="Verdana"/>
                <w:noProof/>
                <w:webHidden/>
              </w:rPr>
              <w:instrText xml:space="preserve"> PAGEREF _Toc201648654 \h </w:instrText>
            </w:r>
            <w:r w:rsidRPr="005B5F40">
              <w:rPr>
                <w:rFonts w:ascii="Verdana" w:hAnsi="Verdana"/>
                <w:noProof/>
                <w:webHidden/>
              </w:rPr>
            </w:r>
            <w:r w:rsidRPr="005B5F40">
              <w:rPr>
                <w:rFonts w:ascii="Verdana" w:hAnsi="Verdana"/>
                <w:noProof/>
                <w:webHidden/>
              </w:rPr>
              <w:fldChar w:fldCharType="separate"/>
            </w:r>
            <w:r w:rsidR="002745ED">
              <w:rPr>
                <w:rFonts w:ascii="Verdana" w:hAnsi="Verdana"/>
                <w:noProof/>
                <w:webHidden/>
              </w:rPr>
              <w:t>9</w:t>
            </w:r>
            <w:r w:rsidRPr="005B5F40">
              <w:rPr>
                <w:rFonts w:ascii="Verdana" w:hAnsi="Verdana"/>
                <w:noProof/>
                <w:webHidden/>
              </w:rPr>
              <w:fldChar w:fldCharType="end"/>
            </w:r>
          </w:hyperlink>
        </w:p>
        <w:p w14:paraId="433D0860" w14:textId="30E76EA6" w:rsidR="00407F11" w:rsidRPr="005B5F40" w:rsidRDefault="00407F11">
          <w:pPr>
            <w:pStyle w:val="TOC2"/>
            <w:tabs>
              <w:tab w:val="right" w:leader="dot" w:pos="9848"/>
            </w:tabs>
            <w:rPr>
              <w:rFonts w:ascii="Verdana" w:hAnsi="Verdana"/>
              <w:noProof/>
              <w:kern w:val="2"/>
              <w:lang w:eastAsia="en-GB"/>
              <w14:ligatures w14:val="standardContextual"/>
            </w:rPr>
          </w:pPr>
          <w:hyperlink w:anchor="_Toc201648655" w:history="1">
            <w:r w:rsidRPr="005B5F40">
              <w:rPr>
                <w:rStyle w:val="Hyperlink"/>
                <w:rFonts w:ascii="Verdana" w:hAnsi="Verdana"/>
                <w:noProof/>
              </w:rPr>
              <w:t>Participation</w:t>
            </w:r>
            <w:r w:rsidRPr="005B5F40">
              <w:rPr>
                <w:rFonts w:ascii="Verdana" w:hAnsi="Verdana"/>
                <w:noProof/>
                <w:webHidden/>
              </w:rPr>
              <w:tab/>
            </w:r>
            <w:r w:rsidRPr="005B5F40">
              <w:rPr>
                <w:rFonts w:ascii="Verdana" w:hAnsi="Verdana"/>
                <w:noProof/>
                <w:webHidden/>
              </w:rPr>
              <w:fldChar w:fldCharType="begin"/>
            </w:r>
            <w:r w:rsidRPr="005B5F40">
              <w:rPr>
                <w:rFonts w:ascii="Verdana" w:hAnsi="Verdana"/>
                <w:noProof/>
                <w:webHidden/>
              </w:rPr>
              <w:instrText xml:space="preserve"> PAGEREF _Toc201648655 \h </w:instrText>
            </w:r>
            <w:r w:rsidRPr="005B5F40">
              <w:rPr>
                <w:rFonts w:ascii="Verdana" w:hAnsi="Verdana"/>
                <w:noProof/>
                <w:webHidden/>
              </w:rPr>
            </w:r>
            <w:r w:rsidRPr="005B5F40">
              <w:rPr>
                <w:rFonts w:ascii="Verdana" w:hAnsi="Verdana"/>
                <w:noProof/>
                <w:webHidden/>
              </w:rPr>
              <w:fldChar w:fldCharType="separate"/>
            </w:r>
            <w:r w:rsidR="002745ED">
              <w:rPr>
                <w:rFonts w:ascii="Verdana" w:hAnsi="Verdana"/>
                <w:noProof/>
                <w:webHidden/>
              </w:rPr>
              <w:t>11</w:t>
            </w:r>
            <w:r w:rsidRPr="005B5F40">
              <w:rPr>
                <w:rFonts w:ascii="Verdana" w:hAnsi="Verdana"/>
                <w:noProof/>
                <w:webHidden/>
              </w:rPr>
              <w:fldChar w:fldCharType="end"/>
            </w:r>
          </w:hyperlink>
        </w:p>
        <w:p w14:paraId="17771B33" w14:textId="62EA08A8" w:rsidR="00407F11" w:rsidRPr="005B5F40" w:rsidRDefault="00407F11">
          <w:pPr>
            <w:pStyle w:val="TOC2"/>
            <w:tabs>
              <w:tab w:val="right" w:leader="dot" w:pos="9848"/>
            </w:tabs>
            <w:rPr>
              <w:rFonts w:ascii="Verdana" w:hAnsi="Verdana"/>
              <w:noProof/>
              <w:kern w:val="2"/>
              <w:lang w:eastAsia="en-GB"/>
              <w14:ligatures w14:val="standardContextual"/>
            </w:rPr>
          </w:pPr>
          <w:hyperlink w:anchor="_Toc201648656" w:history="1">
            <w:r w:rsidRPr="005B5F40">
              <w:rPr>
                <w:rStyle w:val="Hyperlink"/>
                <w:rFonts w:ascii="Verdana" w:hAnsi="Verdana"/>
                <w:noProof/>
              </w:rPr>
              <w:t>Additional Funding for Work Support</w:t>
            </w:r>
            <w:r w:rsidRPr="005B5F40">
              <w:rPr>
                <w:rFonts w:ascii="Verdana" w:hAnsi="Verdana"/>
                <w:noProof/>
                <w:webHidden/>
              </w:rPr>
              <w:tab/>
            </w:r>
            <w:r w:rsidRPr="005B5F40">
              <w:rPr>
                <w:rFonts w:ascii="Verdana" w:hAnsi="Verdana"/>
                <w:noProof/>
                <w:webHidden/>
              </w:rPr>
              <w:fldChar w:fldCharType="begin"/>
            </w:r>
            <w:r w:rsidRPr="005B5F40">
              <w:rPr>
                <w:rFonts w:ascii="Verdana" w:hAnsi="Verdana"/>
                <w:noProof/>
                <w:webHidden/>
              </w:rPr>
              <w:instrText xml:space="preserve"> PAGEREF _Toc201648656 \h </w:instrText>
            </w:r>
            <w:r w:rsidRPr="005B5F40">
              <w:rPr>
                <w:rFonts w:ascii="Verdana" w:hAnsi="Verdana"/>
                <w:noProof/>
                <w:webHidden/>
              </w:rPr>
            </w:r>
            <w:r w:rsidRPr="005B5F40">
              <w:rPr>
                <w:rFonts w:ascii="Verdana" w:hAnsi="Verdana"/>
                <w:noProof/>
                <w:webHidden/>
              </w:rPr>
              <w:fldChar w:fldCharType="separate"/>
            </w:r>
            <w:r w:rsidR="002745ED">
              <w:rPr>
                <w:rFonts w:ascii="Verdana" w:hAnsi="Verdana"/>
                <w:noProof/>
                <w:webHidden/>
              </w:rPr>
              <w:t>14</w:t>
            </w:r>
            <w:r w:rsidRPr="005B5F40">
              <w:rPr>
                <w:rFonts w:ascii="Verdana" w:hAnsi="Verdana"/>
                <w:noProof/>
                <w:webHidden/>
              </w:rPr>
              <w:fldChar w:fldCharType="end"/>
            </w:r>
          </w:hyperlink>
        </w:p>
        <w:p w14:paraId="4F5B4293" w14:textId="0B89D923" w:rsidR="00407F11" w:rsidRPr="005B5F40" w:rsidRDefault="00407F11" w:rsidP="005B5F40">
          <w:pPr>
            <w:pStyle w:val="TOC1"/>
            <w:rPr>
              <w:kern w:val="2"/>
              <w:lang w:eastAsia="en-GB"/>
              <w14:ligatures w14:val="standardContextual"/>
            </w:rPr>
          </w:pPr>
          <w:hyperlink w:anchor="_Toc201648657" w:history="1">
            <w:r w:rsidRPr="005B5F40">
              <w:rPr>
                <w:rStyle w:val="Hyperlink"/>
              </w:rPr>
              <w:t>3.0</w:t>
            </w:r>
            <w:r w:rsidRPr="005B5F40">
              <w:rPr>
                <w:kern w:val="2"/>
                <w:lang w:eastAsia="en-GB"/>
                <w14:ligatures w14:val="standardContextual"/>
              </w:rPr>
              <w:tab/>
            </w:r>
            <w:r w:rsidRPr="005B5F40">
              <w:rPr>
                <w:rStyle w:val="Hyperlink"/>
              </w:rPr>
              <w:t>Human Rights Framework</w:t>
            </w:r>
            <w:r w:rsidRPr="005B5F40">
              <w:rPr>
                <w:webHidden/>
              </w:rPr>
              <w:tab/>
            </w:r>
            <w:r w:rsidRPr="005B5F40">
              <w:rPr>
                <w:webHidden/>
              </w:rPr>
              <w:fldChar w:fldCharType="begin"/>
            </w:r>
            <w:r w:rsidRPr="005B5F40">
              <w:rPr>
                <w:webHidden/>
              </w:rPr>
              <w:instrText xml:space="preserve"> PAGEREF _Toc201648657 \h </w:instrText>
            </w:r>
            <w:r w:rsidRPr="005B5F40">
              <w:rPr>
                <w:webHidden/>
              </w:rPr>
            </w:r>
            <w:r w:rsidRPr="005B5F40">
              <w:rPr>
                <w:webHidden/>
              </w:rPr>
              <w:fldChar w:fldCharType="separate"/>
            </w:r>
            <w:r w:rsidR="002745ED">
              <w:rPr>
                <w:webHidden/>
              </w:rPr>
              <w:t>15</w:t>
            </w:r>
            <w:r w:rsidRPr="005B5F40">
              <w:rPr>
                <w:webHidden/>
              </w:rPr>
              <w:fldChar w:fldCharType="end"/>
            </w:r>
          </w:hyperlink>
        </w:p>
        <w:p w14:paraId="7B15F371" w14:textId="57068830" w:rsidR="00407F11" w:rsidRPr="005B5F40" w:rsidRDefault="00407F11">
          <w:pPr>
            <w:pStyle w:val="TOC2"/>
            <w:tabs>
              <w:tab w:val="right" w:leader="dot" w:pos="9848"/>
            </w:tabs>
            <w:rPr>
              <w:rFonts w:ascii="Verdana" w:hAnsi="Verdana"/>
              <w:noProof/>
              <w:kern w:val="2"/>
              <w:lang w:eastAsia="en-GB"/>
              <w14:ligatures w14:val="standardContextual"/>
            </w:rPr>
          </w:pPr>
          <w:hyperlink w:anchor="_Toc201648658" w:history="1">
            <w:r w:rsidRPr="005B5F40">
              <w:rPr>
                <w:rStyle w:val="Hyperlink"/>
                <w:rFonts w:ascii="Verdana" w:hAnsi="Verdana"/>
                <w:noProof/>
              </w:rPr>
              <w:t>UN International Covenant on Economic, Social and Cultural Rights</w:t>
            </w:r>
            <w:r w:rsidRPr="005B5F40">
              <w:rPr>
                <w:rFonts w:ascii="Verdana" w:hAnsi="Verdana"/>
                <w:noProof/>
                <w:webHidden/>
              </w:rPr>
              <w:tab/>
            </w:r>
            <w:r w:rsidRPr="005B5F40">
              <w:rPr>
                <w:rFonts w:ascii="Verdana" w:hAnsi="Verdana"/>
                <w:noProof/>
                <w:webHidden/>
              </w:rPr>
              <w:fldChar w:fldCharType="begin"/>
            </w:r>
            <w:r w:rsidRPr="005B5F40">
              <w:rPr>
                <w:rFonts w:ascii="Verdana" w:hAnsi="Verdana"/>
                <w:noProof/>
                <w:webHidden/>
              </w:rPr>
              <w:instrText xml:space="preserve"> PAGEREF _Toc201648658 \h </w:instrText>
            </w:r>
            <w:r w:rsidRPr="005B5F40">
              <w:rPr>
                <w:rFonts w:ascii="Verdana" w:hAnsi="Verdana"/>
                <w:noProof/>
                <w:webHidden/>
              </w:rPr>
            </w:r>
            <w:r w:rsidRPr="005B5F40">
              <w:rPr>
                <w:rFonts w:ascii="Verdana" w:hAnsi="Verdana"/>
                <w:noProof/>
                <w:webHidden/>
              </w:rPr>
              <w:fldChar w:fldCharType="separate"/>
            </w:r>
            <w:r w:rsidR="002745ED">
              <w:rPr>
                <w:rFonts w:ascii="Verdana" w:hAnsi="Verdana"/>
                <w:noProof/>
                <w:webHidden/>
              </w:rPr>
              <w:t>15</w:t>
            </w:r>
            <w:r w:rsidRPr="005B5F40">
              <w:rPr>
                <w:rFonts w:ascii="Verdana" w:hAnsi="Verdana"/>
                <w:noProof/>
                <w:webHidden/>
              </w:rPr>
              <w:fldChar w:fldCharType="end"/>
            </w:r>
          </w:hyperlink>
        </w:p>
        <w:p w14:paraId="1429216D" w14:textId="084B2AD3" w:rsidR="00407F11" w:rsidRPr="005B5F40" w:rsidRDefault="00407F11">
          <w:pPr>
            <w:pStyle w:val="TOC2"/>
            <w:tabs>
              <w:tab w:val="right" w:leader="dot" w:pos="9848"/>
            </w:tabs>
            <w:rPr>
              <w:rFonts w:ascii="Verdana" w:hAnsi="Verdana"/>
              <w:noProof/>
              <w:kern w:val="2"/>
              <w:lang w:eastAsia="en-GB"/>
              <w14:ligatures w14:val="standardContextual"/>
            </w:rPr>
          </w:pPr>
          <w:hyperlink w:anchor="_Toc201648659" w:history="1">
            <w:r w:rsidRPr="005B5F40">
              <w:rPr>
                <w:rStyle w:val="Hyperlink"/>
                <w:rFonts w:ascii="Verdana" w:hAnsi="Verdana"/>
                <w:noProof/>
              </w:rPr>
              <w:t>UN Convention on the Rights of Persons with Disabilities</w:t>
            </w:r>
            <w:r w:rsidRPr="005B5F40">
              <w:rPr>
                <w:rFonts w:ascii="Verdana" w:hAnsi="Verdana"/>
                <w:noProof/>
                <w:webHidden/>
              </w:rPr>
              <w:tab/>
            </w:r>
            <w:r w:rsidRPr="005B5F40">
              <w:rPr>
                <w:rFonts w:ascii="Verdana" w:hAnsi="Verdana"/>
                <w:noProof/>
                <w:webHidden/>
              </w:rPr>
              <w:fldChar w:fldCharType="begin"/>
            </w:r>
            <w:r w:rsidRPr="005B5F40">
              <w:rPr>
                <w:rFonts w:ascii="Verdana" w:hAnsi="Verdana"/>
                <w:noProof/>
                <w:webHidden/>
              </w:rPr>
              <w:instrText xml:space="preserve"> PAGEREF _Toc201648659 \h </w:instrText>
            </w:r>
            <w:r w:rsidRPr="005B5F40">
              <w:rPr>
                <w:rFonts w:ascii="Verdana" w:hAnsi="Verdana"/>
                <w:noProof/>
                <w:webHidden/>
              </w:rPr>
            </w:r>
            <w:r w:rsidRPr="005B5F40">
              <w:rPr>
                <w:rFonts w:ascii="Verdana" w:hAnsi="Verdana"/>
                <w:noProof/>
                <w:webHidden/>
              </w:rPr>
              <w:fldChar w:fldCharType="separate"/>
            </w:r>
            <w:r w:rsidR="002745ED">
              <w:rPr>
                <w:rFonts w:ascii="Verdana" w:hAnsi="Verdana"/>
                <w:noProof/>
                <w:webHidden/>
              </w:rPr>
              <w:t>19</w:t>
            </w:r>
            <w:r w:rsidRPr="005B5F40">
              <w:rPr>
                <w:rFonts w:ascii="Verdana" w:hAnsi="Verdana"/>
                <w:noProof/>
                <w:webHidden/>
              </w:rPr>
              <w:fldChar w:fldCharType="end"/>
            </w:r>
          </w:hyperlink>
        </w:p>
        <w:p w14:paraId="08F41151" w14:textId="64DC2D7A" w:rsidR="00407F11" w:rsidRPr="005B5F40" w:rsidRDefault="00407F11">
          <w:pPr>
            <w:pStyle w:val="TOC2"/>
            <w:tabs>
              <w:tab w:val="right" w:leader="dot" w:pos="9848"/>
            </w:tabs>
            <w:rPr>
              <w:rFonts w:ascii="Verdana" w:hAnsi="Verdana"/>
              <w:noProof/>
              <w:kern w:val="2"/>
              <w:lang w:eastAsia="en-GB"/>
              <w14:ligatures w14:val="standardContextual"/>
            </w:rPr>
          </w:pPr>
          <w:hyperlink w:anchor="_Toc201648660" w:history="1">
            <w:r w:rsidRPr="005B5F40">
              <w:rPr>
                <w:rStyle w:val="Hyperlink"/>
                <w:rFonts w:ascii="Verdana" w:hAnsi="Verdana"/>
                <w:noProof/>
              </w:rPr>
              <w:t>UN Convention on the Rights of the Child</w:t>
            </w:r>
            <w:r w:rsidRPr="005B5F40">
              <w:rPr>
                <w:rFonts w:ascii="Verdana" w:hAnsi="Verdana"/>
                <w:noProof/>
                <w:webHidden/>
              </w:rPr>
              <w:tab/>
            </w:r>
            <w:r w:rsidRPr="005B5F40">
              <w:rPr>
                <w:rFonts w:ascii="Verdana" w:hAnsi="Verdana"/>
                <w:noProof/>
                <w:webHidden/>
              </w:rPr>
              <w:fldChar w:fldCharType="begin"/>
            </w:r>
            <w:r w:rsidRPr="005B5F40">
              <w:rPr>
                <w:rFonts w:ascii="Verdana" w:hAnsi="Verdana"/>
                <w:noProof/>
                <w:webHidden/>
              </w:rPr>
              <w:instrText xml:space="preserve"> PAGEREF _Toc201648660 \h </w:instrText>
            </w:r>
            <w:r w:rsidRPr="005B5F40">
              <w:rPr>
                <w:rFonts w:ascii="Verdana" w:hAnsi="Verdana"/>
                <w:noProof/>
                <w:webHidden/>
              </w:rPr>
            </w:r>
            <w:r w:rsidRPr="005B5F40">
              <w:rPr>
                <w:rFonts w:ascii="Verdana" w:hAnsi="Verdana"/>
                <w:noProof/>
                <w:webHidden/>
              </w:rPr>
              <w:fldChar w:fldCharType="separate"/>
            </w:r>
            <w:r w:rsidR="002745ED">
              <w:rPr>
                <w:rFonts w:ascii="Verdana" w:hAnsi="Verdana"/>
                <w:noProof/>
                <w:webHidden/>
              </w:rPr>
              <w:t>22</w:t>
            </w:r>
            <w:r w:rsidRPr="005B5F40">
              <w:rPr>
                <w:rFonts w:ascii="Verdana" w:hAnsi="Verdana"/>
                <w:noProof/>
                <w:webHidden/>
              </w:rPr>
              <w:fldChar w:fldCharType="end"/>
            </w:r>
          </w:hyperlink>
        </w:p>
        <w:p w14:paraId="1649052E" w14:textId="6A40CF1E" w:rsidR="00407F11" w:rsidRPr="005B5F40" w:rsidRDefault="00407F11">
          <w:pPr>
            <w:pStyle w:val="TOC2"/>
            <w:tabs>
              <w:tab w:val="right" w:leader="dot" w:pos="9848"/>
            </w:tabs>
            <w:rPr>
              <w:rFonts w:ascii="Verdana" w:hAnsi="Verdana"/>
              <w:noProof/>
              <w:kern w:val="2"/>
              <w:lang w:eastAsia="en-GB"/>
              <w14:ligatures w14:val="standardContextual"/>
            </w:rPr>
          </w:pPr>
          <w:hyperlink w:anchor="_Toc201648661" w:history="1">
            <w:r w:rsidRPr="005B5F40">
              <w:rPr>
                <w:rStyle w:val="Hyperlink"/>
                <w:rFonts w:ascii="Verdana" w:hAnsi="Verdana"/>
                <w:noProof/>
              </w:rPr>
              <w:t>UN Convention on the Elimination of Discrimination Against Women</w:t>
            </w:r>
            <w:r w:rsidRPr="005B5F40">
              <w:rPr>
                <w:rFonts w:ascii="Verdana" w:hAnsi="Verdana"/>
                <w:noProof/>
                <w:webHidden/>
              </w:rPr>
              <w:tab/>
            </w:r>
            <w:r w:rsidRPr="005B5F40">
              <w:rPr>
                <w:rFonts w:ascii="Verdana" w:hAnsi="Verdana"/>
                <w:noProof/>
                <w:webHidden/>
              </w:rPr>
              <w:fldChar w:fldCharType="begin"/>
            </w:r>
            <w:r w:rsidRPr="005B5F40">
              <w:rPr>
                <w:rFonts w:ascii="Verdana" w:hAnsi="Verdana"/>
                <w:noProof/>
                <w:webHidden/>
              </w:rPr>
              <w:instrText xml:space="preserve"> PAGEREF _Toc201648661 \h </w:instrText>
            </w:r>
            <w:r w:rsidRPr="005B5F40">
              <w:rPr>
                <w:rFonts w:ascii="Verdana" w:hAnsi="Verdana"/>
                <w:noProof/>
                <w:webHidden/>
              </w:rPr>
            </w:r>
            <w:r w:rsidRPr="005B5F40">
              <w:rPr>
                <w:rFonts w:ascii="Verdana" w:hAnsi="Verdana"/>
                <w:noProof/>
                <w:webHidden/>
              </w:rPr>
              <w:fldChar w:fldCharType="separate"/>
            </w:r>
            <w:r w:rsidR="002745ED">
              <w:rPr>
                <w:rFonts w:ascii="Verdana" w:hAnsi="Verdana"/>
                <w:noProof/>
                <w:webHidden/>
              </w:rPr>
              <w:t>22</w:t>
            </w:r>
            <w:r w:rsidRPr="005B5F40">
              <w:rPr>
                <w:rFonts w:ascii="Verdana" w:hAnsi="Verdana"/>
                <w:noProof/>
                <w:webHidden/>
              </w:rPr>
              <w:fldChar w:fldCharType="end"/>
            </w:r>
          </w:hyperlink>
        </w:p>
        <w:p w14:paraId="0A586465" w14:textId="3EA270A3" w:rsidR="00407F11" w:rsidRPr="005B5F40" w:rsidRDefault="00407F11">
          <w:pPr>
            <w:pStyle w:val="TOC2"/>
            <w:tabs>
              <w:tab w:val="right" w:leader="dot" w:pos="9848"/>
            </w:tabs>
            <w:rPr>
              <w:rFonts w:ascii="Verdana" w:hAnsi="Verdana"/>
              <w:noProof/>
              <w:kern w:val="2"/>
              <w:lang w:eastAsia="en-GB"/>
              <w14:ligatures w14:val="standardContextual"/>
            </w:rPr>
          </w:pPr>
          <w:hyperlink w:anchor="_Toc201648662" w:history="1">
            <w:r w:rsidRPr="005B5F40">
              <w:rPr>
                <w:rStyle w:val="Hyperlink"/>
                <w:rFonts w:ascii="Verdana" w:hAnsi="Verdana"/>
                <w:noProof/>
              </w:rPr>
              <w:t>UN Convention on the Elimination of Racial Discrimination</w:t>
            </w:r>
            <w:r w:rsidRPr="005B5F40">
              <w:rPr>
                <w:rFonts w:ascii="Verdana" w:hAnsi="Verdana"/>
                <w:noProof/>
                <w:webHidden/>
              </w:rPr>
              <w:tab/>
            </w:r>
            <w:r w:rsidRPr="005B5F40">
              <w:rPr>
                <w:rFonts w:ascii="Verdana" w:hAnsi="Verdana"/>
                <w:noProof/>
                <w:webHidden/>
              </w:rPr>
              <w:fldChar w:fldCharType="begin"/>
            </w:r>
            <w:r w:rsidRPr="005B5F40">
              <w:rPr>
                <w:rFonts w:ascii="Verdana" w:hAnsi="Verdana"/>
                <w:noProof/>
                <w:webHidden/>
              </w:rPr>
              <w:instrText xml:space="preserve"> PAGEREF _Toc201648662 \h </w:instrText>
            </w:r>
            <w:r w:rsidRPr="005B5F40">
              <w:rPr>
                <w:rFonts w:ascii="Verdana" w:hAnsi="Verdana"/>
                <w:noProof/>
                <w:webHidden/>
              </w:rPr>
            </w:r>
            <w:r w:rsidRPr="005B5F40">
              <w:rPr>
                <w:rFonts w:ascii="Verdana" w:hAnsi="Verdana"/>
                <w:noProof/>
                <w:webHidden/>
              </w:rPr>
              <w:fldChar w:fldCharType="separate"/>
            </w:r>
            <w:r w:rsidR="002745ED">
              <w:rPr>
                <w:rFonts w:ascii="Verdana" w:hAnsi="Verdana"/>
                <w:noProof/>
                <w:webHidden/>
              </w:rPr>
              <w:t>23</w:t>
            </w:r>
            <w:r w:rsidRPr="005B5F40">
              <w:rPr>
                <w:rFonts w:ascii="Verdana" w:hAnsi="Verdana"/>
                <w:noProof/>
                <w:webHidden/>
              </w:rPr>
              <w:fldChar w:fldCharType="end"/>
            </w:r>
          </w:hyperlink>
        </w:p>
        <w:p w14:paraId="7C103062" w14:textId="29AB6DC7" w:rsidR="00407F11" w:rsidRPr="005B5F40" w:rsidRDefault="00407F11">
          <w:pPr>
            <w:pStyle w:val="TOC2"/>
            <w:tabs>
              <w:tab w:val="right" w:leader="dot" w:pos="9848"/>
            </w:tabs>
            <w:rPr>
              <w:rFonts w:ascii="Verdana" w:hAnsi="Verdana"/>
              <w:noProof/>
              <w:kern w:val="2"/>
              <w:lang w:eastAsia="en-GB"/>
              <w14:ligatures w14:val="standardContextual"/>
            </w:rPr>
          </w:pPr>
          <w:hyperlink w:anchor="_Toc201648663" w:history="1">
            <w:r w:rsidRPr="005B5F40">
              <w:rPr>
                <w:rStyle w:val="Hyperlink"/>
                <w:rFonts w:ascii="Verdana" w:hAnsi="Verdana"/>
                <w:noProof/>
              </w:rPr>
              <w:t>European Convention on Human Rights</w:t>
            </w:r>
            <w:r w:rsidRPr="005B5F40">
              <w:rPr>
                <w:rFonts w:ascii="Verdana" w:hAnsi="Verdana"/>
                <w:noProof/>
                <w:webHidden/>
              </w:rPr>
              <w:tab/>
            </w:r>
            <w:r w:rsidRPr="005B5F40">
              <w:rPr>
                <w:rFonts w:ascii="Verdana" w:hAnsi="Verdana"/>
                <w:noProof/>
                <w:webHidden/>
              </w:rPr>
              <w:fldChar w:fldCharType="begin"/>
            </w:r>
            <w:r w:rsidRPr="005B5F40">
              <w:rPr>
                <w:rFonts w:ascii="Verdana" w:hAnsi="Verdana"/>
                <w:noProof/>
                <w:webHidden/>
              </w:rPr>
              <w:instrText xml:space="preserve"> PAGEREF _Toc201648663 \h </w:instrText>
            </w:r>
            <w:r w:rsidRPr="005B5F40">
              <w:rPr>
                <w:rFonts w:ascii="Verdana" w:hAnsi="Verdana"/>
                <w:noProof/>
                <w:webHidden/>
              </w:rPr>
            </w:r>
            <w:r w:rsidRPr="005B5F40">
              <w:rPr>
                <w:rFonts w:ascii="Verdana" w:hAnsi="Verdana"/>
                <w:noProof/>
                <w:webHidden/>
              </w:rPr>
              <w:fldChar w:fldCharType="separate"/>
            </w:r>
            <w:r w:rsidR="002745ED">
              <w:rPr>
                <w:rFonts w:ascii="Verdana" w:hAnsi="Verdana"/>
                <w:noProof/>
                <w:webHidden/>
              </w:rPr>
              <w:t>23</w:t>
            </w:r>
            <w:r w:rsidRPr="005B5F40">
              <w:rPr>
                <w:rFonts w:ascii="Verdana" w:hAnsi="Verdana"/>
                <w:noProof/>
                <w:webHidden/>
              </w:rPr>
              <w:fldChar w:fldCharType="end"/>
            </w:r>
          </w:hyperlink>
        </w:p>
        <w:p w14:paraId="141D1A90" w14:textId="6726924D" w:rsidR="00407F11" w:rsidRPr="005B5F40" w:rsidRDefault="00407F11">
          <w:pPr>
            <w:pStyle w:val="TOC2"/>
            <w:tabs>
              <w:tab w:val="right" w:leader="dot" w:pos="9848"/>
            </w:tabs>
            <w:rPr>
              <w:rFonts w:ascii="Verdana" w:hAnsi="Verdana"/>
              <w:noProof/>
              <w:kern w:val="2"/>
              <w:lang w:eastAsia="en-GB"/>
              <w14:ligatures w14:val="standardContextual"/>
            </w:rPr>
          </w:pPr>
          <w:hyperlink w:anchor="_Toc201648664" w:history="1">
            <w:r w:rsidRPr="005B5F40">
              <w:rPr>
                <w:rStyle w:val="Hyperlink"/>
                <w:rFonts w:ascii="Verdana" w:hAnsi="Verdana"/>
                <w:noProof/>
              </w:rPr>
              <w:t>Human Rights-Based Approach</w:t>
            </w:r>
            <w:r w:rsidRPr="005B5F40">
              <w:rPr>
                <w:rFonts w:ascii="Verdana" w:hAnsi="Verdana"/>
                <w:noProof/>
                <w:webHidden/>
              </w:rPr>
              <w:tab/>
            </w:r>
            <w:r w:rsidRPr="005B5F40">
              <w:rPr>
                <w:rFonts w:ascii="Verdana" w:hAnsi="Verdana"/>
                <w:noProof/>
                <w:webHidden/>
              </w:rPr>
              <w:fldChar w:fldCharType="begin"/>
            </w:r>
            <w:r w:rsidRPr="005B5F40">
              <w:rPr>
                <w:rFonts w:ascii="Verdana" w:hAnsi="Verdana"/>
                <w:noProof/>
                <w:webHidden/>
              </w:rPr>
              <w:instrText xml:space="preserve"> PAGEREF _Toc201648664 \h </w:instrText>
            </w:r>
            <w:r w:rsidRPr="005B5F40">
              <w:rPr>
                <w:rFonts w:ascii="Verdana" w:hAnsi="Verdana"/>
                <w:noProof/>
                <w:webHidden/>
              </w:rPr>
            </w:r>
            <w:r w:rsidRPr="005B5F40">
              <w:rPr>
                <w:rFonts w:ascii="Verdana" w:hAnsi="Verdana"/>
                <w:noProof/>
                <w:webHidden/>
              </w:rPr>
              <w:fldChar w:fldCharType="separate"/>
            </w:r>
            <w:r w:rsidR="002745ED">
              <w:rPr>
                <w:rFonts w:ascii="Verdana" w:hAnsi="Verdana"/>
                <w:noProof/>
                <w:webHidden/>
              </w:rPr>
              <w:t>25</w:t>
            </w:r>
            <w:r w:rsidRPr="005B5F40">
              <w:rPr>
                <w:rFonts w:ascii="Verdana" w:hAnsi="Verdana"/>
                <w:noProof/>
                <w:webHidden/>
              </w:rPr>
              <w:fldChar w:fldCharType="end"/>
            </w:r>
          </w:hyperlink>
        </w:p>
        <w:p w14:paraId="3B90BCA3" w14:textId="78A9C0C3" w:rsidR="00407F11" w:rsidRPr="005B5F40" w:rsidRDefault="00407F11" w:rsidP="005B5F40">
          <w:pPr>
            <w:pStyle w:val="TOC1"/>
            <w:rPr>
              <w:kern w:val="2"/>
              <w:lang w:eastAsia="en-GB"/>
              <w14:ligatures w14:val="standardContextual"/>
            </w:rPr>
          </w:pPr>
          <w:hyperlink w:anchor="_Toc201648665" w:history="1">
            <w:r w:rsidRPr="005B5F40">
              <w:rPr>
                <w:rStyle w:val="Hyperlink"/>
              </w:rPr>
              <w:t>4.0</w:t>
            </w:r>
            <w:r w:rsidRPr="005B5F40">
              <w:rPr>
                <w:kern w:val="2"/>
                <w:lang w:eastAsia="en-GB"/>
                <w14:ligatures w14:val="standardContextual"/>
              </w:rPr>
              <w:tab/>
            </w:r>
            <w:r w:rsidRPr="005B5F40">
              <w:rPr>
                <w:rStyle w:val="Hyperlink"/>
              </w:rPr>
              <w:t>Impact of Proposals</w:t>
            </w:r>
            <w:r w:rsidRPr="005B5F40">
              <w:rPr>
                <w:webHidden/>
              </w:rPr>
              <w:tab/>
            </w:r>
            <w:r w:rsidRPr="005B5F40">
              <w:rPr>
                <w:webHidden/>
              </w:rPr>
              <w:fldChar w:fldCharType="begin"/>
            </w:r>
            <w:r w:rsidRPr="005B5F40">
              <w:rPr>
                <w:webHidden/>
              </w:rPr>
              <w:instrText xml:space="preserve"> PAGEREF _Toc201648665 \h </w:instrText>
            </w:r>
            <w:r w:rsidRPr="005B5F40">
              <w:rPr>
                <w:webHidden/>
              </w:rPr>
            </w:r>
            <w:r w:rsidRPr="005B5F40">
              <w:rPr>
                <w:webHidden/>
              </w:rPr>
              <w:fldChar w:fldCharType="separate"/>
            </w:r>
            <w:r w:rsidR="002745ED">
              <w:rPr>
                <w:webHidden/>
              </w:rPr>
              <w:t>27</w:t>
            </w:r>
            <w:r w:rsidRPr="005B5F40">
              <w:rPr>
                <w:webHidden/>
              </w:rPr>
              <w:fldChar w:fldCharType="end"/>
            </w:r>
          </w:hyperlink>
        </w:p>
        <w:p w14:paraId="3AA18724" w14:textId="0EC8E266" w:rsidR="00407F11" w:rsidRPr="005B5F40" w:rsidRDefault="00407F11">
          <w:pPr>
            <w:pStyle w:val="TOC2"/>
            <w:tabs>
              <w:tab w:val="right" w:leader="dot" w:pos="9848"/>
            </w:tabs>
            <w:rPr>
              <w:rFonts w:ascii="Verdana" w:hAnsi="Verdana"/>
              <w:noProof/>
              <w:kern w:val="2"/>
              <w:lang w:eastAsia="en-GB"/>
              <w14:ligatures w14:val="standardContextual"/>
            </w:rPr>
          </w:pPr>
          <w:hyperlink w:anchor="_Toc201648666" w:history="1">
            <w:r w:rsidRPr="005B5F40">
              <w:rPr>
                <w:rStyle w:val="Hyperlink"/>
                <w:rFonts w:ascii="Verdana" w:hAnsi="Verdana"/>
                <w:noProof/>
              </w:rPr>
              <w:t>Changes to the Personal Independence Payment and the Health Element of Universal Credit</w:t>
            </w:r>
            <w:r w:rsidRPr="005B5F40">
              <w:rPr>
                <w:rFonts w:ascii="Verdana" w:hAnsi="Verdana"/>
                <w:noProof/>
                <w:webHidden/>
              </w:rPr>
              <w:tab/>
            </w:r>
            <w:r w:rsidRPr="005B5F40">
              <w:rPr>
                <w:rFonts w:ascii="Verdana" w:hAnsi="Verdana"/>
                <w:noProof/>
                <w:webHidden/>
              </w:rPr>
              <w:fldChar w:fldCharType="begin"/>
            </w:r>
            <w:r w:rsidRPr="005B5F40">
              <w:rPr>
                <w:rFonts w:ascii="Verdana" w:hAnsi="Verdana"/>
                <w:noProof/>
                <w:webHidden/>
              </w:rPr>
              <w:instrText xml:space="preserve"> PAGEREF _Toc201648666 \h </w:instrText>
            </w:r>
            <w:r w:rsidRPr="005B5F40">
              <w:rPr>
                <w:rFonts w:ascii="Verdana" w:hAnsi="Verdana"/>
                <w:noProof/>
                <w:webHidden/>
              </w:rPr>
            </w:r>
            <w:r w:rsidRPr="005B5F40">
              <w:rPr>
                <w:rFonts w:ascii="Verdana" w:hAnsi="Verdana"/>
                <w:noProof/>
                <w:webHidden/>
              </w:rPr>
              <w:fldChar w:fldCharType="separate"/>
            </w:r>
            <w:r w:rsidR="002745ED">
              <w:rPr>
                <w:rFonts w:ascii="Verdana" w:hAnsi="Verdana"/>
                <w:noProof/>
                <w:webHidden/>
              </w:rPr>
              <w:t>27</w:t>
            </w:r>
            <w:r w:rsidRPr="005B5F40">
              <w:rPr>
                <w:rFonts w:ascii="Verdana" w:hAnsi="Verdana"/>
                <w:noProof/>
                <w:webHidden/>
              </w:rPr>
              <w:fldChar w:fldCharType="end"/>
            </w:r>
          </w:hyperlink>
        </w:p>
        <w:p w14:paraId="61CA4652" w14:textId="27972AEE" w:rsidR="00407F11" w:rsidRPr="005B5F40" w:rsidRDefault="00407F11">
          <w:pPr>
            <w:pStyle w:val="TOC2"/>
            <w:tabs>
              <w:tab w:val="right" w:leader="dot" w:pos="9848"/>
            </w:tabs>
            <w:rPr>
              <w:rFonts w:ascii="Verdana" w:hAnsi="Verdana"/>
              <w:noProof/>
              <w:kern w:val="2"/>
              <w:lang w:eastAsia="en-GB"/>
              <w14:ligatures w14:val="standardContextual"/>
            </w:rPr>
          </w:pPr>
          <w:hyperlink w:anchor="_Toc201648667" w:history="1">
            <w:r w:rsidRPr="005B5F40">
              <w:rPr>
                <w:rStyle w:val="Hyperlink"/>
                <w:rFonts w:ascii="Verdana" w:hAnsi="Verdana"/>
                <w:noProof/>
              </w:rPr>
              <w:t>Abolishing the Work Capabilities Assessment</w:t>
            </w:r>
            <w:r w:rsidRPr="005B5F40">
              <w:rPr>
                <w:rFonts w:ascii="Verdana" w:hAnsi="Verdana"/>
                <w:noProof/>
                <w:webHidden/>
              </w:rPr>
              <w:tab/>
            </w:r>
            <w:r w:rsidRPr="005B5F40">
              <w:rPr>
                <w:rFonts w:ascii="Verdana" w:hAnsi="Verdana"/>
                <w:noProof/>
                <w:webHidden/>
              </w:rPr>
              <w:fldChar w:fldCharType="begin"/>
            </w:r>
            <w:r w:rsidRPr="005B5F40">
              <w:rPr>
                <w:rFonts w:ascii="Verdana" w:hAnsi="Verdana"/>
                <w:noProof/>
                <w:webHidden/>
              </w:rPr>
              <w:instrText xml:space="preserve"> PAGEREF _Toc201648667 \h </w:instrText>
            </w:r>
            <w:r w:rsidRPr="005B5F40">
              <w:rPr>
                <w:rFonts w:ascii="Verdana" w:hAnsi="Verdana"/>
                <w:noProof/>
                <w:webHidden/>
              </w:rPr>
            </w:r>
            <w:r w:rsidRPr="005B5F40">
              <w:rPr>
                <w:rFonts w:ascii="Verdana" w:hAnsi="Verdana"/>
                <w:noProof/>
                <w:webHidden/>
              </w:rPr>
              <w:fldChar w:fldCharType="separate"/>
            </w:r>
            <w:r w:rsidR="002745ED">
              <w:rPr>
                <w:rFonts w:ascii="Verdana" w:hAnsi="Verdana"/>
                <w:noProof/>
                <w:webHidden/>
              </w:rPr>
              <w:t>33</w:t>
            </w:r>
            <w:r w:rsidRPr="005B5F40">
              <w:rPr>
                <w:rFonts w:ascii="Verdana" w:hAnsi="Verdana"/>
                <w:noProof/>
                <w:webHidden/>
              </w:rPr>
              <w:fldChar w:fldCharType="end"/>
            </w:r>
          </w:hyperlink>
        </w:p>
        <w:p w14:paraId="27F89441" w14:textId="30FA5813" w:rsidR="00407F11" w:rsidRPr="005B5F40" w:rsidRDefault="00407F11">
          <w:pPr>
            <w:pStyle w:val="TOC2"/>
            <w:tabs>
              <w:tab w:val="right" w:leader="dot" w:pos="9848"/>
            </w:tabs>
            <w:rPr>
              <w:rFonts w:ascii="Verdana" w:hAnsi="Verdana"/>
              <w:noProof/>
              <w:kern w:val="2"/>
              <w:lang w:eastAsia="en-GB"/>
              <w14:ligatures w14:val="standardContextual"/>
            </w:rPr>
          </w:pPr>
          <w:hyperlink w:anchor="_Toc201648668" w:history="1">
            <w:r w:rsidRPr="005B5F40">
              <w:rPr>
                <w:rStyle w:val="Hyperlink"/>
                <w:rFonts w:ascii="Verdana" w:hAnsi="Verdana"/>
                <w:noProof/>
              </w:rPr>
              <w:t>Age Eligibility for Payments</w:t>
            </w:r>
            <w:r w:rsidRPr="005B5F40">
              <w:rPr>
                <w:rFonts w:ascii="Verdana" w:hAnsi="Verdana"/>
                <w:noProof/>
                <w:webHidden/>
              </w:rPr>
              <w:tab/>
            </w:r>
            <w:r w:rsidRPr="005B5F40">
              <w:rPr>
                <w:rFonts w:ascii="Verdana" w:hAnsi="Verdana"/>
                <w:noProof/>
                <w:webHidden/>
              </w:rPr>
              <w:fldChar w:fldCharType="begin"/>
            </w:r>
            <w:r w:rsidRPr="005B5F40">
              <w:rPr>
                <w:rFonts w:ascii="Verdana" w:hAnsi="Verdana"/>
                <w:noProof/>
                <w:webHidden/>
              </w:rPr>
              <w:instrText xml:space="preserve"> PAGEREF _Toc201648668 \h </w:instrText>
            </w:r>
            <w:r w:rsidRPr="005B5F40">
              <w:rPr>
                <w:rFonts w:ascii="Verdana" w:hAnsi="Verdana"/>
                <w:noProof/>
                <w:webHidden/>
              </w:rPr>
            </w:r>
            <w:r w:rsidRPr="005B5F40">
              <w:rPr>
                <w:rFonts w:ascii="Verdana" w:hAnsi="Verdana"/>
                <w:noProof/>
                <w:webHidden/>
              </w:rPr>
              <w:fldChar w:fldCharType="separate"/>
            </w:r>
            <w:r w:rsidR="002745ED">
              <w:rPr>
                <w:rFonts w:ascii="Verdana" w:hAnsi="Verdana"/>
                <w:noProof/>
                <w:webHidden/>
              </w:rPr>
              <w:t>36</w:t>
            </w:r>
            <w:r w:rsidRPr="005B5F40">
              <w:rPr>
                <w:rFonts w:ascii="Verdana" w:hAnsi="Verdana"/>
                <w:noProof/>
                <w:webHidden/>
              </w:rPr>
              <w:fldChar w:fldCharType="end"/>
            </w:r>
          </w:hyperlink>
        </w:p>
        <w:p w14:paraId="065C3AA3" w14:textId="3140AA2F" w:rsidR="00407F11" w:rsidRPr="005B5F40" w:rsidRDefault="00407F11">
          <w:pPr>
            <w:pStyle w:val="TOC2"/>
            <w:tabs>
              <w:tab w:val="right" w:leader="dot" w:pos="9848"/>
            </w:tabs>
            <w:rPr>
              <w:rFonts w:ascii="Verdana" w:hAnsi="Verdana"/>
              <w:noProof/>
              <w:kern w:val="2"/>
              <w:lang w:eastAsia="en-GB"/>
              <w14:ligatures w14:val="standardContextual"/>
            </w:rPr>
          </w:pPr>
          <w:hyperlink w:anchor="_Toc201648669" w:history="1">
            <w:r w:rsidRPr="005B5F40">
              <w:rPr>
                <w:rStyle w:val="Hyperlink"/>
                <w:rFonts w:ascii="Verdana" w:hAnsi="Verdana"/>
                <w:noProof/>
              </w:rPr>
              <w:t>Support into Work</w:t>
            </w:r>
            <w:r w:rsidRPr="005B5F40">
              <w:rPr>
                <w:rFonts w:ascii="Verdana" w:hAnsi="Verdana"/>
                <w:noProof/>
                <w:webHidden/>
              </w:rPr>
              <w:tab/>
            </w:r>
            <w:r w:rsidRPr="005B5F40">
              <w:rPr>
                <w:rFonts w:ascii="Verdana" w:hAnsi="Verdana"/>
                <w:noProof/>
                <w:webHidden/>
              </w:rPr>
              <w:fldChar w:fldCharType="begin"/>
            </w:r>
            <w:r w:rsidRPr="005B5F40">
              <w:rPr>
                <w:rFonts w:ascii="Verdana" w:hAnsi="Verdana"/>
                <w:noProof/>
                <w:webHidden/>
              </w:rPr>
              <w:instrText xml:space="preserve"> PAGEREF _Toc201648669 \h </w:instrText>
            </w:r>
            <w:r w:rsidRPr="005B5F40">
              <w:rPr>
                <w:rFonts w:ascii="Verdana" w:hAnsi="Verdana"/>
                <w:noProof/>
                <w:webHidden/>
              </w:rPr>
            </w:r>
            <w:r w:rsidRPr="005B5F40">
              <w:rPr>
                <w:rFonts w:ascii="Verdana" w:hAnsi="Verdana"/>
                <w:noProof/>
                <w:webHidden/>
              </w:rPr>
              <w:fldChar w:fldCharType="separate"/>
            </w:r>
            <w:r w:rsidR="002745ED">
              <w:rPr>
                <w:rFonts w:ascii="Verdana" w:hAnsi="Verdana"/>
                <w:noProof/>
                <w:webHidden/>
              </w:rPr>
              <w:t>40</w:t>
            </w:r>
            <w:r w:rsidRPr="005B5F40">
              <w:rPr>
                <w:rFonts w:ascii="Verdana" w:hAnsi="Verdana"/>
                <w:noProof/>
                <w:webHidden/>
              </w:rPr>
              <w:fldChar w:fldCharType="end"/>
            </w:r>
          </w:hyperlink>
        </w:p>
        <w:p w14:paraId="1B423B76" w14:textId="218C9315" w:rsidR="00407F11" w:rsidRPr="005B5F40" w:rsidRDefault="00407F11">
          <w:pPr>
            <w:pStyle w:val="TOC2"/>
            <w:tabs>
              <w:tab w:val="right" w:leader="dot" w:pos="9848"/>
            </w:tabs>
            <w:rPr>
              <w:rFonts w:ascii="Verdana" w:hAnsi="Verdana"/>
              <w:noProof/>
              <w:kern w:val="2"/>
              <w:lang w:eastAsia="en-GB"/>
              <w14:ligatures w14:val="standardContextual"/>
            </w:rPr>
          </w:pPr>
          <w:hyperlink w:anchor="_Toc201648670" w:history="1">
            <w:r w:rsidRPr="005B5F40">
              <w:rPr>
                <w:rStyle w:val="Hyperlink"/>
                <w:rFonts w:ascii="Verdana" w:hAnsi="Verdana"/>
                <w:noProof/>
              </w:rPr>
              <w:t>Conditions and Sanctions</w:t>
            </w:r>
            <w:r w:rsidRPr="005B5F40">
              <w:rPr>
                <w:rFonts w:ascii="Verdana" w:hAnsi="Verdana"/>
                <w:noProof/>
                <w:webHidden/>
              </w:rPr>
              <w:tab/>
            </w:r>
            <w:r w:rsidRPr="005B5F40">
              <w:rPr>
                <w:rFonts w:ascii="Verdana" w:hAnsi="Verdana"/>
                <w:noProof/>
                <w:webHidden/>
              </w:rPr>
              <w:fldChar w:fldCharType="begin"/>
            </w:r>
            <w:r w:rsidRPr="005B5F40">
              <w:rPr>
                <w:rFonts w:ascii="Verdana" w:hAnsi="Verdana"/>
                <w:noProof/>
                <w:webHidden/>
              </w:rPr>
              <w:instrText xml:space="preserve"> PAGEREF _Toc201648670 \h </w:instrText>
            </w:r>
            <w:r w:rsidRPr="005B5F40">
              <w:rPr>
                <w:rFonts w:ascii="Verdana" w:hAnsi="Verdana"/>
                <w:noProof/>
                <w:webHidden/>
              </w:rPr>
            </w:r>
            <w:r w:rsidRPr="005B5F40">
              <w:rPr>
                <w:rFonts w:ascii="Verdana" w:hAnsi="Verdana"/>
                <w:noProof/>
                <w:webHidden/>
              </w:rPr>
              <w:fldChar w:fldCharType="separate"/>
            </w:r>
            <w:r w:rsidR="002745ED">
              <w:rPr>
                <w:rFonts w:ascii="Verdana" w:hAnsi="Verdana"/>
                <w:noProof/>
                <w:webHidden/>
              </w:rPr>
              <w:t>43</w:t>
            </w:r>
            <w:r w:rsidRPr="005B5F40">
              <w:rPr>
                <w:rFonts w:ascii="Verdana" w:hAnsi="Verdana"/>
                <w:noProof/>
                <w:webHidden/>
              </w:rPr>
              <w:fldChar w:fldCharType="end"/>
            </w:r>
          </w:hyperlink>
        </w:p>
        <w:p w14:paraId="3C2D884A" w14:textId="56EFD2D7" w:rsidR="00480E98" w:rsidRPr="000E7B4A" w:rsidRDefault="00480E98" w:rsidP="00A361AB">
          <w:pPr>
            <w:spacing w:line="360" w:lineRule="auto"/>
            <w:rPr>
              <w:rFonts w:ascii="Verdana" w:hAnsi="Verdana"/>
            </w:rPr>
          </w:pPr>
          <w:r w:rsidRPr="005B5F40">
            <w:rPr>
              <w:rFonts w:ascii="Verdana" w:hAnsi="Verdana"/>
              <w:b/>
              <w:bCs/>
              <w:noProof/>
            </w:rPr>
            <w:fldChar w:fldCharType="end"/>
          </w:r>
        </w:p>
      </w:sdtContent>
    </w:sdt>
    <w:p w14:paraId="08E2FC0E" w14:textId="77777777" w:rsidR="006A28AC" w:rsidRPr="003B7D0E" w:rsidRDefault="006A28AC" w:rsidP="00A361AB">
      <w:pPr>
        <w:pStyle w:val="Default"/>
        <w:spacing w:line="360" w:lineRule="auto"/>
        <w:rPr>
          <w:rFonts w:cs="Arial"/>
          <w:b/>
          <w:color w:val="3C3C3B"/>
          <w:sz w:val="36"/>
          <w:szCs w:val="36"/>
        </w:rPr>
      </w:pPr>
    </w:p>
    <w:p w14:paraId="5B7D5777" w14:textId="77777777" w:rsidR="00EA12CE" w:rsidRPr="00331C61" w:rsidRDefault="00EA12CE" w:rsidP="00A361AB">
      <w:pPr>
        <w:pStyle w:val="Default"/>
        <w:spacing w:line="360" w:lineRule="auto"/>
        <w:rPr>
          <w:rFonts w:cs="Arial"/>
          <w:b/>
          <w:color w:val="232120"/>
        </w:rPr>
      </w:pPr>
    </w:p>
    <w:p w14:paraId="72915335" w14:textId="77777777" w:rsidR="00EA12CE" w:rsidRPr="00331C61" w:rsidRDefault="00EA12CE" w:rsidP="00A361AB">
      <w:pPr>
        <w:pStyle w:val="Default"/>
        <w:spacing w:line="360" w:lineRule="auto"/>
        <w:rPr>
          <w:rFonts w:cs="Arial"/>
          <w:b/>
          <w:color w:val="232120"/>
        </w:rPr>
      </w:pPr>
    </w:p>
    <w:p w14:paraId="4C32166F" w14:textId="77777777" w:rsidR="00EA12CE" w:rsidRPr="00331C61" w:rsidRDefault="00EA12CE" w:rsidP="00A361AB">
      <w:pPr>
        <w:pStyle w:val="Default"/>
        <w:spacing w:line="360" w:lineRule="auto"/>
        <w:rPr>
          <w:rFonts w:cs="Arial"/>
          <w:b/>
          <w:color w:val="232120"/>
        </w:rPr>
      </w:pPr>
    </w:p>
    <w:p w14:paraId="389375AB" w14:textId="77777777" w:rsidR="00EA12CE" w:rsidRPr="00331C61" w:rsidRDefault="00EA12CE" w:rsidP="00A361AB">
      <w:pPr>
        <w:pStyle w:val="Default"/>
        <w:spacing w:line="360" w:lineRule="auto"/>
        <w:rPr>
          <w:rFonts w:cs="Arial"/>
          <w:b/>
          <w:color w:val="232120"/>
        </w:rPr>
      </w:pPr>
    </w:p>
    <w:p w14:paraId="0C15F6B1" w14:textId="77777777" w:rsidR="00EA12CE" w:rsidRPr="00331C61" w:rsidRDefault="00EA12CE" w:rsidP="00A361AB">
      <w:pPr>
        <w:pStyle w:val="Default"/>
        <w:spacing w:line="360" w:lineRule="auto"/>
        <w:rPr>
          <w:rFonts w:cs="Arial"/>
          <w:b/>
          <w:color w:val="232120"/>
        </w:rPr>
      </w:pPr>
    </w:p>
    <w:p w14:paraId="41A5A869" w14:textId="77777777" w:rsidR="00EA12CE" w:rsidRPr="00331C61" w:rsidRDefault="00EA12CE" w:rsidP="00A361AB">
      <w:pPr>
        <w:pStyle w:val="Default"/>
        <w:spacing w:line="360" w:lineRule="auto"/>
        <w:rPr>
          <w:rFonts w:cs="Arial"/>
          <w:b/>
          <w:color w:val="232120"/>
        </w:rPr>
      </w:pPr>
    </w:p>
    <w:p w14:paraId="0B3AA242" w14:textId="77777777" w:rsidR="00EA12CE" w:rsidRPr="00331C61" w:rsidRDefault="00EA12CE" w:rsidP="00A361AB">
      <w:pPr>
        <w:pStyle w:val="Default"/>
        <w:spacing w:line="360" w:lineRule="auto"/>
        <w:rPr>
          <w:rFonts w:cs="Arial"/>
          <w:b/>
          <w:color w:val="232120"/>
        </w:rPr>
      </w:pPr>
    </w:p>
    <w:p w14:paraId="636F76D8" w14:textId="77777777" w:rsidR="00EA12CE" w:rsidRPr="00331C61" w:rsidRDefault="00EA12CE" w:rsidP="00A361AB">
      <w:pPr>
        <w:pStyle w:val="Default"/>
        <w:spacing w:line="360" w:lineRule="auto"/>
        <w:rPr>
          <w:rFonts w:cs="Arial"/>
          <w:b/>
          <w:color w:val="232120"/>
        </w:rPr>
      </w:pPr>
    </w:p>
    <w:p w14:paraId="462F3780" w14:textId="77777777" w:rsidR="00EA12CE" w:rsidRPr="00331C61" w:rsidRDefault="00EA12CE" w:rsidP="00A361AB">
      <w:pPr>
        <w:pStyle w:val="Default"/>
        <w:spacing w:line="360" w:lineRule="auto"/>
        <w:rPr>
          <w:rFonts w:cs="Arial"/>
          <w:b/>
          <w:color w:val="232120"/>
        </w:rPr>
      </w:pPr>
    </w:p>
    <w:p w14:paraId="1C710D15" w14:textId="77777777" w:rsidR="00EA12CE" w:rsidRPr="00331C61" w:rsidRDefault="00EA12CE" w:rsidP="00A361AB">
      <w:pPr>
        <w:pStyle w:val="Default"/>
        <w:spacing w:line="360" w:lineRule="auto"/>
        <w:rPr>
          <w:rFonts w:cs="Arial"/>
          <w:b/>
          <w:color w:val="232120"/>
        </w:rPr>
      </w:pPr>
    </w:p>
    <w:p w14:paraId="380FA177" w14:textId="77777777" w:rsidR="00EA12CE" w:rsidRDefault="00EA12CE" w:rsidP="00A361AB">
      <w:pPr>
        <w:pStyle w:val="Default"/>
        <w:spacing w:line="360" w:lineRule="auto"/>
        <w:rPr>
          <w:rFonts w:cs="Arial"/>
          <w:b/>
          <w:color w:val="232120"/>
        </w:rPr>
      </w:pPr>
    </w:p>
    <w:bookmarkStart w:id="0" w:name="_Toc201648651"/>
    <w:p w14:paraId="31D03DC8" w14:textId="308CC373" w:rsidR="00825046" w:rsidRDefault="006464FC" w:rsidP="00825046">
      <w:pPr>
        <w:pStyle w:val="Heading1"/>
      </w:pPr>
      <w:r>
        <w:rPr>
          <w:noProof/>
        </w:rPr>
        <mc:AlternateContent>
          <mc:Choice Requires="wps">
            <w:drawing>
              <wp:anchor distT="0" distB="0" distL="114300" distR="114300" simplePos="0" relativeHeight="251659264" behindDoc="1" locked="0" layoutInCell="1" allowOverlap="1" wp14:anchorId="2332D3D1" wp14:editId="3953AF69">
                <wp:simplePos x="0" y="0"/>
                <wp:positionH relativeFrom="column">
                  <wp:posOffset>-266672</wp:posOffset>
                </wp:positionH>
                <wp:positionV relativeFrom="paragraph">
                  <wp:posOffset>-99695</wp:posOffset>
                </wp:positionV>
                <wp:extent cx="6702949" cy="9276025"/>
                <wp:effectExtent l="0" t="0" r="22225" b="20955"/>
                <wp:wrapNone/>
                <wp:docPr id="1753232643" name="Rectangle 1"/>
                <wp:cNvGraphicFramePr/>
                <a:graphic xmlns:a="http://schemas.openxmlformats.org/drawingml/2006/main">
                  <a:graphicData uri="http://schemas.microsoft.com/office/word/2010/wordprocessingShape">
                    <wps:wsp>
                      <wps:cNvSpPr/>
                      <wps:spPr>
                        <a:xfrm>
                          <a:off x="0" y="0"/>
                          <a:ext cx="6702949" cy="92760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0B7D29" id="Rectangle 1" o:spid="_x0000_s1026" style="position:absolute;margin-left:-21pt;margin-top:-7.85pt;width:527.8pt;height:730.4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" fillcolor="white [3201]" strokecolor="black [3200]" strokeweight=".25pt"/>
            </w:pict>
          </mc:Fallback>
        </mc:AlternateContent>
      </w:r>
      <w:r w:rsidR="00825046">
        <w:t>Recommendations</w:t>
      </w:r>
      <w:bookmarkEnd w:id="0"/>
    </w:p>
    <w:p w14:paraId="7AF574EB" w14:textId="77777777" w:rsidR="00F83B3E" w:rsidRDefault="00F83B3E" w:rsidP="00F83B3E"/>
    <w:p w14:paraId="58017D89" w14:textId="4A741A68" w:rsidR="00C46297" w:rsidRPr="00632424" w:rsidRDefault="00C46297" w:rsidP="00C46297">
      <w:pPr>
        <w:pStyle w:val="ListParagraph"/>
        <w:numPr>
          <w:ilvl w:val="1"/>
          <w:numId w:val="15"/>
        </w:numPr>
        <w:spacing w:line="360" w:lineRule="auto"/>
        <w:rPr>
          <w:rFonts w:ascii="Verdana" w:hAnsi="Verdana"/>
        </w:rPr>
      </w:pPr>
      <w:r w:rsidRPr="00C46297">
        <w:rPr>
          <w:rFonts w:ascii="Verdana" w:hAnsi="Verdana"/>
          <w:b/>
          <w:bCs/>
        </w:rPr>
        <w:t xml:space="preserve">The NIHRC recommends that the Department for Work and Pensions liaises closely with the Department for Communities on measures set out in the Green Paper and ensures that measures are not brought forward in NI without a full equality impact assessment being carried out, at no detriment to the NI Executive’s block grant. </w:t>
      </w:r>
    </w:p>
    <w:p w14:paraId="488C78D0" w14:textId="77777777" w:rsidR="00632424" w:rsidRPr="00C46297" w:rsidRDefault="00632424" w:rsidP="00632424">
      <w:pPr>
        <w:pStyle w:val="ListParagraph"/>
        <w:spacing w:line="360" w:lineRule="auto"/>
        <w:rPr>
          <w:rFonts w:ascii="Verdana" w:hAnsi="Verdana"/>
        </w:rPr>
      </w:pPr>
    </w:p>
    <w:p w14:paraId="2248BE12" w14:textId="11C16788" w:rsidR="00C46297" w:rsidRPr="00632424" w:rsidRDefault="00C46297" w:rsidP="00632424">
      <w:pPr>
        <w:pStyle w:val="ListParagraph"/>
        <w:numPr>
          <w:ilvl w:val="1"/>
          <w:numId w:val="16"/>
        </w:numPr>
        <w:spacing w:line="360" w:lineRule="auto"/>
        <w:rPr>
          <w:rFonts w:ascii="Verdana" w:hAnsi="Verdana"/>
        </w:rPr>
      </w:pPr>
      <w:r w:rsidRPr="00632424">
        <w:rPr>
          <w:rFonts w:ascii="Verdana" w:hAnsi="Verdana"/>
          <w:b/>
          <w:bCs/>
        </w:rPr>
        <w:t>The NIHRC recommends that the Department for Work and Pensions consults meaningfully with people with disabilities and their representative organisations on changes to the Personal Independence Payment and the Universal Credit Health element, as well as the removal of the Work Capability Assessment set out in the Green Paper in advance of bringing forward these measures. The Department should include disabled people and their representative organisations in the design, implementation, monitoring and evaluation of any changes brought forward from the Green Paper, ensuring that this participation is meaningful.</w:t>
      </w:r>
    </w:p>
    <w:p w14:paraId="35842134" w14:textId="77777777" w:rsidR="00C46297" w:rsidRDefault="00C46297" w:rsidP="00C46297">
      <w:pPr>
        <w:spacing w:line="360" w:lineRule="auto"/>
        <w:rPr>
          <w:rFonts w:ascii="Verdana" w:hAnsi="Verdana"/>
        </w:rPr>
      </w:pPr>
    </w:p>
    <w:p w14:paraId="487C8EB4" w14:textId="269375C5" w:rsidR="00632424" w:rsidRDefault="00632424" w:rsidP="00632424">
      <w:pPr>
        <w:pStyle w:val="ListParagraph"/>
        <w:numPr>
          <w:ilvl w:val="1"/>
          <w:numId w:val="17"/>
        </w:numPr>
        <w:spacing w:line="360" w:lineRule="auto"/>
        <w:rPr>
          <w:rFonts w:ascii="Verdana" w:hAnsi="Verdana"/>
          <w:b/>
          <w:bCs/>
        </w:rPr>
      </w:pPr>
      <w:r w:rsidRPr="00632424">
        <w:rPr>
          <w:rFonts w:ascii="Verdana" w:hAnsi="Verdana"/>
          <w:b/>
          <w:bCs/>
        </w:rPr>
        <w:t>The NIHRC recommends that the Department for Work and Pensions works closely with the Department for Communities to create effective, tested employment support programmes, specific to NI’s context, produced alongside meaningful consultation with disabled people and their representative organisations before changes outlined in the Green Paper are introduced.</w:t>
      </w:r>
    </w:p>
    <w:p w14:paraId="60C93CF6" w14:textId="77777777" w:rsidR="00632424" w:rsidRDefault="00632424" w:rsidP="00632424">
      <w:pPr>
        <w:spacing w:line="360" w:lineRule="auto"/>
        <w:rPr>
          <w:rFonts w:ascii="Verdana" w:hAnsi="Verdana"/>
          <w:b/>
          <w:bCs/>
        </w:rPr>
      </w:pPr>
    </w:p>
    <w:p w14:paraId="2D8F3FD3" w14:textId="0ED37172" w:rsidR="002F68F0" w:rsidRPr="002F68F0" w:rsidRDefault="002F68F0" w:rsidP="002F68F0">
      <w:pPr>
        <w:spacing w:line="360" w:lineRule="auto"/>
        <w:ind w:left="709" w:hanging="709"/>
        <w:rPr>
          <w:rFonts w:ascii="Verdana" w:hAnsi="Verdana"/>
          <w:b/>
          <w:bCs/>
        </w:rPr>
      </w:pPr>
      <w:r>
        <w:rPr>
          <w:rFonts w:ascii="Verdana" w:hAnsi="Verdana"/>
          <w:b/>
          <w:bCs/>
        </w:rPr>
        <w:t xml:space="preserve">3.27 </w:t>
      </w:r>
      <w:r w:rsidRPr="002F68F0">
        <w:rPr>
          <w:rFonts w:ascii="Verdana" w:hAnsi="Verdana"/>
          <w:b/>
          <w:bCs/>
        </w:rPr>
        <w:t>The NIHRC recommends that the Department for Work and Pensions should demonstrate how provisions set out in the Pathways to Work Green Paper reflect the best use of the maximum available resources and uphold the principle of non-retrogression.</w:t>
      </w:r>
    </w:p>
    <w:p w14:paraId="6B90520C" w14:textId="77777777" w:rsidR="002F68F0" w:rsidRPr="00AE47C5" w:rsidRDefault="002F68F0" w:rsidP="002F68F0">
      <w:pPr>
        <w:pStyle w:val="ListParagraph"/>
        <w:spacing w:line="360" w:lineRule="auto"/>
        <w:rPr>
          <w:rFonts w:ascii="Verdana" w:hAnsi="Verdana"/>
        </w:rPr>
      </w:pPr>
    </w:p>
    <w:p w14:paraId="1AA892BE" w14:textId="5B889EEC" w:rsidR="002F68F0" w:rsidRPr="003E4DCF" w:rsidRDefault="00B217AA" w:rsidP="002F68F0">
      <w:pPr>
        <w:pStyle w:val="ListParagraph"/>
        <w:numPr>
          <w:ilvl w:val="1"/>
          <w:numId w:val="19"/>
        </w:numPr>
        <w:spacing w:line="360" w:lineRule="auto"/>
        <w:rPr>
          <w:rFonts w:ascii="Verdana" w:hAnsi="Verdana"/>
        </w:rPr>
      </w:pPr>
      <w:r>
        <w:rPr>
          <w:noProof/>
        </w:rPr>
        <mc:AlternateContent>
          <mc:Choice Requires="wps">
            <w:drawing>
              <wp:anchor distT="0" distB="0" distL="114300" distR="114300" simplePos="0" relativeHeight="251661312" behindDoc="1" locked="0" layoutInCell="1" allowOverlap="1" wp14:anchorId="79D7F197" wp14:editId="5CA06ABF">
                <wp:simplePos x="0" y="0"/>
                <wp:positionH relativeFrom="column">
                  <wp:posOffset>-195111</wp:posOffset>
                </wp:positionH>
                <wp:positionV relativeFrom="paragraph">
                  <wp:posOffset>-266671</wp:posOffset>
                </wp:positionV>
                <wp:extent cx="6702949" cy="9454100"/>
                <wp:effectExtent l="0" t="0" r="22225" b="13970"/>
                <wp:wrapNone/>
                <wp:docPr id="753453314" name="Rectangle 1"/>
                <wp:cNvGraphicFramePr/>
                <a:graphic xmlns:a="http://schemas.openxmlformats.org/drawingml/2006/main">
                  <a:graphicData uri="http://schemas.microsoft.com/office/word/2010/wordprocessingShape">
                    <wps:wsp>
                      <wps:cNvSpPr/>
                      <wps:spPr>
                        <a:xfrm>
                          <a:off x="0" y="0"/>
                          <a:ext cx="6702949" cy="94541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B2E26C" id="Rectangle 1" o:spid="_x0000_s1026" style="position:absolute;margin-left:-15.35pt;margin-top:-21pt;width:527.8pt;height:744.4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" fillcolor="window" strokecolor="windowText" strokeweight=".25pt"/>
            </w:pict>
          </mc:Fallback>
        </mc:AlternateContent>
      </w:r>
      <w:r w:rsidR="002F68F0" w:rsidRPr="002F68F0">
        <w:rPr>
          <w:rFonts w:ascii="Verdana" w:hAnsi="Verdana"/>
          <w:b/>
          <w:bCs/>
        </w:rPr>
        <w:t xml:space="preserve">The NIHRC recommends that the Department for Work and Pensions implements social security policy in line with the human rights model of disability, </w:t>
      </w:r>
      <w:proofErr w:type="gramStart"/>
      <w:r w:rsidR="002F68F0" w:rsidRPr="002F68F0">
        <w:rPr>
          <w:rFonts w:ascii="Verdana" w:hAnsi="Verdana"/>
          <w:b/>
          <w:bCs/>
        </w:rPr>
        <w:t>taking into account</w:t>
      </w:r>
      <w:proofErr w:type="gramEnd"/>
      <w:r w:rsidR="002F68F0" w:rsidRPr="002F68F0">
        <w:rPr>
          <w:rFonts w:ascii="Verdana" w:hAnsi="Verdana"/>
          <w:b/>
          <w:bCs/>
        </w:rPr>
        <w:t xml:space="preserve"> the recommendations of the Committee on the Rights of Persons with Disabilities.</w:t>
      </w:r>
    </w:p>
    <w:p w14:paraId="03C70238" w14:textId="77777777" w:rsidR="003E4DCF" w:rsidRDefault="003E4DCF" w:rsidP="003E4DCF">
      <w:pPr>
        <w:spacing w:line="360" w:lineRule="auto"/>
        <w:rPr>
          <w:rFonts w:ascii="Verdana" w:hAnsi="Verdana"/>
        </w:rPr>
      </w:pPr>
    </w:p>
    <w:p w14:paraId="5467DE34" w14:textId="2AE9600E" w:rsidR="003E4DCF" w:rsidRPr="003E4DCF" w:rsidRDefault="003E4DCF" w:rsidP="003E4DCF">
      <w:pPr>
        <w:pStyle w:val="ListParagraph"/>
        <w:numPr>
          <w:ilvl w:val="1"/>
          <w:numId w:val="20"/>
        </w:numPr>
        <w:spacing w:line="360" w:lineRule="auto"/>
        <w:rPr>
          <w:rFonts w:ascii="Verdana" w:hAnsi="Verdana"/>
        </w:rPr>
      </w:pPr>
      <w:r w:rsidRPr="003E4DCF">
        <w:rPr>
          <w:rFonts w:ascii="Verdana" w:hAnsi="Verdana"/>
          <w:b/>
          <w:bCs/>
        </w:rPr>
        <w:t>The NIHRC recommends that the Department for Work and Pensions produces a human rights impact assessment in respect of the measures set out in its Pathways to Work Green Paper. This assessment should consider the full range of human rights instruments to which the UK Government is party. The NIHRC further recommends that this human rights impact assessment is produced in close consultation with the NI Executive and takes account of the impact on the human rights of people living in NI.</w:t>
      </w:r>
    </w:p>
    <w:p w14:paraId="1025D1AC" w14:textId="77777777" w:rsidR="003E4DCF" w:rsidRDefault="003E4DCF" w:rsidP="003E4DCF">
      <w:pPr>
        <w:spacing w:line="360" w:lineRule="auto"/>
        <w:rPr>
          <w:rFonts w:ascii="Verdana" w:hAnsi="Verdana"/>
        </w:rPr>
      </w:pPr>
    </w:p>
    <w:p w14:paraId="6E225F8F" w14:textId="78B7B632" w:rsidR="003E4DCF" w:rsidRPr="0049571E" w:rsidRDefault="003E4DCF" w:rsidP="0049571E">
      <w:pPr>
        <w:pStyle w:val="ListParagraph"/>
        <w:numPr>
          <w:ilvl w:val="1"/>
          <w:numId w:val="24"/>
        </w:numPr>
        <w:spacing w:line="360" w:lineRule="auto"/>
        <w:rPr>
          <w:rFonts w:ascii="Verdana" w:hAnsi="Verdana"/>
          <w:b/>
          <w:bCs/>
        </w:rPr>
      </w:pPr>
      <w:r w:rsidRPr="0049571E">
        <w:rPr>
          <w:rFonts w:ascii="Verdana" w:hAnsi="Verdana"/>
          <w:b/>
          <w:bCs/>
        </w:rPr>
        <w:t xml:space="preserve">The NIHRC recommends that the Department for Work and Pensions does not change the eligibility criteria for Personal Independence Payments without careful and robust consultation with disabled people and their representative organisations, including in NI. </w:t>
      </w:r>
    </w:p>
    <w:p w14:paraId="37B8D5F4" w14:textId="77777777" w:rsidR="003E4DCF" w:rsidRPr="00957D66" w:rsidRDefault="003E4DCF" w:rsidP="003E4DCF">
      <w:pPr>
        <w:pStyle w:val="ListParagraph"/>
        <w:spacing w:line="360" w:lineRule="auto"/>
        <w:rPr>
          <w:rFonts w:ascii="Verdana" w:hAnsi="Verdana"/>
          <w:b/>
          <w:bCs/>
        </w:rPr>
      </w:pPr>
    </w:p>
    <w:p w14:paraId="48F4C5C9" w14:textId="781B13D8" w:rsidR="003E4DCF" w:rsidRPr="0049571E" w:rsidRDefault="003E4DCF" w:rsidP="0049571E">
      <w:pPr>
        <w:pStyle w:val="ListParagraph"/>
        <w:numPr>
          <w:ilvl w:val="1"/>
          <w:numId w:val="24"/>
        </w:numPr>
        <w:spacing w:line="360" w:lineRule="auto"/>
        <w:rPr>
          <w:rFonts w:ascii="Verdana" w:hAnsi="Verdana"/>
          <w:b/>
          <w:bCs/>
        </w:rPr>
      </w:pPr>
      <w:r w:rsidRPr="0049571E">
        <w:rPr>
          <w:rFonts w:ascii="Verdana" w:hAnsi="Verdana"/>
          <w:b/>
          <w:bCs/>
        </w:rPr>
        <w:t>The NIHRC recommends that the Department for Work and Pensions continues to ensure that the health element of Universal Credit rises with inflation and that any cuts to the health entitlement are delayed until the Department has conducted a cumulative impact assessment of these measures on persons with disabilities and long-term health conditions, including in NI.</w:t>
      </w:r>
    </w:p>
    <w:p w14:paraId="7154892E" w14:textId="77777777" w:rsidR="003E4DCF" w:rsidRPr="00593A11" w:rsidRDefault="003E4DCF" w:rsidP="003E4DCF">
      <w:pPr>
        <w:pStyle w:val="ListParagraph"/>
        <w:spacing w:line="360" w:lineRule="auto"/>
        <w:rPr>
          <w:rFonts w:ascii="Verdana" w:hAnsi="Verdana"/>
          <w:b/>
          <w:bCs/>
        </w:rPr>
      </w:pPr>
    </w:p>
    <w:p w14:paraId="531FAFC2" w14:textId="112C062B" w:rsidR="003E4DCF" w:rsidRDefault="003E4DCF" w:rsidP="0049571E">
      <w:pPr>
        <w:pStyle w:val="ListParagraph"/>
        <w:numPr>
          <w:ilvl w:val="1"/>
          <w:numId w:val="24"/>
        </w:numPr>
        <w:spacing w:line="360" w:lineRule="auto"/>
        <w:rPr>
          <w:rFonts w:ascii="Verdana" w:hAnsi="Verdana"/>
          <w:b/>
          <w:bCs/>
        </w:rPr>
      </w:pPr>
      <w:r w:rsidRPr="00EE46B1">
        <w:rPr>
          <w:rFonts w:ascii="Verdana" w:hAnsi="Verdana"/>
          <w:b/>
          <w:bCs/>
        </w:rPr>
        <w:t xml:space="preserve">The NIHRC recommends that any changes to the Personal </w:t>
      </w:r>
      <w:r w:rsidR="0049571E" w:rsidRPr="00EE46B1">
        <w:rPr>
          <w:rFonts w:ascii="Verdana" w:hAnsi="Verdana"/>
          <w:b/>
          <w:bCs/>
        </w:rPr>
        <w:t>Independence</w:t>
      </w:r>
      <w:r w:rsidRPr="00EE46B1">
        <w:rPr>
          <w:rFonts w:ascii="Verdana" w:hAnsi="Verdana"/>
          <w:b/>
          <w:bCs/>
        </w:rPr>
        <w:t xml:space="preserve"> Payment and health element of Universal Credit introduced are introduced alongside a robust support and engagement package, developed in conjunction with disabled </w:t>
      </w:r>
      <w:r w:rsidRPr="00EE46B1">
        <w:rPr>
          <w:rFonts w:ascii="Verdana" w:hAnsi="Verdana"/>
          <w:b/>
          <w:bCs/>
        </w:rPr>
        <w:lastRenderedPageBreak/>
        <w:t xml:space="preserve">people and their representative organisations, including in NI, to </w:t>
      </w:r>
      <w:r w:rsidR="00B217AA">
        <w:rPr>
          <w:noProof/>
        </w:rPr>
        <mc:AlternateContent>
          <mc:Choice Requires="wps">
            <w:drawing>
              <wp:anchor distT="0" distB="0" distL="114300" distR="114300" simplePos="0" relativeHeight="251663360" behindDoc="1" locked="0" layoutInCell="1" allowOverlap="1" wp14:anchorId="60F55EDC" wp14:editId="2B8FAA1D">
                <wp:simplePos x="0" y="0"/>
                <wp:positionH relativeFrom="margin">
                  <wp:posOffset>-182880</wp:posOffset>
                </wp:positionH>
                <wp:positionV relativeFrom="paragraph">
                  <wp:posOffset>-198451</wp:posOffset>
                </wp:positionV>
                <wp:extent cx="6702949" cy="9276025"/>
                <wp:effectExtent l="0" t="0" r="22225" b="20955"/>
                <wp:wrapNone/>
                <wp:docPr id="591029094" name="Rectangle 1"/>
                <wp:cNvGraphicFramePr/>
                <a:graphic xmlns:a="http://schemas.openxmlformats.org/drawingml/2006/main">
                  <a:graphicData uri="http://schemas.microsoft.com/office/word/2010/wordprocessingShape">
                    <wps:wsp>
                      <wps:cNvSpPr/>
                      <wps:spPr>
                        <a:xfrm>
                          <a:off x="0" y="0"/>
                          <a:ext cx="6702949" cy="927602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8882B3" id="Rectangle 1" o:spid="_x0000_s1026" style="position:absolute;margin-left:-14.4pt;margin-top:-15.65pt;width:527.8pt;height:730.4pt;z-index:-2516531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" fillcolor="window" strokecolor="windowText" strokeweight=".25pt">
                <w10:wrap anchorx="margin"/>
              </v:rect>
            </w:pict>
          </mc:Fallback>
        </mc:AlternateContent>
      </w:r>
      <w:r w:rsidRPr="00EE46B1">
        <w:rPr>
          <w:rFonts w:ascii="Verdana" w:hAnsi="Verdana"/>
          <w:b/>
          <w:bCs/>
        </w:rPr>
        <w:t>ensure that transition to new systems is well understood and the risk of affected individuals’ increased vulnerability to poverty is mitigated.</w:t>
      </w:r>
    </w:p>
    <w:p w14:paraId="6E0CB6F1" w14:textId="77777777" w:rsidR="0049571E" w:rsidRPr="0049571E" w:rsidRDefault="0049571E" w:rsidP="0049571E">
      <w:pPr>
        <w:pStyle w:val="ListParagraph"/>
        <w:rPr>
          <w:rFonts w:ascii="Verdana" w:hAnsi="Verdana"/>
          <w:b/>
          <w:bCs/>
        </w:rPr>
      </w:pPr>
    </w:p>
    <w:p w14:paraId="3C6A035C" w14:textId="3E52E975" w:rsidR="0049571E" w:rsidRPr="0049571E" w:rsidRDefault="0049571E" w:rsidP="0049571E">
      <w:pPr>
        <w:pStyle w:val="ListParagraph"/>
        <w:numPr>
          <w:ilvl w:val="1"/>
          <w:numId w:val="26"/>
        </w:numPr>
        <w:spacing w:line="360" w:lineRule="auto"/>
        <w:rPr>
          <w:rFonts w:ascii="Verdana" w:hAnsi="Verdana"/>
          <w:b/>
          <w:bCs/>
        </w:rPr>
      </w:pPr>
      <w:r w:rsidRPr="0049571E">
        <w:rPr>
          <w:rFonts w:ascii="Verdana" w:hAnsi="Verdana"/>
          <w:b/>
          <w:bCs/>
        </w:rPr>
        <w:t xml:space="preserve">The NIHRC recommends that the Department for Work and Pensions engages with the Department for Communities on its proposals to move to a single assessment system for Personal Independence Payments and the health element of Universal Credit as a matter of urgency. Both Departments should ensure that they engage with disabled people and their representative organisations to understand the potential impact of any changes on these matters as a matter of urgency. </w:t>
      </w:r>
    </w:p>
    <w:p w14:paraId="4A0FBE28" w14:textId="77777777" w:rsidR="0049571E" w:rsidRPr="00200354" w:rsidRDefault="0049571E" w:rsidP="0049571E">
      <w:pPr>
        <w:pStyle w:val="ListParagraph"/>
        <w:spacing w:line="360" w:lineRule="auto"/>
        <w:rPr>
          <w:rFonts w:ascii="Verdana" w:hAnsi="Verdana"/>
          <w:b/>
          <w:bCs/>
        </w:rPr>
      </w:pPr>
    </w:p>
    <w:p w14:paraId="58FEE749" w14:textId="644D04F6" w:rsidR="0049571E" w:rsidRPr="003C1CFE" w:rsidRDefault="0049571E" w:rsidP="003C1CFE">
      <w:pPr>
        <w:pStyle w:val="ListParagraph"/>
        <w:numPr>
          <w:ilvl w:val="1"/>
          <w:numId w:val="26"/>
        </w:numPr>
        <w:spacing w:line="360" w:lineRule="auto"/>
        <w:rPr>
          <w:rFonts w:ascii="Verdana" w:hAnsi="Verdana"/>
          <w:b/>
          <w:bCs/>
        </w:rPr>
      </w:pPr>
      <w:r w:rsidRPr="003C1CFE">
        <w:rPr>
          <w:rFonts w:ascii="Verdana" w:hAnsi="Verdana"/>
          <w:b/>
          <w:bCs/>
        </w:rPr>
        <w:t>The NIHRC recommends that the Department for Work and Pensions and the Department for Communities engage with disabled people, their representative organisations and organisations which provide advice on social security to determine issues with Personal Independence Payments assessments and address them, ensuring that such assessment processes are consistently monitored to ensure they are operating effectively for service users.</w:t>
      </w:r>
    </w:p>
    <w:p w14:paraId="58BA95AC" w14:textId="77777777" w:rsidR="0049571E" w:rsidRPr="0049571E" w:rsidRDefault="0049571E" w:rsidP="0049571E">
      <w:pPr>
        <w:pStyle w:val="ListParagraph"/>
        <w:rPr>
          <w:rFonts w:ascii="Verdana" w:hAnsi="Verdana"/>
          <w:b/>
          <w:bCs/>
        </w:rPr>
      </w:pPr>
    </w:p>
    <w:p w14:paraId="251914AD" w14:textId="2304CF38" w:rsidR="0049571E" w:rsidRDefault="0049571E" w:rsidP="0049571E">
      <w:pPr>
        <w:spacing w:line="360" w:lineRule="auto"/>
        <w:ind w:left="720" w:hanging="720"/>
        <w:rPr>
          <w:rFonts w:ascii="Verdana" w:hAnsi="Verdana"/>
          <w:b/>
          <w:bCs/>
        </w:rPr>
      </w:pPr>
      <w:r w:rsidRPr="0049571E">
        <w:rPr>
          <w:rFonts w:ascii="Verdana" w:hAnsi="Verdana"/>
          <w:b/>
          <w:bCs/>
        </w:rPr>
        <w:t xml:space="preserve">4.31 </w:t>
      </w:r>
      <w:r>
        <w:rPr>
          <w:rFonts w:ascii="Verdana" w:hAnsi="Verdana"/>
          <w:b/>
          <w:bCs/>
        </w:rPr>
        <w:tab/>
      </w:r>
      <w:r w:rsidRPr="0049571E">
        <w:rPr>
          <w:rFonts w:ascii="Verdana" w:hAnsi="Verdana"/>
          <w:b/>
          <w:bCs/>
        </w:rPr>
        <w:t xml:space="preserve">The NIHRC recommends that the Department for Work and Pensions engages with the Department for Communities and makes publicly available the required data to sufficiently analyse the impact of the proposal to delay access to the health element of universal credit until 22 years of age. </w:t>
      </w:r>
    </w:p>
    <w:p w14:paraId="37B37BD5" w14:textId="77777777" w:rsidR="003C1CFE" w:rsidRDefault="003C1CFE" w:rsidP="0049571E">
      <w:pPr>
        <w:spacing w:line="360" w:lineRule="auto"/>
        <w:ind w:left="720" w:hanging="720"/>
        <w:rPr>
          <w:rFonts w:ascii="Verdana" w:hAnsi="Verdana"/>
          <w:b/>
          <w:bCs/>
        </w:rPr>
      </w:pPr>
    </w:p>
    <w:p w14:paraId="7B26A2BB" w14:textId="4A79119A" w:rsidR="003C1CFE" w:rsidRPr="006464FC" w:rsidRDefault="003C1CFE" w:rsidP="006464FC">
      <w:pPr>
        <w:pStyle w:val="ListParagraph"/>
        <w:numPr>
          <w:ilvl w:val="1"/>
          <w:numId w:val="29"/>
        </w:numPr>
        <w:spacing w:line="360" w:lineRule="auto"/>
        <w:rPr>
          <w:rFonts w:ascii="Verdana" w:hAnsi="Verdana"/>
        </w:rPr>
      </w:pPr>
      <w:r w:rsidRPr="006464FC">
        <w:rPr>
          <w:rFonts w:ascii="Verdana" w:hAnsi="Verdana"/>
          <w:b/>
          <w:bCs/>
        </w:rPr>
        <w:t xml:space="preserve">The NIHRC recommends that the Department for Work and Pensions ensures that changes to social security entitlements do not leave children with disabilities and their families and carers at a financial </w:t>
      </w:r>
      <w:proofErr w:type="gramStart"/>
      <w:r w:rsidRPr="006464FC">
        <w:rPr>
          <w:rFonts w:ascii="Verdana" w:hAnsi="Verdana"/>
          <w:b/>
          <w:bCs/>
        </w:rPr>
        <w:t>disadvantage, and</w:t>
      </w:r>
      <w:proofErr w:type="gramEnd"/>
      <w:r w:rsidRPr="006464FC">
        <w:rPr>
          <w:rFonts w:ascii="Verdana" w:hAnsi="Verdana"/>
          <w:b/>
          <w:bCs/>
        </w:rPr>
        <w:t xml:space="preserve"> ensure that children with disabilities </w:t>
      </w:r>
      <w:r w:rsidR="002C1AFE">
        <w:rPr>
          <w:noProof/>
        </w:rPr>
        <w:lastRenderedPageBreak/>
        <mc:AlternateContent>
          <mc:Choice Requires="wps">
            <w:drawing>
              <wp:anchor distT="0" distB="0" distL="114300" distR="114300" simplePos="0" relativeHeight="251665408" behindDoc="1" locked="0" layoutInCell="1" allowOverlap="1" wp14:anchorId="21A510BF" wp14:editId="30C8B970">
                <wp:simplePos x="0" y="0"/>
                <wp:positionH relativeFrom="margin">
                  <wp:posOffset>-234867</wp:posOffset>
                </wp:positionH>
                <wp:positionV relativeFrom="paragraph">
                  <wp:posOffset>-115598</wp:posOffset>
                </wp:positionV>
                <wp:extent cx="6702949" cy="5987333"/>
                <wp:effectExtent l="0" t="0" r="22225" b="13970"/>
                <wp:wrapNone/>
                <wp:docPr id="839667705" name="Rectangle 1"/>
                <wp:cNvGraphicFramePr/>
                <a:graphic xmlns:a="http://schemas.openxmlformats.org/drawingml/2006/main">
                  <a:graphicData uri="http://schemas.microsoft.com/office/word/2010/wordprocessingShape">
                    <wps:wsp>
                      <wps:cNvSpPr/>
                      <wps:spPr>
                        <a:xfrm>
                          <a:off x="0" y="0"/>
                          <a:ext cx="6702949" cy="5987333"/>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45E765" id="Rectangle 1" o:spid="_x0000_s1026" style="position:absolute;margin-left:-18.5pt;margin-top:-9.1pt;width:527.8pt;height:471.45pt;z-index:-2516510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" fillcolor="window" strokecolor="windowText" strokeweight=".25pt">
                <w10:wrap anchorx="margin"/>
              </v:rect>
            </w:pict>
          </mc:Fallback>
        </mc:AlternateContent>
      </w:r>
      <w:r w:rsidRPr="006464FC">
        <w:rPr>
          <w:rFonts w:ascii="Verdana" w:hAnsi="Verdana"/>
          <w:b/>
          <w:bCs/>
        </w:rPr>
        <w:t xml:space="preserve">are in receipt of social security payments that are sufficient to meet their additional required needs. </w:t>
      </w:r>
    </w:p>
    <w:p w14:paraId="143DC949" w14:textId="77777777" w:rsidR="003C1CFE" w:rsidRPr="00135BFE" w:rsidRDefault="003C1CFE" w:rsidP="003C1CFE">
      <w:pPr>
        <w:pStyle w:val="ListParagraph"/>
        <w:spacing w:line="360" w:lineRule="auto"/>
        <w:ind w:left="709"/>
        <w:rPr>
          <w:rFonts w:ascii="Verdana" w:hAnsi="Verdana"/>
        </w:rPr>
      </w:pPr>
    </w:p>
    <w:p w14:paraId="215FB7FC" w14:textId="4CBC6BAA" w:rsidR="003C1CFE" w:rsidRPr="006464FC" w:rsidRDefault="003C1CFE" w:rsidP="006464FC">
      <w:pPr>
        <w:pStyle w:val="ListParagraph"/>
        <w:numPr>
          <w:ilvl w:val="1"/>
          <w:numId w:val="29"/>
        </w:numPr>
        <w:spacing w:line="360" w:lineRule="auto"/>
        <w:rPr>
          <w:rFonts w:ascii="Verdana" w:hAnsi="Verdana"/>
        </w:rPr>
      </w:pPr>
      <w:r w:rsidRPr="006464FC">
        <w:rPr>
          <w:rFonts w:ascii="Verdana" w:hAnsi="Verdana"/>
          <w:b/>
          <w:bCs/>
        </w:rPr>
        <w:t>The NIHRC recommends that the Department for Work and Pensions consults effectively and robustly with children and young people with disabilities on any changes to entitlements to social security benefits which may affect them, ensuring that children and young people with disabilities have access to whatever mode of communication they need to facilitate expressing their views.</w:t>
      </w:r>
    </w:p>
    <w:p w14:paraId="33E84949" w14:textId="77777777" w:rsidR="006464FC" w:rsidRPr="006464FC" w:rsidRDefault="006464FC" w:rsidP="006464FC">
      <w:pPr>
        <w:pStyle w:val="ListParagraph"/>
        <w:rPr>
          <w:rFonts w:ascii="Verdana" w:hAnsi="Verdana"/>
        </w:rPr>
      </w:pPr>
    </w:p>
    <w:p w14:paraId="03D994AA" w14:textId="6AF903C7" w:rsidR="006464FC" w:rsidRPr="006464FC" w:rsidRDefault="006464FC" w:rsidP="006464FC">
      <w:pPr>
        <w:pStyle w:val="ListParagraph"/>
        <w:numPr>
          <w:ilvl w:val="1"/>
          <w:numId w:val="30"/>
        </w:numPr>
        <w:spacing w:line="360" w:lineRule="auto"/>
        <w:rPr>
          <w:rFonts w:ascii="Verdana" w:hAnsi="Verdana"/>
        </w:rPr>
      </w:pPr>
      <w:r w:rsidRPr="006464FC">
        <w:rPr>
          <w:rFonts w:ascii="Verdana" w:hAnsi="Verdana"/>
          <w:b/>
          <w:bCs/>
        </w:rPr>
        <w:t>The NIHRC recommends that the Department for Work and Pensions ensures that additional funding made available to the NI Executive for use toward employment support is ring-fenced for that purpose.</w:t>
      </w:r>
    </w:p>
    <w:p w14:paraId="100A0F43" w14:textId="77777777" w:rsidR="006464FC" w:rsidRDefault="006464FC" w:rsidP="006464FC">
      <w:pPr>
        <w:spacing w:line="360" w:lineRule="auto"/>
        <w:rPr>
          <w:rFonts w:ascii="Verdana" w:hAnsi="Verdana"/>
        </w:rPr>
      </w:pPr>
    </w:p>
    <w:p w14:paraId="01934340" w14:textId="65C3BB36" w:rsidR="006464FC" w:rsidRPr="006464FC" w:rsidRDefault="006464FC" w:rsidP="006464FC">
      <w:pPr>
        <w:pStyle w:val="ListParagraph"/>
        <w:numPr>
          <w:ilvl w:val="1"/>
          <w:numId w:val="31"/>
        </w:numPr>
        <w:spacing w:line="360" w:lineRule="auto"/>
        <w:rPr>
          <w:rFonts w:ascii="Verdana" w:hAnsi="Verdana"/>
          <w:b/>
          <w:bCs/>
        </w:rPr>
      </w:pPr>
      <w:r w:rsidRPr="006464FC">
        <w:rPr>
          <w:rFonts w:ascii="Verdana" w:hAnsi="Verdana"/>
          <w:b/>
          <w:bCs/>
        </w:rPr>
        <w:t xml:space="preserve">The NIHRC recommends that the Department for Work and Pensions takes immediate steps to set out exactly what it means by introducing sanctions as a last resort and ensures that disabled people and their representative organisations are effectively consulted on these proposals. </w:t>
      </w:r>
    </w:p>
    <w:p w14:paraId="77D6AC0C" w14:textId="77777777" w:rsidR="006464FC" w:rsidRDefault="006464FC" w:rsidP="006464FC">
      <w:pPr>
        <w:spacing w:line="360" w:lineRule="auto"/>
        <w:rPr>
          <w:rFonts w:ascii="Verdana" w:hAnsi="Verdana"/>
        </w:rPr>
      </w:pPr>
    </w:p>
    <w:p w14:paraId="34B52699" w14:textId="77777777" w:rsidR="006464FC" w:rsidRDefault="006464FC" w:rsidP="006464FC">
      <w:pPr>
        <w:spacing w:line="360" w:lineRule="auto"/>
        <w:rPr>
          <w:rFonts w:ascii="Verdana" w:hAnsi="Verdana"/>
        </w:rPr>
      </w:pPr>
    </w:p>
    <w:p w14:paraId="3EDE0E31" w14:textId="77777777" w:rsidR="006464FC" w:rsidRPr="006464FC" w:rsidRDefault="006464FC" w:rsidP="006464FC">
      <w:pPr>
        <w:spacing w:line="360" w:lineRule="auto"/>
        <w:rPr>
          <w:rFonts w:ascii="Verdana" w:hAnsi="Verdana"/>
        </w:rPr>
      </w:pPr>
    </w:p>
    <w:p w14:paraId="1F437D32" w14:textId="77777777" w:rsidR="003C1CFE" w:rsidRPr="0049571E" w:rsidRDefault="003C1CFE" w:rsidP="0049571E">
      <w:pPr>
        <w:spacing w:line="360" w:lineRule="auto"/>
        <w:ind w:left="720" w:hanging="720"/>
        <w:rPr>
          <w:rFonts w:ascii="Verdana" w:hAnsi="Verdana"/>
        </w:rPr>
      </w:pPr>
    </w:p>
    <w:p w14:paraId="2E67A1E5" w14:textId="4E3B05BE" w:rsidR="0049571E" w:rsidRPr="0049571E" w:rsidRDefault="0049571E" w:rsidP="0049571E">
      <w:pPr>
        <w:spacing w:line="360" w:lineRule="auto"/>
        <w:rPr>
          <w:rFonts w:ascii="Verdana" w:hAnsi="Verdana"/>
          <w:b/>
          <w:bCs/>
        </w:rPr>
      </w:pPr>
    </w:p>
    <w:p w14:paraId="0E29A0DB" w14:textId="77777777" w:rsidR="0049571E" w:rsidRPr="0049571E" w:rsidRDefault="0049571E" w:rsidP="0049571E">
      <w:pPr>
        <w:spacing w:line="360" w:lineRule="auto"/>
        <w:rPr>
          <w:rFonts w:ascii="Verdana" w:hAnsi="Verdana"/>
          <w:b/>
          <w:bCs/>
        </w:rPr>
      </w:pPr>
    </w:p>
    <w:p w14:paraId="3705A1F1" w14:textId="77777777" w:rsidR="003E4DCF" w:rsidRPr="003E4DCF" w:rsidRDefault="003E4DCF" w:rsidP="003E4DCF">
      <w:pPr>
        <w:spacing w:line="360" w:lineRule="auto"/>
        <w:rPr>
          <w:rFonts w:ascii="Verdana" w:hAnsi="Verdana"/>
        </w:rPr>
      </w:pPr>
    </w:p>
    <w:p w14:paraId="19650B1C" w14:textId="77777777" w:rsidR="003E4DCF" w:rsidRPr="003E4DCF" w:rsidRDefault="003E4DCF" w:rsidP="003E4DCF">
      <w:pPr>
        <w:spacing w:line="360" w:lineRule="auto"/>
        <w:rPr>
          <w:rFonts w:ascii="Verdana" w:hAnsi="Verdana"/>
        </w:rPr>
      </w:pPr>
    </w:p>
    <w:p w14:paraId="2708F6D8" w14:textId="77777777" w:rsidR="00632424" w:rsidRPr="00632424" w:rsidRDefault="00632424" w:rsidP="00632424">
      <w:pPr>
        <w:spacing w:line="360" w:lineRule="auto"/>
        <w:rPr>
          <w:rFonts w:ascii="Verdana" w:hAnsi="Verdana"/>
          <w:b/>
          <w:bCs/>
        </w:rPr>
      </w:pPr>
    </w:p>
    <w:p w14:paraId="79FF0C01" w14:textId="77777777" w:rsidR="00632424" w:rsidRDefault="00632424" w:rsidP="00C46297">
      <w:pPr>
        <w:spacing w:line="360" w:lineRule="auto"/>
        <w:rPr>
          <w:rFonts w:ascii="Verdana" w:hAnsi="Verdana"/>
        </w:rPr>
      </w:pPr>
    </w:p>
    <w:p w14:paraId="32BE0583" w14:textId="77777777" w:rsidR="00C46297" w:rsidRPr="00C46297" w:rsidRDefault="00C46297" w:rsidP="00C46297">
      <w:pPr>
        <w:spacing w:line="360" w:lineRule="auto"/>
        <w:rPr>
          <w:rFonts w:ascii="Verdana" w:hAnsi="Verdana"/>
        </w:rPr>
      </w:pPr>
    </w:p>
    <w:p w14:paraId="00AF1692" w14:textId="77777777" w:rsidR="00C46297" w:rsidRDefault="00C46297" w:rsidP="00F83B3E"/>
    <w:p w14:paraId="61E47151" w14:textId="77777777" w:rsidR="007569C1" w:rsidRDefault="00ED40E9" w:rsidP="006464FC">
      <w:pPr>
        <w:pStyle w:val="Heading1"/>
        <w:numPr>
          <w:ilvl w:val="0"/>
          <w:numId w:val="28"/>
        </w:numPr>
        <w:spacing w:line="360" w:lineRule="auto"/>
      </w:pPr>
      <w:bookmarkStart w:id="1" w:name="_Toc201648652"/>
      <w:r>
        <w:lastRenderedPageBreak/>
        <w:t>Introduction</w:t>
      </w:r>
      <w:bookmarkEnd w:id="1"/>
    </w:p>
    <w:p w14:paraId="75BD3796" w14:textId="77777777" w:rsidR="005B3AE3" w:rsidRDefault="005B3AE3" w:rsidP="00A361AB">
      <w:pPr>
        <w:spacing w:line="360" w:lineRule="auto"/>
      </w:pPr>
    </w:p>
    <w:p w14:paraId="08EBF2F5" w14:textId="38CC1B4A" w:rsidR="00F367B3" w:rsidRPr="00F367B3" w:rsidRDefault="005B3AE3" w:rsidP="006464FC">
      <w:pPr>
        <w:pStyle w:val="ListParagraph"/>
        <w:numPr>
          <w:ilvl w:val="1"/>
          <w:numId w:val="28"/>
        </w:numPr>
        <w:spacing w:line="360" w:lineRule="auto"/>
        <w:ind w:left="709"/>
      </w:pPr>
      <w:r w:rsidRPr="005B3AE3">
        <w:rPr>
          <w:rFonts w:ascii="Verdana" w:hAnsi="Verdana" w:cs="Arial"/>
        </w:rPr>
        <w:t>The Northern Ireland Human Rights Commission (the NIHRC), pursuant to section 69(1) of the Northern Ireland Act 1998, reviews the adequacy and effectiveness of law and practice relating to the protection of human rights in Northern Ireland (NI). The NIHRC is also required, under section 78A(1) of the Northern Ireland Act 1998, to monitor the implementation of Article 2 of the Windsor Framework, to ensure there is no diminution of rights protected in the “Rights, Safeguards and Equality of Opportunity” chapter of the Belfast (Good Friday) Agreement 1998 as a result of the UK’s withdrawal from the EU</w:t>
      </w:r>
      <w:r>
        <w:rPr>
          <w:rFonts w:ascii="Verdana" w:hAnsi="Verdana" w:cs="Arial"/>
        </w:rPr>
        <w:t>.</w:t>
      </w:r>
      <w:r>
        <w:rPr>
          <w:rStyle w:val="FootnoteReference"/>
          <w:rFonts w:ascii="Verdana" w:hAnsi="Verdana" w:cs="Arial"/>
        </w:rPr>
        <w:footnoteReference w:id="2"/>
      </w:r>
      <w:r w:rsidR="009059BE">
        <w:rPr>
          <w:rFonts w:ascii="Verdana" w:hAnsi="Verdana" w:cs="Arial"/>
        </w:rPr>
        <w:t xml:space="preserve"> </w:t>
      </w:r>
      <w:r w:rsidR="009059BE" w:rsidRPr="00F367B3">
        <w:rPr>
          <w:rFonts w:ascii="Verdana" w:hAnsi="Verdana" w:cs="Arial"/>
        </w:rPr>
        <w:t xml:space="preserve">In accordance with these functions, the following advice is submitted to </w:t>
      </w:r>
      <w:r w:rsidR="009059BE">
        <w:rPr>
          <w:rFonts w:ascii="Verdana" w:hAnsi="Verdana" w:cs="Arial"/>
        </w:rPr>
        <w:t>the Department for Work and Pensions</w:t>
      </w:r>
      <w:r w:rsidR="00BF049B">
        <w:rPr>
          <w:rFonts w:ascii="Verdana" w:hAnsi="Verdana" w:cs="Arial"/>
        </w:rPr>
        <w:t xml:space="preserve">’ consultation on its Pathways to Work Green Paper. </w:t>
      </w:r>
    </w:p>
    <w:p w14:paraId="13CDB7F1" w14:textId="77777777" w:rsidR="00F367B3" w:rsidRPr="00F367B3" w:rsidRDefault="00F367B3" w:rsidP="00A361AB">
      <w:pPr>
        <w:pStyle w:val="ListParagraph"/>
        <w:spacing w:line="360" w:lineRule="auto"/>
        <w:ind w:left="709"/>
      </w:pPr>
    </w:p>
    <w:p w14:paraId="7EA4A04A" w14:textId="2D702059" w:rsidR="008A4C43" w:rsidRPr="004663CE" w:rsidRDefault="005B3AE3" w:rsidP="006464FC">
      <w:pPr>
        <w:pStyle w:val="ListParagraph"/>
        <w:numPr>
          <w:ilvl w:val="1"/>
          <w:numId w:val="28"/>
        </w:numPr>
        <w:spacing w:line="360" w:lineRule="auto"/>
        <w:ind w:left="709"/>
      </w:pPr>
      <w:r w:rsidRPr="00F367B3">
        <w:rPr>
          <w:rFonts w:ascii="Verdana" w:hAnsi="Verdana" w:cs="Arial"/>
        </w:rPr>
        <w:t>The NIHRC bases its advice on the full range of internationally accepted human rights standards, including the European Convention on Human Rights (ECHR), as incorporated by the Human Rights Act 1998, and treaty obligations of the Council of Europe (</w:t>
      </w:r>
      <w:proofErr w:type="spellStart"/>
      <w:r w:rsidRPr="00F367B3">
        <w:rPr>
          <w:rFonts w:ascii="Verdana" w:hAnsi="Verdana" w:cs="Arial"/>
        </w:rPr>
        <w:t>CoE</w:t>
      </w:r>
      <w:proofErr w:type="spellEnd"/>
      <w:r w:rsidRPr="00F367B3">
        <w:rPr>
          <w:rFonts w:ascii="Verdana" w:hAnsi="Verdana" w:cs="Arial"/>
        </w:rPr>
        <w:t>) and United Nations (UN). The relevant regional and international treaties in this context include:</w:t>
      </w:r>
    </w:p>
    <w:p w14:paraId="355CD638" w14:textId="77777777" w:rsidR="004663CE" w:rsidRDefault="004663CE" w:rsidP="00A361AB">
      <w:pPr>
        <w:pStyle w:val="ListParagraph"/>
        <w:spacing w:line="360" w:lineRule="auto"/>
      </w:pPr>
    </w:p>
    <w:p w14:paraId="17D083CC" w14:textId="30422610" w:rsidR="004663CE" w:rsidRDefault="004663CE" w:rsidP="00A361AB">
      <w:pPr>
        <w:pStyle w:val="ListParagraph"/>
        <w:numPr>
          <w:ilvl w:val="0"/>
          <w:numId w:val="13"/>
        </w:numPr>
        <w:spacing w:line="360" w:lineRule="auto"/>
        <w:rPr>
          <w:rFonts w:ascii="Verdana" w:hAnsi="Verdana"/>
        </w:rPr>
      </w:pPr>
      <w:r w:rsidRPr="003D5FD1">
        <w:rPr>
          <w:rFonts w:ascii="Verdana" w:hAnsi="Verdana"/>
        </w:rPr>
        <w:t>European Convention on Human Rights 1950 (ECHR);</w:t>
      </w:r>
      <w:r w:rsidRPr="003D5FD1">
        <w:rPr>
          <w:rStyle w:val="FootnoteReference"/>
          <w:rFonts w:ascii="Verdana" w:hAnsi="Verdana"/>
        </w:rPr>
        <w:footnoteReference w:id="3"/>
      </w:r>
    </w:p>
    <w:p w14:paraId="4A70FF3E" w14:textId="4C505E3C" w:rsidR="001260B2" w:rsidRPr="003D5FD1" w:rsidRDefault="001260B2" w:rsidP="00A361AB">
      <w:pPr>
        <w:pStyle w:val="ListParagraph"/>
        <w:numPr>
          <w:ilvl w:val="0"/>
          <w:numId w:val="13"/>
        </w:numPr>
        <w:spacing w:line="360" w:lineRule="auto"/>
        <w:rPr>
          <w:rFonts w:ascii="Verdana" w:hAnsi="Verdana"/>
        </w:rPr>
      </w:pPr>
      <w:r>
        <w:rPr>
          <w:rFonts w:ascii="Verdana" w:hAnsi="Verdana"/>
        </w:rPr>
        <w:t xml:space="preserve">UN </w:t>
      </w:r>
      <w:r w:rsidR="006D7D11">
        <w:rPr>
          <w:rFonts w:ascii="Verdana" w:hAnsi="Verdana"/>
        </w:rPr>
        <w:t xml:space="preserve">International </w:t>
      </w:r>
      <w:r>
        <w:rPr>
          <w:rFonts w:ascii="Verdana" w:hAnsi="Verdana"/>
        </w:rPr>
        <w:t>Covenant on Civil and Political Rights (UN ICCPR);</w:t>
      </w:r>
      <w:r>
        <w:rPr>
          <w:rStyle w:val="FootnoteReference"/>
          <w:rFonts w:ascii="Verdana" w:hAnsi="Verdana"/>
        </w:rPr>
        <w:footnoteReference w:id="4"/>
      </w:r>
    </w:p>
    <w:p w14:paraId="6C433FDE" w14:textId="623E2CF6" w:rsidR="00132404" w:rsidRPr="003D5FD1" w:rsidRDefault="00132404" w:rsidP="00A361AB">
      <w:pPr>
        <w:pStyle w:val="ListParagraph"/>
        <w:numPr>
          <w:ilvl w:val="0"/>
          <w:numId w:val="13"/>
        </w:numPr>
        <w:spacing w:line="360" w:lineRule="auto"/>
        <w:rPr>
          <w:rFonts w:ascii="Verdana" w:hAnsi="Verdana"/>
        </w:rPr>
      </w:pPr>
      <w:r w:rsidRPr="003D5FD1">
        <w:rPr>
          <w:rFonts w:ascii="Verdana" w:hAnsi="Verdana"/>
        </w:rPr>
        <w:t xml:space="preserve">UN </w:t>
      </w:r>
      <w:r w:rsidR="006D7D11">
        <w:rPr>
          <w:rFonts w:ascii="Verdana" w:hAnsi="Verdana"/>
        </w:rPr>
        <w:t xml:space="preserve">International </w:t>
      </w:r>
      <w:r w:rsidR="00290653" w:rsidRPr="003D5FD1">
        <w:rPr>
          <w:rFonts w:ascii="Verdana" w:hAnsi="Verdana"/>
        </w:rPr>
        <w:t>Covena</w:t>
      </w:r>
      <w:r w:rsidR="00290653">
        <w:rPr>
          <w:rFonts w:ascii="Verdana" w:hAnsi="Verdana"/>
        </w:rPr>
        <w:t>nt</w:t>
      </w:r>
      <w:r w:rsidRPr="003D5FD1">
        <w:rPr>
          <w:rFonts w:ascii="Verdana" w:hAnsi="Verdana"/>
        </w:rPr>
        <w:t xml:space="preserve"> on Economic, Social and Cultural Rights (UN ICESCR);</w:t>
      </w:r>
      <w:r w:rsidR="003D5FD1">
        <w:rPr>
          <w:rStyle w:val="FootnoteReference"/>
          <w:rFonts w:ascii="Verdana" w:hAnsi="Verdana"/>
        </w:rPr>
        <w:footnoteReference w:id="5"/>
      </w:r>
    </w:p>
    <w:p w14:paraId="07E2F814" w14:textId="1E1A7488" w:rsidR="00132404" w:rsidRPr="003D5FD1" w:rsidRDefault="00132404" w:rsidP="00A361AB">
      <w:pPr>
        <w:pStyle w:val="ListParagraph"/>
        <w:numPr>
          <w:ilvl w:val="0"/>
          <w:numId w:val="13"/>
        </w:numPr>
        <w:spacing w:line="360" w:lineRule="auto"/>
        <w:rPr>
          <w:rFonts w:ascii="Verdana" w:hAnsi="Verdana"/>
        </w:rPr>
      </w:pPr>
      <w:r w:rsidRPr="003D5FD1">
        <w:rPr>
          <w:rFonts w:ascii="Verdana" w:hAnsi="Verdana"/>
        </w:rPr>
        <w:t>UN Convention on the Elimination of Racial Discrimination 1965 (UN CERD);</w:t>
      </w:r>
      <w:r w:rsidR="00290653">
        <w:rPr>
          <w:rStyle w:val="FootnoteReference"/>
          <w:rFonts w:ascii="Verdana" w:hAnsi="Verdana"/>
        </w:rPr>
        <w:footnoteReference w:id="6"/>
      </w:r>
    </w:p>
    <w:p w14:paraId="698C52D6" w14:textId="744C431D" w:rsidR="00132404" w:rsidRPr="003D5FD1" w:rsidRDefault="003D5FD1" w:rsidP="00A361AB">
      <w:pPr>
        <w:pStyle w:val="ListParagraph"/>
        <w:numPr>
          <w:ilvl w:val="0"/>
          <w:numId w:val="13"/>
        </w:numPr>
        <w:spacing w:line="360" w:lineRule="auto"/>
        <w:rPr>
          <w:rFonts w:ascii="Verdana" w:hAnsi="Verdana"/>
        </w:rPr>
      </w:pPr>
      <w:r w:rsidRPr="003D5FD1">
        <w:rPr>
          <w:rFonts w:ascii="Verdana" w:hAnsi="Verdana"/>
        </w:rPr>
        <w:lastRenderedPageBreak/>
        <w:t>UN Convention on Elimination of Discrimination against Women 1981 (UN CEDAW);</w:t>
      </w:r>
      <w:r w:rsidR="00290653">
        <w:rPr>
          <w:rStyle w:val="FootnoteReference"/>
          <w:rFonts w:ascii="Verdana" w:hAnsi="Verdana"/>
        </w:rPr>
        <w:footnoteReference w:id="7"/>
      </w:r>
    </w:p>
    <w:p w14:paraId="22C9FA1C" w14:textId="527BB7F5" w:rsidR="003D5FD1" w:rsidRPr="003D5FD1" w:rsidRDefault="003D5FD1" w:rsidP="00A361AB">
      <w:pPr>
        <w:pStyle w:val="ListParagraph"/>
        <w:numPr>
          <w:ilvl w:val="0"/>
          <w:numId w:val="13"/>
        </w:numPr>
        <w:spacing w:line="360" w:lineRule="auto"/>
        <w:rPr>
          <w:rFonts w:ascii="Verdana" w:hAnsi="Verdana"/>
        </w:rPr>
      </w:pPr>
      <w:r w:rsidRPr="003D5FD1">
        <w:rPr>
          <w:rFonts w:ascii="Verdana" w:hAnsi="Verdana"/>
        </w:rPr>
        <w:t>UN Convention on the Rights of the Child 1989 (UN CRC);</w:t>
      </w:r>
      <w:r w:rsidR="00752BAB">
        <w:rPr>
          <w:rStyle w:val="FootnoteReference"/>
          <w:rFonts w:ascii="Verdana" w:hAnsi="Verdana"/>
        </w:rPr>
        <w:footnoteReference w:id="8"/>
      </w:r>
      <w:r w:rsidRPr="003D5FD1">
        <w:rPr>
          <w:rFonts w:ascii="Verdana" w:hAnsi="Verdana"/>
        </w:rPr>
        <w:t xml:space="preserve"> and</w:t>
      </w:r>
    </w:p>
    <w:p w14:paraId="287062AF" w14:textId="121A58AE" w:rsidR="003D5FD1" w:rsidRPr="003D5FD1" w:rsidRDefault="00755A43" w:rsidP="00A361AB">
      <w:pPr>
        <w:pStyle w:val="ListParagraph"/>
        <w:numPr>
          <w:ilvl w:val="0"/>
          <w:numId w:val="13"/>
        </w:numPr>
        <w:spacing w:line="360" w:lineRule="auto"/>
        <w:rPr>
          <w:rFonts w:ascii="Verdana" w:hAnsi="Verdana"/>
        </w:rPr>
      </w:pPr>
      <w:r>
        <w:rPr>
          <w:rFonts w:ascii="Verdana" w:hAnsi="Verdana"/>
        </w:rPr>
        <w:t>U</w:t>
      </w:r>
      <w:r w:rsidR="003D5FD1" w:rsidRPr="003D5FD1">
        <w:rPr>
          <w:rFonts w:ascii="Verdana" w:hAnsi="Verdana"/>
        </w:rPr>
        <w:t>N Convention on the Rights of Persons with Disabilities 2006 (UN CRPD).</w:t>
      </w:r>
      <w:r w:rsidR="00752BAB">
        <w:rPr>
          <w:rStyle w:val="FootnoteReference"/>
          <w:rFonts w:ascii="Verdana" w:hAnsi="Verdana"/>
        </w:rPr>
        <w:footnoteReference w:id="9"/>
      </w:r>
    </w:p>
    <w:p w14:paraId="064CEA2A" w14:textId="77777777" w:rsidR="00876B20" w:rsidRDefault="00876B20" w:rsidP="00A361AB">
      <w:pPr>
        <w:pStyle w:val="ListParagraph"/>
        <w:spacing w:line="360" w:lineRule="auto"/>
      </w:pPr>
    </w:p>
    <w:p w14:paraId="035C4843" w14:textId="3C710849" w:rsidR="00876B20" w:rsidRDefault="00876B20" w:rsidP="006464FC">
      <w:pPr>
        <w:pStyle w:val="ListParagraph"/>
        <w:numPr>
          <w:ilvl w:val="1"/>
          <w:numId w:val="28"/>
        </w:numPr>
        <w:spacing w:line="360" w:lineRule="auto"/>
        <w:ind w:left="709"/>
        <w:rPr>
          <w:rFonts w:ascii="Verdana" w:hAnsi="Verdana"/>
        </w:rPr>
      </w:pPr>
      <w:r w:rsidRPr="00876B20">
        <w:rPr>
          <w:rFonts w:ascii="Verdana" w:hAnsi="Verdana"/>
        </w:rPr>
        <w:t>In addition to these treaty standards, the following declarations and principles provide further guidance in respect of specific areas:</w:t>
      </w:r>
    </w:p>
    <w:p w14:paraId="03B98E6E" w14:textId="77777777" w:rsidR="00356819" w:rsidRDefault="00356819" w:rsidP="00A361AB">
      <w:pPr>
        <w:pStyle w:val="ListParagraph"/>
        <w:spacing w:line="360" w:lineRule="auto"/>
        <w:ind w:left="709"/>
        <w:rPr>
          <w:rFonts w:ascii="Verdana" w:hAnsi="Verdana"/>
        </w:rPr>
      </w:pPr>
    </w:p>
    <w:p w14:paraId="21F2E3AB" w14:textId="57CFA67F" w:rsidR="006E1AAA" w:rsidRDefault="006E1AAA" w:rsidP="00A361AB">
      <w:pPr>
        <w:pStyle w:val="ListParagraph"/>
        <w:numPr>
          <w:ilvl w:val="0"/>
          <w:numId w:val="14"/>
        </w:numPr>
        <w:spacing w:line="360" w:lineRule="auto"/>
        <w:rPr>
          <w:rFonts w:ascii="Verdana" w:hAnsi="Verdana"/>
        </w:rPr>
      </w:pPr>
      <w:r w:rsidRPr="007C6BE5">
        <w:rPr>
          <w:rFonts w:ascii="Verdana" w:hAnsi="Verdana"/>
        </w:rPr>
        <w:t>UN CEDAW Committee General Recommendation No 18;</w:t>
      </w:r>
      <w:r w:rsidRPr="007C6BE5">
        <w:rPr>
          <w:rStyle w:val="FootnoteReference"/>
          <w:rFonts w:ascii="Verdana" w:hAnsi="Verdana"/>
        </w:rPr>
        <w:footnoteReference w:id="10"/>
      </w:r>
    </w:p>
    <w:p w14:paraId="3D752669" w14:textId="1D949692" w:rsidR="00085731" w:rsidRDefault="00085731" w:rsidP="00A361AB">
      <w:pPr>
        <w:pStyle w:val="ListParagraph"/>
        <w:numPr>
          <w:ilvl w:val="0"/>
          <w:numId w:val="14"/>
        </w:numPr>
        <w:spacing w:line="360" w:lineRule="auto"/>
        <w:rPr>
          <w:rFonts w:ascii="Verdana" w:hAnsi="Verdana"/>
        </w:rPr>
      </w:pPr>
      <w:r>
        <w:rPr>
          <w:rFonts w:ascii="Verdana" w:hAnsi="Verdana"/>
        </w:rPr>
        <w:t>UN Human Rights Committee General Comment No 25;</w:t>
      </w:r>
      <w:r>
        <w:rPr>
          <w:rStyle w:val="FootnoteReference"/>
          <w:rFonts w:ascii="Verdana" w:hAnsi="Verdana"/>
        </w:rPr>
        <w:footnoteReference w:id="11"/>
      </w:r>
    </w:p>
    <w:p w14:paraId="3E0C4E08" w14:textId="54E6F57C" w:rsidR="006E1AAA" w:rsidRPr="007C6BE5" w:rsidRDefault="006E1AAA" w:rsidP="00A361AB">
      <w:pPr>
        <w:pStyle w:val="ListParagraph"/>
        <w:numPr>
          <w:ilvl w:val="0"/>
          <w:numId w:val="14"/>
        </w:numPr>
        <w:spacing w:line="360" w:lineRule="auto"/>
        <w:rPr>
          <w:rFonts w:ascii="Verdana" w:hAnsi="Verdana"/>
        </w:rPr>
      </w:pPr>
      <w:r w:rsidRPr="007C6BE5">
        <w:rPr>
          <w:rFonts w:ascii="Verdana" w:hAnsi="Verdana"/>
        </w:rPr>
        <w:t>UN CRC Committee General Comment No 7;</w:t>
      </w:r>
      <w:r w:rsidRPr="007C6BE5">
        <w:rPr>
          <w:rStyle w:val="FootnoteReference"/>
          <w:rFonts w:ascii="Verdana" w:hAnsi="Verdana"/>
        </w:rPr>
        <w:footnoteReference w:id="12"/>
      </w:r>
    </w:p>
    <w:p w14:paraId="396A5BC6" w14:textId="5B424D6B" w:rsidR="006E1AAA" w:rsidRDefault="006E1AAA" w:rsidP="00A361AB">
      <w:pPr>
        <w:pStyle w:val="ListParagraph"/>
        <w:numPr>
          <w:ilvl w:val="0"/>
          <w:numId w:val="14"/>
        </w:numPr>
        <w:spacing w:line="360" w:lineRule="auto"/>
        <w:rPr>
          <w:rFonts w:ascii="Verdana" w:hAnsi="Verdana"/>
        </w:rPr>
      </w:pPr>
      <w:r w:rsidRPr="007C6BE5">
        <w:rPr>
          <w:rFonts w:ascii="Verdana" w:hAnsi="Verdana"/>
        </w:rPr>
        <w:t>UN ICESCR Committee General Comment No 19;</w:t>
      </w:r>
      <w:r w:rsidRPr="007C6BE5">
        <w:rPr>
          <w:rStyle w:val="FootnoteReference"/>
          <w:rFonts w:ascii="Verdana" w:hAnsi="Verdana"/>
        </w:rPr>
        <w:footnoteReference w:id="13"/>
      </w:r>
    </w:p>
    <w:p w14:paraId="444143C8" w14:textId="75B7A4F1" w:rsidR="00085731" w:rsidRPr="007C6BE5" w:rsidRDefault="00085731" w:rsidP="00A361AB">
      <w:pPr>
        <w:pStyle w:val="ListParagraph"/>
        <w:numPr>
          <w:ilvl w:val="0"/>
          <w:numId w:val="14"/>
        </w:numPr>
        <w:spacing w:line="360" w:lineRule="auto"/>
        <w:rPr>
          <w:rFonts w:ascii="Verdana" w:hAnsi="Verdana"/>
        </w:rPr>
      </w:pPr>
      <w:r>
        <w:rPr>
          <w:rFonts w:ascii="Verdana" w:hAnsi="Verdana"/>
        </w:rPr>
        <w:t>UN CRC Committee General Comment No 12;</w:t>
      </w:r>
      <w:r>
        <w:rPr>
          <w:rStyle w:val="FootnoteReference"/>
          <w:rFonts w:ascii="Verdana" w:hAnsi="Verdana"/>
        </w:rPr>
        <w:footnoteReference w:id="14"/>
      </w:r>
    </w:p>
    <w:p w14:paraId="757FB694" w14:textId="07F8CF15" w:rsidR="007C6BE5" w:rsidRDefault="007C6BE5" w:rsidP="00A361AB">
      <w:pPr>
        <w:pStyle w:val="ListParagraph"/>
        <w:numPr>
          <w:ilvl w:val="0"/>
          <w:numId w:val="14"/>
        </w:numPr>
        <w:spacing w:line="360" w:lineRule="auto"/>
        <w:rPr>
          <w:rFonts w:ascii="Verdana" w:hAnsi="Verdana"/>
        </w:rPr>
      </w:pPr>
      <w:r>
        <w:rPr>
          <w:rFonts w:ascii="Verdana" w:hAnsi="Verdana"/>
        </w:rPr>
        <w:t>UN CRPD Committee General Comment No 5;</w:t>
      </w:r>
      <w:r>
        <w:rPr>
          <w:rStyle w:val="FootnoteReference"/>
          <w:rFonts w:ascii="Verdana" w:hAnsi="Verdana"/>
        </w:rPr>
        <w:footnoteReference w:id="15"/>
      </w:r>
    </w:p>
    <w:p w14:paraId="2067ED3B" w14:textId="6D5E8621" w:rsidR="007F5B1E" w:rsidRDefault="007F5B1E" w:rsidP="00A361AB">
      <w:pPr>
        <w:pStyle w:val="ListParagraph"/>
        <w:numPr>
          <w:ilvl w:val="0"/>
          <w:numId w:val="14"/>
        </w:numPr>
        <w:spacing w:line="360" w:lineRule="auto"/>
        <w:rPr>
          <w:rFonts w:ascii="Verdana" w:hAnsi="Verdana"/>
        </w:rPr>
      </w:pPr>
      <w:r w:rsidRPr="007C6BE5">
        <w:rPr>
          <w:rFonts w:ascii="Verdana" w:hAnsi="Verdana"/>
        </w:rPr>
        <w:t>UN CRPD Committee Inquiry on UK of Great Britain and NI;</w:t>
      </w:r>
      <w:r w:rsidRPr="007C6BE5">
        <w:rPr>
          <w:rStyle w:val="FootnoteReference"/>
          <w:rFonts w:ascii="Verdana" w:hAnsi="Verdana"/>
        </w:rPr>
        <w:footnoteReference w:id="16"/>
      </w:r>
    </w:p>
    <w:p w14:paraId="6962FF7C" w14:textId="366ACB4B" w:rsidR="007F5B1E" w:rsidRPr="007C6BE5" w:rsidRDefault="007F5B1E" w:rsidP="00A361AB">
      <w:pPr>
        <w:pStyle w:val="ListParagraph"/>
        <w:numPr>
          <w:ilvl w:val="0"/>
          <w:numId w:val="14"/>
        </w:numPr>
        <w:spacing w:line="360" w:lineRule="auto"/>
        <w:rPr>
          <w:rFonts w:ascii="Verdana" w:hAnsi="Verdana"/>
        </w:rPr>
      </w:pPr>
      <w:r w:rsidRPr="007C6BE5">
        <w:rPr>
          <w:rFonts w:ascii="Verdana" w:hAnsi="Verdana"/>
        </w:rPr>
        <w:t>UN CRPD Committee Concluding Observations on the U</w:t>
      </w:r>
      <w:r w:rsidR="001260B2">
        <w:rPr>
          <w:rFonts w:ascii="Verdana" w:hAnsi="Verdana"/>
        </w:rPr>
        <w:t>K</w:t>
      </w:r>
      <w:r w:rsidRPr="007C6BE5">
        <w:rPr>
          <w:rFonts w:ascii="Verdana" w:hAnsi="Verdana"/>
        </w:rPr>
        <w:t>;</w:t>
      </w:r>
      <w:r w:rsidRPr="007C6BE5">
        <w:rPr>
          <w:rStyle w:val="FootnoteReference"/>
          <w:rFonts w:ascii="Verdana" w:hAnsi="Verdana"/>
        </w:rPr>
        <w:footnoteReference w:id="17"/>
      </w:r>
    </w:p>
    <w:p w14:paraId="259452BC" w14:textId="4554D102" w:rsidR="00356819" w:rsidRDefault="00E17E45" w:rsidP="00A361AB">
      <w:pPr>
        <w:pStyle w:val="ListParagraph"/>
        <w:numPr>
          <w:ilvl w:val="0"/>
          <w:numId w:val="14"/>
        </w:numPr>
        <w:spacing w:line="360" w:lineRule="auto"/>
        <w:rPr>
          <w:rFonts w:ascii="Verdana" w:hAnsi="Verdana"/>
        </w:rPr>
      </w:pPr>
      <w:r w:rsidRPr="00C906D6">
        <w:rPr>
          <w:rFonts w:ascii="Verdana" w:hAnsi="Verdana"/>
        </w:rPr>
        <w:t xml:space="preserve">UN CRPD Committee </w:t>
      </w:r>
      <w:r w:rsidR="00C906D6" w:rsidRPr="00C906D6">
        <w:rPr>
          <w:rFonts w:ascii="Verdana" w:hAnsi="Verdana"/>
        </w:rPr>
        <w:t>General Comment No 7;</w:t>
      </w:r>
      <w:r w:rsidR="00C906D6" w:rsidRPr="00C906D6">
        <w:rPr>
          <w:rStyle w:val="FootnoteReference"/>
          <w:rFonts w:ascii="Verdana" w:hAnsi="Verdana"/>
        </w:rPr>
        <w:footnoteReference w:id="18"/>
      </w:r>
    </w:p>
    <w:p w14:paraId="609119C2" w14:textId="7B6CEFF9" w:rsidR="007F5B1E" w:rsidRDefault="007F5B1E" w:rsidP="00A361AB">
      <w:pPr>
        <w:pStyle w:val="ListParagraph"/>
        <w:numPr>
          <w:ilvl w:val="0"/>
          <w:numId w:val="14"/>
        </w:numPr>
        <w:spacing w:line="360" w:lineRule="auto"/>
        <w:rPr>
          <w:rFonts w:ascii="Verdana" w:hAnsi="Verdana"/>
        </w:rPr>
      </w:pPr>
      <w:r w:rsidRPr="007C6BE5">
        <w:rPr>
          <w:rFonts w:ascii="Verdana" w:hAnsi="Verdana"/>
        </w:rPr>
        <w:t>Report of the Special Rapporteur on Extreme Poverty and Human Rights.</w:t>
      </w:r>
      <w:r w:rsidRPr="007C6BE5">
        <w:rPr>
          <w:rStyle w:val="FootnoteReference"/>
          <w:rFonts w:ascii="Verdana" w:hAnsi="Verdana"/>
        </w:rPr>
        <w:footnoteReference w:id="19"/>
      </w:r>
    </w:p>
    <w:p w14:paraId="273E8663" w14:textId="50ADEC8C" w:rsidR="007F5B1E" w:rsidRPr="007C6BE5" w:rsidRDefault="007F5B1E" w:rsidP="00A361AB">
      <w:pPr>
        <w:pStyle w:val="ListParagraph"/>
        <w:numPr>
          <w:ilvl w:val="0"/>
          <w:numId w:val="14"/>
        </w:numPr>
        <w:spacing w:line="360" w:lineRule="auto"/>
        <w:rPr>
          <w:rFonts w:ascii="Verdana" w:hAnsi="Verdana"/>
        </w:rPr>
      </w:pPr>
      <w:r w:rsidRPr="007C6BE5">
        <w:rPr>
          <w:rFonts w:ascii="Verdana" w:hAnsi="Verdana"/>
        </w:rPr>
        <w:t>UN CRC Concluding Observations on the UK;</w:t>
      </w:r>
      <w:r w:rsidRPr="007C6BE5">
        <w:rPr>
          <w:rStyle w:val="FootnoteReference"/>
          <w:rFonts w:ascii="Verdana" w:hAnsi="Verdana"/>
        </w:rPr>
        <w:footnoteReference w:id="20"/>
      </w:r>
    </w:p>
    <w:p w14:paraId="4F93CBD4" w14:textId="02A8D07D" w:rsidR="007E2829" w:rsidRDefault="007E2829" w:rsidP="00A361AB">
      <w:pPr>
        <w:pStyle w:val="ListParagraph"/>
        <w:numPr>
          <w:ilvl w:val="0"/>
          <w:numId w:val="14"/>
        </w:numPr>
        <w:spacing w:line="360" w:lineRule="auto"/>
        <w:rPr>
          <w:rFonts w:ascii="Verdana" w:hAnsi="Verdana"/>
        </w:rPr>
      </w:pPr>
      <w:r w:rsidRPr="007C6BE5">
        <w:rPr>
          <w:rFonts w:ascii="Verdana" w:hAnsi="Verdana"/>
        </w:rPr>
        <w:lastRenderedPageBreak/>
        <w:t>UN CRPD Committee Follow-Up Inquiry on the UK of Great Britain and NI;</w:t>
      </w:r>
      <w:r w:rsidRPr="007C6BE5">
        <w:rPr>
          <w:rStyle w:val="FootnoteReference"/>
          <w:rFonts w:ascii="Verdana" w:hAnsi="Verdana"/>
        </w:rPr>
        <w:footnoteReference w:id="21"/>
      </w:r>
    </w:p>
    <w:p w14:paraId="794B3DAB" w14:textId="5B8F03FB" w:rsidR="007F5B1E" w:rsidRPr="007C6BE5" w:rsidRDefault="007F5B1E" w:rsidP="00A361AB">
      <w:pPr>
        <w:pStyle w:val="ListParagraph"/>
        <w:numPr>
          <w:ilvl w:val="0"/>
          <w:numId w:val="14"/>
        </w:numPr>
        <w:spacing w:line="360" w:lineRule="auto"/>
        <w:rPr>
          <w:rFonts w:ascii="Verdana" w:hAnsi="Verdana"/>
        </w:rPr>
      </w:pPr>
      <w:r w:rsidRPr="007C6BE5">
        <w:rPr>
          <w:rFonts w:ascii="Verdana" w:hAnsi="Verdana"/>
        </w:rPr>
        <w:t>UN CERD Committee Concluding Observations on the UK;</w:t>
      </w:r>
      <w:r w:rsidRPr="007C6BE5">
        <w:rPr>
          <w:rStyle w:val="FootnoteReference"/>
          <w:rFonts w:ascii="Verdana" w:hAnsi="Verdana"/>
        </w:rPr>
        <w:footnoteReference w:id="22"/>
      </w:r>
      <w:r w:rsidR="002F5088">
        <w:rPr>
          <w:rFonts w:ascii="Verdana" w:hAnsi="Verdana"/>
        </w:rPr>
        <w:t xml:space="preserve"> and</w:t>
      </w:r>
    </w:p>
    <w:p w14:paraId="656C6CFD" w14:textId="25AA3D1C" w:rsidR="007E2829" w:rsidRPr="007C6BE5" w:rsidRDefault="007E2829" w:rsidP="00A361AB">
      <w:pPr>
        <w:pStyle w:val="ListParagraph"/>
        <w:numPr>
          <w:ilvl w:val="0"/>
          <w:numId w:val="14"/>
        </w:numPr>
        <w:spacing w:line="360" w:lineRule="auto"/>
        <w:rPr>
          <w:rFonts w:ascii="Verdana" w:hAnsi="Verdana"/>
        </w:rPr>
      </w:pPr>
      <w:r w:rsidRPr="007C6BE5">
        <w:rPr>
          <w:rFonts w:ascii="Verdana" w:hAnsi="Verdana"/>
        </w:rPr>
        <w:t>UN ICESCR Committee Concluding Obser</w:t>
      </w:r>
      <w:r w:rsidR="00107715" w:rsidRPr="007C6BE5">
        <w:rPr>
          <w:rFonts w:ascii="Verdana" w:hAnsi="Verdana"/>
        </w:rPr>
        <w:t>vations on the UK</w:t>
      </w:r>
      <w:r w:rsidR="002F5088">
        <w:rPr>
          <w:rFonts w:ascii="Verdana" w:hAnsi="Verdana"/>
        </w:rPr>
        <w:t>.</w:t>
      </w:r>
      <w:r w:rsidR="00107715" w:rsidRPr="007C6BE5">
        <w:rPr>
          <w:rStyle w:val="FootnoteReference"/>
          <w:rFonts w:ascii="Verdana" w:hAnsi="Verdana"/>
        </w:rPr>
        <w:footnoteReference w:id="23"/>
      </w:r>
    </w:p>
    <w:p w14:paraId="05E48883" w14:textId="77777777" w:rsidR="00CA0C68" w:rsidRDefault="00CA0C68" w:rsidP="00A361AB">
      <w:pPr>
        <w:spacing w:line="360" w:lineRule="auto"/>
        <w:rPr>
          <w:rFonts w:ascii="Verdana" w:hAnsi="Verdana"/>
        </w:rPr>
      </w:pPr>
    </w:p>
    <w:p w14:paraId="63D48CB6" w14:textId="6021B1EC" w:rsidR="00AD5F38" w:rsidRDefault="00422E33" w:rsidP="006464FC">
      <w:pPr>
        <w:pStyle w:val="Heading1"/>
        <w:numPr>
          <w:ilvl w:val="0"/>
          <w:numId w:val="28"/>
        </w:numPr>
        <w:spacing w:line="360" w:lineRule="auto"/>
      </w:pPr>
      <w:bookmarkStart w:id="2" w:name="_Toc201648653"/>
      <w:r>
        <w:t>General Comments</w:t>
      </w:r>
      <w:bookmarkEnd w:id="2"/>
    </w:p>
    <w:p w14:paraId="18A0A423" w14:textId="77777777" w:rsidR="009D57FE" w:rsidRDefault="009D57FE" w:rsidP="00A361AB">
      <w:pPr>
        <w:spacing w:line="360" w:lineRule="auto"/>
      </w:pPr>
    </w:p>
    <w:p w14:paraId="663851C8" w14:textId="3E2A6E09" w:rsidR="009D57FE" w:rsidRPr="009D57FE" w:rsidRDefault="00422E33" w:rsidP="00A361AB">
      <w:pPr>
        <w:pStyle w:val="Heading2"/>
        <w:spacing w:line="360" w:lineRule="auto"/>
      </w:pPr>
      <w:bookmarkStart w:id="3" w:name="_Toc201648654"/>
      <w:r>
        <w:t>Northern Ireland Context</w:t>
      </w:r>
      <w:bookmarkEnd w:id="3"/>
    </w:p>
    <w:p w14:paraId="24A8C7C8" w14:textId="29924C0A" w:rsidR="00DC129E" w:rsidRDefault="00AD32D3" w:rsidP="006464FC">
      <w:pPr>
        <w:pStyle w:val="ListParagraph"/>
        <w:numPr>
          <w:ilvl w:val="1"/>
          <w:numId w:val="28"/>
        </w:numPr>
        <w:spacing w:line="360" w:lineRule="auto"/>
        <w:ind w:left="709"/>
        <w:rPr>
          <w:rFonts w:ascii="Verdana" w:hAnsi="Verdana"/>
        </w:rPr>
      </w:pPr>
      <w:r>
        <w:rPr>
          <w:rFonts w:ascii="Verdana" w:hAnsi="Verdana"/>
        </w:rPr>
        <w:t xml:space="preserve">The </w:t>
      </w:r>
      <w:r w:rsidR="009113C9">
        <w:rPr>
          <w:rFonts w:ascii="Verdana" w:hAnsi="Verdana"/>
        </w:rPr>
        <w:t>NIHRC notes that social security is devolved to the NI Assembly</w:t>
      </w:r>
      <w:r w:rsidR="003A6D65">
        <w:rPr>
          <w:rFonts w:ascii="Verdana" w:hAnsi="Verdana"/>
        </w:rPr>
        <w:t xml:space="preserve">. However, the Department </w:t>
      </w:r>
      <w:r w:rsidR="004905D8">
        <w:rPr>
          <w:rFonts w:ascii="Verdana" w:hAnsi="Verdana"/>
        </w:rPr>
        <w:t xml:space="preserve">for Work and Pensions </w:t>
      </w:r>
      <w:r w:rsidR="003A6D65">
        <w:rPr>
          <w:rFonts w:ascii="Verdana" w:hAnsi="Verdana"/>
        </w:rPr>
        <w:t>will be aware that</w:t>
      </w:r>
      <w:r w:rsidR="00A65150">
        <w:rPr>
          <w:rFonts w:ascii="Verdana" w:hAnsi="Verdana"/>
        </w:rPr>
        <w:t>,</w:t>
      </w:r>
      <w:r w:rsidR="003A6D65">
        <w:rPr>
          <w:rFonts w:ascii="Verdana" w:hAnsi="Verdana"/>
        </w:rPr>
        <w:t xml:space="preserve"> </w:t>
      </w:r>
      <w:r w:rsidR="00A65150">
        <w:rPr>
          <w:rFonts w:ascii="Verdana" w:hAnsi="Verdana"/>
        </w:rPr>
        <w:t xml:space="preserve">in part </w:t>
      </w:r>
      <w:r w:rsidR="003A6D65">
        <w:rPr>
          <w:rFonts w:ascii="Verdana" w:hAnsi="Verdana"/>
        </w:rPr>
        <w:t xml:space="preserve">due to </w:t>
      </w:r>
      <w:r w:rsidR="00B45580">
        <w:rPr>
          <w:rFonts w:ascii="Verdana" w:hAnsi="Verdana"/>
        </w:rPr>
        <w:t>budgetary constraints stemming from NI’s block grant</w:t>
      </w:r>
      <w:r w:rsidR="00634319">
        <w:rPr>
          <w:rFonts w:ascii="Verdana" w:hAnsi="Verdana"/>
        </w:rPr>
        <w:t xml:space="preserve">, the NI Assembly </w:t>
      </w:r>
      <w:r w:rsidR="006F41C3">
        <w:rPr>
          <w:rFonts w:ascii="Verdana" w:hAnsi="Verdana"/>
        </w:rPr>
        <w:t>maintains parity with</w:t>
      </w:r>
      <w:r w:rsidR="00821395">
        <w:rPr>
          <w:rFonts w:ascii="Verdana" w:hAnsi="Verdana"/>
        </w:rPr>
        <w:t xml:space="preserve"> </w:t>
      </w:r>
      <w:r w:rsidR="00A81AA9">
        <w:rPr>
          <w:rFonts w:ascii="Verdana" w:hAnsi="Verdana"/>
        </w:rPr>
        <w:t xml:space="preserve">the </w:t>
      </w:r>
      <w:r w:rsidR="00821395">
        <w:rPr>
          <w:rFonts w:ascii="Verdana" w:hAnsi="Verdana"/>
        </w:rPr>
        <w:t xml:space="preserve">social security </w:t>
      </w:r>
      <w:r w:rsidR="00A81AA9">
        <w:rPr>
          <w:rFonts w:ascii="Verdana" w:hAnsi="Verdana"/>
        </w:rPr>
        <w:t>system</w:t>
      </w:r>
      <w:r w:rsidR="006C0AE4">
        <w:rPr>
          <w:rFonts w:ascii="Verdana" w:hAnsi="Verdana"/>
        </w:rPr>
        <w:t xml:space="preserve"> in Great Britain</w:t>
      </w:r>
      <w:r w:rsidR="00821395">
        <w:rPr>
          <w:rFonts w:ascii="Verdana" w:hAnsi="Verdana"/>
        </w:rPr>
        <w:t>.</w:t>
      </w:r>
      <w:r w:rsidR="00B41496">
        <w:rPr>
          <w:rStyle w:val="FootnoteReference"/>
          <w:rFonts w:ascii="Verdana" w:hAnsi="Verdana"/>
        </w:rPr>
        <w:footnoteReference w:id="24"/>
      </w:r>
      <w:r w:rsidR="00B41496">
        <w:rPr>
          <w:rFonts w:ascii="Verdana" w:hAnsi="Verdana"/>
        </w:rPr>
        <w:t xml:space="preserve"> </w:t>
      </w:r>
    </w:p>
    <w:p w14:paraId="3121249F" w14:textId="77777777" w:rsidR="00DC129E" w:rsidRDefault="00DC129E" w:rsidP="00A361AB">
      <w:pPr>
        <w:pStyle w:val="ListParagraph"/>
        <w:spacing w:line="360" w:lineRule="auto"/>
        <w:ind w:left="709"/>
        <w:rPr>
          <w:rFonts w:ascii="Verdana" w:hAnsi="Verdana"/>
        </w:rPr>
      </w:pPr>
    </w:p>
    <w:p w14:paraId="679623B3" w14:textId="3701B43B" w:rsidR="00CA0C68" w:rsidRDefault="004070C8" w:rsidP="006464FC">
      <w:pPr>
        <w:pStyle w:val="ListParagraph"/>
        <w:numPr>
          <w:ilvl w:val="1"/>
          <w:numId w:val="28"/>
        </w:numPr>
        <w:spacing w:line="360" w:lineRule="auto"/>
        <w:ind w:left="709"/>
        <w:rPr>
          <w:rFonts w:ascii="Verdana" w:hAnsi="Verdana"/>
        </w:rPr>
      </w:pPr>
      <w:r>
        <w:rPr>
          <w:rFonts w:ascii="Verdana" w:hAnsi="Verdana"/>
        </w:rPr>
        <w:t xml:space="preserve">The </w:t>
      </w:r>
      <w:r w:rsidR="00DC129E">
        <w:rPr>
          <w:rFonts w:ascii="Verdana" w:hAnsi="Verdana"/>
        </w:rPr>
        <w:t>Department</w:t>
      </w:r>
      <w:r w:rsidR="00F50D02">
        <w:rPr>
          <w:rFonts w:ascii="Verdana" w:hAnsi="Verdana"/>
        </w:rPr>
        <w:t xml:space="preserve"> </w:t>
      </w:r>
      <w:r w:rsidR="005D30BB">
        <w:rPr>
          <w:rFonts w:ascii="Verdana" w:hAnsi="Verdana"/>
        </w:rPr>
        <w:t>for</w:t>
      </w:r>
      <w:r w:rsidR="00F50D02">
        <w:rPr>
          <w:rFonts w:ascii="Verdana" w:hAnsi="Verdana"/>
        </w:rPr>
        <w:t xml:space="preserve"> Work and Pensions</w:t>
      </w:r>
      <w:r w:rsidR="00EA1FD4">
        <w:rPr>
          <w:rFonts w:ascii="Verdana" w:hAnsi="Verdana"/>
        </w:rPr>
        <w:t>’</w:t>
      </w:r>
      <w:r w:rsidR="00DC129E">
        <w:rPr>
          <w:rFonts w:ascii="Verdana" w:hAnsi="Verdana"/>
        </w:rPr>
        <w:t xml:space="preserve"> </w:t>
      </w:r>
      <w:r w:rsidR="00185E46">
        <w:rPr>
          <w:rFonts w:ascii="Verdana" w:hAnsi="Verdana"/>
        </w:rPr>
        <w:t>E</w:t>
      </w:r>
      <w:r>
        <w:rPr>
          <w:rFonts w:ascii="Verdana" w:hAnsi="Verdana"/>
        </w:rPr>
        <w:t xml:space="preserve">quality </w:t>
      </w:r>
      <w:r w:rsidR="00185E46">
        <w:rPr>
          <w:rFonts w:ascii="Verdana" w:hAnsi="Verdana"/>
        </w:rPr>
        <w:t>I</w:t>
      </w:r>
      <w:r>
        <w:rPr>
          <w:rFonts w:ascii="Verdana" w:hAnsi="Verdana"/>
        </w:rPr>
        <w:t xml:space="preserve">mpact </w:t>
      </w:r>
      <w:r w:rsidR="00185E46">
        <w:rPr>
          <w:rFonts w:ascii="Verdana" w:hAnsi="Verdana"/>
        </w:rPr>
        <w:t>A</w:t>
      </w:r>
      <w:r>
        <w:rPr>
          <w:rFonts w:ascii="Verdana" w:hAnsi="Verdana"/>
        </w:rPr>
        <w:t xml:space="preserve">ssessment </w:t>
      </w:r>
      <w:r w:rsidR="00DC129E">
        <w:rPr>
          <w:rFonts w:ascii="Verdana" w:hAnsi="Verdana"/>
        </w:rPr>
        <w:t xml:space="preserve">on the Pathways to Work </w:t>
      </w:r>
      <w:r w:rsidR="00817D8D">
        <w:rPr>
          <w:rFonts w:ascii="Verdana" w:hAnsi="Verdana"/>
        </w:rPr>
        <w:t>G</w:t>
      </w:r>
      <w:r w:rsidR="00DC129E">
        <w:rPr>
          <w:rFonts w:ascii="Verdana" w:hAnsi="Verdana"/>
        </w:rPr>
        <w:t xml:space="preserve">reen </w:t>
      </w:r>
      <w:r w:rsidR="00817D8D">
        <w:rPr>
          <w:rFonts w:ascii="Verdana" w:hAnsi="Verdana"/>
        </w:rPr>
        <w:t>P</w:t>
      </w:r>
      <w:r w:rsidR="00DC129E">
        <w:rPr>
          <w:rFonts w:ascii="Verdana" w:hAnsi="Verdana"/>
        </w:rPr>
        <w:t xml:space="preserve">aper </w:t>
      </w:r>
      <w:r>
        <w:rPr>
          <w:rFonts w:ascii="Verdana" w:hAnsi="Verdana"/>
        </w:rPr>
        <w:t xml:space="preserve">does not take </w:t>
      </w:r>
      <w:r w:rsidR="00D9607D">
        <w:rPr>
          <w:rFonts w:ascii="Verdana" w:hAnsi="Verdana"/>
        </w:rPr>
        <w:t>into consideration th</w:t>
      </w:r>
      <w:r w:rsidR="00F72956">
        <w:rPr>
          <w:rFonts w:ascii="Verdana" w:hAnsi="Verdana"/>
        </w:rPr>
        <w:t>e</w:t>
      </w:r>
      <w:r w:rsidR="00D9607D">
        <w:rPr>
          <w:rFonts w:ascii="Verdana" w:hAnsi="Verdana"/>
        </w:rPr>
        <w:t xml:space="preserve"> specific impact </w:t>
      </w:r>
      <w:r w:rsidR="00185E46">
        <w:rPr>
          <w:rFonts w:ascii="Verdana" w:hAnsi="Verdana"/>
        </w:rPr>
        <w:t xml:space="preserve">on disabled people living in Northern Ireland </w:t>
      </w:r>
      <w:r w:rsidR="00D9607D">
        <w:rPr>
          <w:rFonts w:ascii="Verdana" w:hAnsi="Verdana"/>
        </w:rPr>
        <w:t xml:space="preserve">of the proposed </w:t>
      </w:r>
      <w:r w:rsidR="000F39B4">
        <w:rPr>
          <w:rFonts w:ascii="Verdana" w:hAnsi="Verdana"/>
        </w:rPr>
        <w:t>changes</w:t>
      </w:r>
      <w:r w:rsidR="00D9607D">
        <w:rPr>
          <w:rFonts w:ascii="Verdana" w:hAnsi="Verdana"/>
        </w:rPr>
        <w:t xml:space="preserve"> to Personal Independence Payments </w:t>
      </w:r>
      <w:r w:rsidR="000F39B4">
        <w:rPr>
          <w:rFonts w:ascii="Verdana" w:hAnsi="Verdana"/>
        </w:rPr>
        <w:t>and the health element of Universal Credit.</w:t>
      </w:r>
      <w:r w:rsidR="00F72956">
        <w:rPr>
          <w:rStyle w:val="FootnoteReference"/>
          <w:rFonts w:ascii="Verdana" w:hAnsi="Verdana"/>
        </w:rPr>
        <w:footnoteReference w:id="25"/>
      </w:r>
    </w:p>
    <w:p w14:paraId="3AA944F7" w14:textId="77777777" w:rsidR="005833E9" w:rsidRPr="005833E9" w:rsidRDefault="005833E9" w:rsidP="00A361AB">
      <w:pPr>
        <w:pStyle w:val="ListParagraph"/>
        <w:spacing w:line="360" w:lineRule="auto"/>
        <w:rPr>
          <w:rFonts w:ascii="Verdana" w:hAnsi="Verdana"/>
        </w:rPr>
      </w:pPr>
    </w:p>
    <w:p w14:paraId="6C52AC4F" w14:textId="71A7551F" w:rsidR="005833E9" w:rsidRDefault="00677EC7" w:rsidP="006464FC">
      <w:pPr>
        <w:pStyle w:val="ListParagraph"/>
        <w:numPr>
          <w:ilvl w:val="1"/>
          <w:numId w:val="28"/>
        </w:numPr>
        <w:spacing w:line="360" w:lineRule="auto"/>
        <w:ind w:left="709"/>
        <w:rPr>
          <w:rFonts w:ascii="Verdana" w:hAnsi="Verdana"/>
        </w:rPr>
      </w:pPr>
      <w:r>
        <w:rPr>
          <w:rFonts w:ascii="Verdana" w:hAnsi="Verdana"/>
        </w:rPr>
        <w:t xml:space="preserve">In the 2021 Census, </w:t>
      </w:r>
      <w:r w:rsidR="008E31F5">
        <w:rPr>
          <w:rFonts w:ascii="Verdana" w:hAnsi="Verdana"/>
        </w:rPr>
        <w:t xml:space="preserve">24.3 per cent of respondents </w:t>
      </w:r>
      <w:r w:rsidR="00C17741">
        <w:rPr>
          <w:rFonts w:ascii="Verdana" w:hAnsi="Verdana"/>
        </w:rPr>
        <w:t xml:space="preserve">in NI </w:t>
      </w:r>
      <w:r w:rsidR="008E31F5">
        <w:rPr>
          <w:rFonts w:ascii="Verdana" w:hAnsi="Verdana"/>
        </w:rPr>
        <w:t>indicated that they had a limiting long-term health condition or disability</w:t>
      </w:r>
      <w:r w:rsidR="00487654">
        <w:rPr>
          <w:rFonts w:ascii="Verdana" w:hAnsi="Verdana"/>
        </w:rPr>
        <w:t>.</w:t>
      </w:r>
      <w:r w:rsidR="00487654">
        <w:rPr>
          <w:rStyle w:val="FootnoteReference"/>
          <w:rFonts w:ascii="Verdana" w:hAnsi="Verdana"/>
        </w:rPr>
        <w:footnoteReference w:id="26"/>
      </w:r>
      <w:r w:rsidR="00487654">
        <w:rPr>
          <w:rFonts w:ascii="Verdana" w:hAnsi="Verdana"/>
        </w:rPr>
        <w:t xml:space="preserve"> This </w:t>
      </w:r>
      <w:r w:rsidR="00806EC1">
        <w:rPr>
          <w:rFonts w:ascii="Verdana" w:hAnsi="Verdana"/>
        </w:rPr>
        <w:t xml:space="preserve">reflected </w:t>
      </w:r>
      <w:r w:rsidR="00487654">
        <w:rPr>
          <w:rFonts w:ascii="Verdana" w:hAnsi="Verdana"/>
        </w:rPr>
        <w:t xml:space="preserve">an increase from </w:t>
      </w:r>
      <w:r w:rsidR="00D00222">
        <w:rPr>
          <w:rFonts w:ascii="Verdana" w:hAnsi="Verdana"/>
        </w:rPr>
        <w:t>374,600 people in the 2011 census to 463,000 people in the 2021 census, an increase of 23</w:t>
      </w:r>
      <w:r w:rsidR="00703D00">
        <w:rPr>
          <w:rFonts w:ascii="Verdana" w:hAnsi="Verdana"/>
        </w:rPr>
        <w:t>.6 per cent.</w:t>
      </w:r>
      <w:r w:rsidR="001371C1">
        <w:rPr>
          <w:rStyle w:val="FootnoteReference"/>
          <w:rFonts w:ascii="Verdana" w:hAnsi="Verdana"/>
        </w:rPr>
        <w:footnoteReference w:id="27"/>
      </w:r>
      <w:r w:rsidR="00595338">
        <w:rPr>
          <w:rFonts w:ascii="Verdana" w:hAnsi="Verdana"/>
        </w:rPr>
        <w:t xml:space="preserve"> </w:t>
      </w:r>
    </w:p>
    <w:p w14:paraId="67A2E407" w14:textId="77777777" w:rsidR="000F6FD5" w:rsidRPr="000F6FD5" w:rsidRDefault="000F6FD5" w:rsidP="00A361AB">
      <w:pPr>
        <w:pStyle w:val="ListParagraph"/>
        <w:spacing w:line="360" w:lineRule="auto"/>
        <w:rPr>
          <w:rFonts w:ascii="Verdana" w:hAnsi="Verdana"/>
        </w:rPr>
      </w:pPr>
    </w:p>
    <w:p w14:paraId="65C23CC9" w14:textId="6D1D2266" w:rsidR="000F6FD5" w:rsidRDefault="00593774" w:rsidP="006464FC">
      <w:pPr>
        <w:pStyle w:val="ListParagraph"/>
        <w:numPr>
          <w:ilvl w:val="1"/>
          <w:numId w:val="28"/>
        </w:numPr>
        <w:spacing w:line="360" w:lineRule="auto"/>
        <w:ind w:left="709"/>
        <w:rPr>
          <w:rFonts w:ascii="Verdana" w:hAnsi="Verdana"/>
        </w:rPr>
      </w:pPr>
      <w:r>
        <w:rPr>
          <w:rFonts w:ascii="Verdana" w:hAnsi="Verdana"/>
        </w:rPr>
        <w:lastRenderedPageBreak/>
        <w:t xml:space="preserve">Mental health disorders rank as the third highest cause of disability in NI, accounting for 9.64 per cent of the total </w:t>
      </w:r>
      <w:r w:rsidR="002974EE">
        <w:rPr>
          <w:rFonts w:ascii="Verdana" w:hAnsi="Verdana"/>
        </w:rPr>
        <w:t xml:space="preserve">cost of </w:t>
      </w:r>
      <w:r w:rsidR="008F0ED1">
        <w:rPr>
          <w:rFonts w:ascii="Verdana" w:hAnsi="Verdana"/>
        </w:rPr>
        <w:t>illness</w:t>
      </w:r>
      <w:r>
        <w:rPr>
          <w:rFonts w:ascii="Verdana" w:hAnsi="Verdana"/>
        </w:rPr>
        <w:t xml:space="preserve"> for NI. This is higher than the UK average of 7.95 per cent.</w:t>
      </w:r>
      <w:r>
        <w:rPr>
          <w:rStyle w:val="FootnoteReference"/>
          <w:rFonts w:ascii="Verdana" w:hAnsi="Verdana"/>
        </w:rPr>
        <w:footnoteReference w:id="28"/>
      </w:r>
      <w:r>
        <w:rPr>
          <w:rFonts w:ascii="Verdana" w:hAnsi="Verdana"/>
        </w:rPr>
        <w:t xml:space="preserve"> </w:t>
      </w:r>
      <w:r w:rsidR="000F6FD5">
        <w:rPr>
          <w:rFonts w:ascii="Verdana" w:hAnsi="Verdana"/>
        </w:rPr>
        <w:t xml:space="preserve">Rates of </w:t>
      </w:r>
      <w:r w:rsidR="00CB32A8">
        <w:rPr>
          <w:rFonts w:ascii="Verdana" w:hAnsi="Verdana"/>
        </w:rPr>
        <w:t>post-traumatic</w:t>
      </w:r>
      <w:r w:rsidR="000537ED">
        <w:rPr>
          <w:rFonts w:ascii="Verdana" w:hAnsi="Verdana"/>
        </w:rPr>
        <w:t xml:space="preserve"> stress disorder</w:t>
      </w:r>
      <w:r w:rsidR="000F6FD5">
        <w:rPr>
          <w:rFonts w:ascii="Verdana" w:hAnsi="Verdana"/>
        </w:rPr>
        <w:t xml:space="preserve"> are higher in NI than in </w:t>
      </w:r>
      <w:r w:rsidR="002B7234">
        <w:rPr>
          <w:rFonts w:ascii="Verdana" w:hAnsi="Verdana"/>
        </w:rPr>
        <w:t>Great Britain</w:t>
      </w:r>
      <w:r w:rsidR="004D41AA">
        <w:rPr>
          <w:rFonts w:ascii="Verdana" w:hAnsi="Verdana"/>
        </w:rPr>
        <w:t xml:space="preserve">, </w:t>
      </w:r>
      <w:r w:rsidR="00185E46">
        <w:rPr>
          <w:rFonts w:ascii="Verdana" w:hAnsi="Verdana"/>
        </w:rPr>
        <w:t>unsurprisingly given</w:t>
      </w:r>
      <w:r w:rsidR="000F6FD5">
        <w:rPr>
          <w:rFonts w:ascii="Verdana" w:hAnsi="Verdana"/>
        </w:rPr>
        <w:t xml:space="preserve"> its history of conflict. </w:t>
      </w:r>
      <w:r w:rsidR="00A06137">
        <w:rPr>
          <w:rFonts w:ascii="Verdana" w:hAnsi="Verdana"/>
        </w:rPr>
        <w:t>In 2005</w:t>
      </w:r>
      <w:r w:rsidR="00994594">
        <w:rPr>
          <w:rFonts w:ascii="Verdana" w:hAnsi="Verdana"/>
        </w:rPr>
        <w:t xml:space="preserve">, </w:t>
      </w:r>
      <w:r w:rsidR="00774A0F">
        <w:rPr>
          <w:rFonts w:ascii="Verdana" w:hAnsi="Verdana"/>
        </w:rPr>
        <w:t xml:space="preserve">5.1 per cent of NI’s population </w:t>
      </w:r>
      <w:r w:rsidR="00942C93">
        <w:rPr>
          <w:rFonts w:ascii="Verdana" w:hAnsi="Verdana"/>
        </w:rPr>
        <w:t xml:space="preserve">had </w:t>
      </w:r>
      <w:r w:rsidR="00CB32A8">
        <w:rPr>
          <w:rFonts w:ascii="Verdana" w:hAnsi="Verdana"/>
        </w:rPr>
        <w:t>post-traumatic</w:t>
      </w:r>
      <w:r w:rsidR="00942C93">
        <w:rPr>
          <w:rFonts w:ascii="Verdana" w:hAnsi="Verdana"/>
        </w:rPr>
        <w:t xml:space="preserve"> stress disorder</w:t>
      </w:r>
      <w:r w:rsidR="00CB32A8">
        <w:rPr>
          <w:rFonts w:ascii="Verdana" w:hAnsi="Verdana"/>
        </w:rPr>
        <w:t xml:space="preserve">. </w:t>
      </w:r>
      <w:r w:rsidR="000A28A0">
        <w:rPr>
          <w:rFonts w:ascii="Verdana" w:hAnsi="Verdana"/>
        </w:rPr>
        <w:t xml:space="preserve">By 2024, this had </w:t>
      </w:r>
      <w:r w:rsidR="00CB32A8">
        <w:rPr>
          <w:rFonts w:ascii="Verdana" w:hAnsi="Verdana"/>
        </w:rPr>
        <w:t>increased to</w:t>
      </w:r>
      <w:r w:rsidR="000A28A0">
        <w:rPr>
          <w:rFonts w:ascii="Verdana" w:hAnsi="Verdana"/>
        </w:rPr>
        <w:t xml:space="preserve"> 6.1 per cent</w:t>
      </w:r>
      <w:r w:rsidR="00821966">
        <w:rPr>
          <w:rFonts w:ascii="Verdana" w:hAnsi="Verdana"/>
        </w:rPr>
        <w:t xml:space="preserve">, with 17.6 per cent of NI’s population reporting four or more adverse childhood experiences </w:t>
      </w:r>
      <w:r w:rsidR="00846F93">
        <w:rPr>
          <w:rFonts w:ascii="Verdana" w:hAnsi="Verdana"/>
        </w:rPr>
        <w:t>connected to the conflict.</w:t>
      </w:r>
      <w:r w:rsidR="00846F93">
        <w:rPr>
          <w:rStyle w:val="FootnoteReference"/>
          <w:rFonts w:ascii="Verdana" w:hAnsi="Verdana"/>
        </w:rPr>
        <w:footnoteReference w:id="29"/>
      </w:r>
      <w:r w:rsidR="00A4499F">
        <w:rPr>
          <w:rFonts w:ascii="Verdana" w:hAnsi="Verdana"/>
        </w:rPr>
        <w:t xml:space="preserve"> </w:t>
      </w:r>
      <w:r w:rsidR="004D2ED6">
        <w:rPr>
          <w:rFonts w:ascii="Verdana" w:hAnsi="Verdana"/>
        </w:rPr>
        <w:t xml:space="preserve">Mental health charities have identified concerns that these measures will target </w:t>
      </w:r>
      <w:r w:rsidR="007F6499">
        <w:rPr>
          <w:rFonts w:ascii="Verdana" w:hAnsi="Verdana"/>
        </w:rPr>
        <w:t>people with mental health difficulties.</w:t>
      </w:r>
      <w:r w:rsidR="007F6499">
        <w:rPr>
          <w:rStyle w:val="FootnoteReference"/>
          <w:rFonts w:ascii="Verdana" w:hAnsi="Verdana"/>
        </w:rPr>
        <w:footnoteReference w:id="30"/>
      </w:r>
    </w:p>
    <w:p w14:paraId="05E7BB8F" w14:textId="77777777" w:rsidR="0068189D" w:rsidRPr="0068189D" w:rsidRDefault="0068189D" w:rsidP="00A361AB">
      <w:pPr>
        <w:pStyle w:val="ListParagraph"/>
        <w:spacing w:line="360" w:lineRule="auto"/>
        <w:rPr>
          <w:rFonts w:ascii="Verdana" w:hAnsi="Verdana"/>
        </w:rPr>
      </w:pPr>
    </w:p>
    <w:p w14:paraId="76390E55" w14:textId="63B869C3" w:rsidR="0068189D" w:rsidRDefault="00EB00B2" w:rsidP="006464FC">
      <w:pPr>
        <w:pStyle w:val="ListParagraph"/>
        <w:numPr>
          <w:ilvl w:val="1"/>
          <w:numId w:val="28"/>
        </w:numPr>
        <w:spacing w:line="360" w:lineRule="auto"/>
        <w:ind w:left="709"/>
        <w:rPr>
          <w:rFonts w:ascii="Verdana" w:hAnsi="Verdana"/>
        </w:rPr>
      </w:pPr>
      <w:r>
        <w:rPr>
          <w:rFonts w:ascii="Verdana" w:hAnsi="Verdana"/>
        </w:rPr>
        <w:t xml:space="preserve">The disability employment gap in NI is </w:t>
      </w:r>
      <w:r w:rsidR="00185E46">
        <w:rPr>
          <w:rFonts w:ascii="Verdana" w:hAnsi="Verdana"/>
        </w:rPr>
        <w:t xml:space="preserve">also </w:t>
      </w:r>
      <w:r>
        <w:rPr>
          <w:rFonts w:ascii="Verdana" w:hAnsi="Verdana"/>
        </w:rPr>
        <w:t xml:space="preserve">significantly higher than </w:t>
      </w:r>
      <w:r w:rsidR="00185E46">
        <w:rPr>
          <w:rFonts w:ascii="Verdana" w:hAnsi="Verdana"/>
        </w:rPr>
        <w:t>G</w:t>
      </w:r>
      <w:r w:rsidR="00AD63B6">
        <w:rPr>
          <w:rFonts w:ascii="Verdana" w:hAnsi="Verdana"/>
        </w:rPr>
        <w:t xml:space="preserve">reat </w:t>
      </w:r>
      <w:r w:rsidR="00185E46">
        <w:rPr>
          <w:rFonts w:ascii="Verdana" w:hAnsi="Verdana"/>
        </w:rPr>
        <w:t>B</w:t>
      </w:r>
      <w:r w:rsidR="00AD63B6">
        <w:rPr>
          <w:rFonts w:ascii="Verdana" w:hAnsi="Verdana"/>
        </w:rPr>
        <w:t>ritain.</w:t>
      </w:r>
      <w:r>
        <w:rPr>
          <w:rFonts w:ascii="Verdana" w:hAnsi="Verdana"/>
        </w:rPr>
        <w:t xml:space="preserve"> In 2020, the </w:t>
      </w:r>
      <w:r w:rsidR="00BD4C0D">
        <w:rPr>
          <w:rFonts w:ascii="Verdana" w:hAnsi="Verdana"/>
        </w:rPr>
        <w:t>employment rate for people with disabilities in NI was 38.1 per cent</w:t>
      </w:r>
      <w:r w:rsidR="000722AD">
        <w:rPr>
          <w:rFonts w:ascii="Verdana" w:hAnsi="Verdana"/>
        </w:rPr>
        <w:t xml:space="preserve"> compared to 80.3 per cent for people without disabilities</w:t>
      </w:r>
      <w:r w:rsidR="00E22468">
        <w:rPr>
          <w:rFonts w:ascii="Verdana" w:hAnsi="Verdana"/>
        </w:rPr>
        <w:t>. Therefore, the</w:t>
      </w:r>
      <w:r>
        <w:rPr>
          <w:rFonts w:ascii="Verdana" w:hAnsi="Verdana"/>
        </w:rPr>
        <w:t xml:space="preserve"> disability employment </w:t>
      </w:r>
      <w:r w:rsidR="00BD4C0D">
        <w:rPr>
          <w:rFonts w:ascii="Verdana" w:hAnsi="Verdana"/>
        </w:rPr>
        <w:t xml:space="preserve">rate </w:t>
      </w:r>
      <w:r>
        <w:rPr>
          <w:rFonts w:ascii="Verdana" w:hAnsi="Verdana"/>
        </w:rPr>
        <w:t xml:space="preserve">gap </w:t>
      </w:r>
      <w:r w:rsidR="00B620D6">
        <w:rPr>
          <w:rFonts w:ascii="Verdana" w:hAnsi="Verdana"/>
        </w:rPr>
        <w:t>is</w:t>
      </w:r>
      <w:r w:rsidR="00E22468">
        <w:rPr>
          <w:rFonts w:ascii="Verdana" w:hAnsi="Verdana"/>
        </w:rPr>
        <w:t xml:space="preserve"> </w:t>
      </w:r>
      <w:r w:rsidR="00BD4C0D">
        <w:rPr>
          <w:rFonts w:ascii="Verdana" w:hAnsi="Verdana"/>
        </w:rPr>
        <w:t>42.2 percentage points</w:t>
      </w:r>
      <w:r w:rsidR="00E22468">
        <w:rPr>
          <w:rFonts w:ascii="Verdana" w:hAnsi="Verdana"/>
        </w:rPr>
        <w:t xml:space="preserve"> for NI compared to the UK average of </w:t>
      </w:r>
      <w:r w:rsidR="00DB09D9">
        <w:rPr>
          <w:rFonts w:ascii="Verdana" w:hAnsi="Verdana"/>
        </w:rPr>
        <w:t xml:space="preserve">27.9 percentage points. Since 2014, the disability employment gap has been consistently higher in NI than </w:t>
      </w:r>
      <w:r w:rsidR="00185E46">
        <w:rPr>
          <w:rFonts w:ascii="Verdana" w:hAnsi="Verdana"/>
        </w:rPr>
        <w:t xml:space="preserve">anywhere else in </w:t>
      </w:r>
      <w:r w:rsidR="00DB09D9">
        <w:rPr>
          <w:rFonts w:ascii="Verdana" w:hAnsi="Verdana"/>
        </w:rPr>
        <w:t>the UK.</w:t>
      </w:r>
      <w:r w:rsidR="00722FA8">
        <w:rPr>
          <w:rStyle w:val="FootnoteReference"/>
          <w:rFonts w:ascii="Verdana" w:hAnsi="Verdana"/>
        </w:rPr>
        <w:footnoteReference w:id="31"/>
      </w:r>
    </w:p>
    <w:p w14:paraId="47EDB4BD" w14:textId="77777777" w:rsidR="00300478" w:rsidRPr="00300478" w:rsidRDefault="00300478" w:rsidP="00A361AB">
      <w:pPr>
        <w:pStyle w:val="ListParagraph"/>
        <w:spacing w:line="360" w:lineRule="auto"/>
        <w:rPr>
          <w:rFonts w:ascii="Verdana" w:hAnsi="Verdana"/>
        </w:rPr>
      </w:pPr>
    </w:p>
    <w:p w14:paraId="413FCECF" w14:textId="060BBC8E" w:rsidR="00300478" w:rsidRDefault="00300478" w:rsidP="006464FC">
      <w:pPr>
        <w:pStyle w:val="ListParagraph"/>
        <w:numPr>
          <w:ilvl w:val="1"/>
          <w:numId w:val="28"/>
        </w:numPr>
        <w:spacing w:line="360" w:lineRule="auto"/>
        <w:ind w:left="709"/>
        <w:rPr>
          <w:rFonts w:ascii="Verdana" w:hAnsi="Verdana"/>
        </w:rPr>
      </w:pPr>
      <w:r>
        <w:rPr>
          <w:rFonts w:ascii="Verdana" w:hAnsi="Verdana"/>
        </w:rPr>
        <w:t xml:space="preserve">NI has </w:t>
      </w:r>
      <w:r w:rsidR="00DD4D83">
        <w:rPr>
          <w:rFonts w:ascii="Verdana" w:hAnsi="Verdana"/>
        </w:rPr>
        <w:t xml:space="preserve">other </w:t>
      </w:r>
      <w:r w:rsidR="00185E46">
        <w:rPr>
          <w:rFonts w:ascii="Verdana" w:hAnsi="Verdana"/>
        </w:rPr>
        <w:t xml:space="preserve">particular </w:t>
      </w:r>
      <w:r>
        <w:rPr>
          <w:rFonts w:ascii="Verdana" w:hAnsi="Verdana"/>
        </w:rPr>
        <w:t xml:space="preserve">socio-economic characteristics which differ from </w:t>
      </w:r>
      <w:r w:rsidR="00185E46">
        <w:rPr>
          <w:rFonts w:ascii="Verdana" w:hAnsi="Verdana"/>
        </w:rPr>
        <w:t>G</w:t>
      </w:r>
      <w:r w:rsidR="00AD63B6">
        <w:rPr>
          <w:rFonts w:ascii="Verdana" w:hAnsi="Verdana"/>
        </w:rPr>
        <w:t xml:space="preserve">reat </w:t>
      </w:r>
      <w:r w:rsidR="00185E46">
        <w:rPr>
          <w:rFonts w:ascii="Verdana" w:hAnsi="Verdana"/>
        </w:rPr>
        <w:t>B</w:t>
      </w:r>
      <w:r w:rsidR="00D45E36">
        <w:rPr>
          <w:rFonts w:ascii="Verdana" w:hAnsi="Verdana"/>
        </w:rPr>
        <w:t>ritain</w:t>
      </w:r>
      <w:r w:rsidR="00FD635E">
        <w:rPr>
          <w:rFonts w:ascii="Verdana" w:hAnsi="Verdana"/>
        </w:rPr>
        <w:t xml:space="preserve"> aside from a higher economic inactivity rate for disabled people</w:t>
      </w:r>
      <w:r w:rsidR="00DD4D83">
        <w:rPr>
          <w:rFonts w:ascii="Verdana" w:hAnsi="Verdana"/>
        </w:rPr>
        <w:t>, including</w:t>
      </w:r>
      <w:r w:rsidR="00FD635E">
        <w:rPr>
          <w:rFonts w:ascii="Verdana" w:hAnsi="Verdana"/>
        </w:rPr>
        <w:t xml:space="preserve"> </w:t>
      </w:r>
      <w:r w:rsidR="00EC326E">
        <w:rPr>
          <w:rFonts w:ascii="Verdana" w:hAnsi="Verdana"/>
        </w:rPr>
        <w:t>a higher economic inactivity rate generally, higher rates of child poverty</w:t>
      </w:r>
      <w:r w:rsidR="006D4331">
        <w:rPr>
          <w:rFonts w:ascii="Verdana" w:hAnsi="Verdana"/>
        </w:rPr>
        <w:t xml:space="preserve"> and higher average family sizes.</w:t>
      </w:r>
      <w:r w:rsidR="006D4331">
        <w:rPr>
          <w:rStyle w:val="FootnoteReference"/>
          <w:rFonts w:ascii="Verdana" w:hAnsi="Verdana"/>
        </w:rPr>
        <w:footnoteReference w:id="32"/>
      </w:r>
      <w:r w:rsidR="00333A35">
        <w:rPr>
          <w:rFonts w:ascii="Verdana" w:hAnsi="Verdana"/>
        </w:rPr>
        <w:t xml:space="preserve"> </w:t>
      </w:r>
      <w:r w:rsidR="00C85D9A">
        <w:rPr>
          <w:rFonts w:ascii="Verdana" w:hAnsi="Verdana"/>
        </w:rPr>
        <w:t xml:space="preserve">As such, changes to social security </w:t>
      </w:r>
      <w:r w:rsidR="00451372">
        <w:rPr>
          <w:rFonts w:ascii="Verdana" w:hAnsi="Verdana"/>
        </w:rPr>
        <w:t>have</w:t>
      </w:r>
      <w:r w:rsidR="00C85D9A">
        <w:rPr>
          <w:rFonts w:ascii="Verdana" w:hAnsi="Verdana"/>
        </w:rPr>
        <w:t xml:space="preserve"> a disproportionate impact </w:t>
      </w:r>
      <w:r w:rsidR="009D5166">
        <w:rPr>
          <w:rFonts w:ascii="Verdana" w:hAnsi="Verdana"/>
        </w:rPr>
        <w:t>on people in</w:t>
      </w:r>
      <w:r w:rsidR="00C85D9A">
        <w:rPr>
          <w:rFonts w:ascii="Verdana" w:hAnsi="Verdana"/>
        </w:rPr>
        <w:t xml:space="preserve"> NI</w:t>
      </w:r>
      <w:r w:rsidR="009D5166">
        <w:rPr>
          <w:rFonts w:ascii="Verdana" w:hAnsi="Verdana"/>
        </w:rPr>
        <w:t xml:space="preserve">, </w:t>
      </w:r>
      <w:r w:rsidR="00185E46">
        <w:rPr>
          <w:rFonts w:ascii="Verdana" w:hAnsi="Verdana"/>
        </w:rPr>
        <w:t>which</w:t>
      </w:r>
      <w:r w:rsidR="009D5166">
        <w:rPr>
          <w:rFonts w:ascii="Verdana" w:hAnsi="Verdana"/>
        </w:rPr>
        <w:t xml:space="preserve"> is particularly </w:t>
      </w:r>
      <w:r w:rsidR="00D45E36">
        <w:rPr>
          <w:rFonts w:ascii="Verdana" w:hAnsi="Verdana"/>
        </w:rPr>
        <w:t>acute</w:t>
      </w:r>
      <w:r w:rsidR="00185E46">
        <w:rPr>
          <w:rFonts w:ascii="Verdana" w:hAnsi="Verdana"/>
        </w:rPr>
        <w:t xml:space="preserve"> </w:t>
      </w:r>
      <w:r w:rsidR="009D5166">
        <w:rPr>
          <w:rFonts w:ascii="Verdana" w:hAnsi="Verdana"/>
        </w:rPr>
        <w:t>for people with disabilities or long term illness</w:t>
      </w:r>
      <w:r w:rsidR="007C6927">
        <w:rPr>
          <w:rFonts w:ascii="Verdana" w:hAnsi="Verdana"/>
        </w:rPr>
        <w:t>es</w:t>
      </w:r>
      <w:r w:rsidR="00C85D9A">
        <w:rPr>
          <w:rFonts w:ascii="Verdana" w:hAnsi="Verdana"/>
        </w:rPr>
        <w:t>.</w:t>
      </w:r>
      <w:r w:rsidR="00C85D9A">
        <w:rPr>
          <w:rStyle w:val="FootnoteReference"/>
          <w:rFonts w:ascii="Verdana" w:hAnsi="Verdana"/>
        </w:rPr>
        <w:footnoteReference w:id="33"/>
      </w:r>
      <w:r w:rsidR="00E627FA">
        <w:rPr>
          <w:rFonts w:ascii="Verdana" w:hAnsi="Verdana"/>
        </w:rPr>
        <w:t xml:space="preserve"> NI </w:t>
      </w:r>
      <w:r w:rsidR="00E627FA">
        <w:rPr>
          <w:rFonts w:ascii="Verdana" w:hAnsi="Verdana"/>
        </w:rPr>
        <w:lastRenderedPageBreak/>
        <w:t xml:space="preserve">does not currently have an anti-poverty strategy, although a strategy is </w:t>
      </w:r>
      <w:r w:rsidR="00185E46">
        <w:rPr>
          <w:rFonts w:ascii="Verdana" w:hAnsi="Verdana"/>
        </w:rPr>
        <w:t>in draft.</w:t>
      </w:r>
      <w:r w:rsidR="00E627FA">
        <w:rPr>
          <w:rStyle w:val="FootnoteReference"/>
          <w:rFonts w:ascii="Verdana" w:hAnsi="Verdana"/>
        </w:rPr>
        <w:footnoteReference w:id="34"/>
      </w:r>
    </w:p>
    <w:p w14:paraId="4911C2BE" w14:textId="77777777" w:rsidR="000B687D" w:rsidRPr="000B687D" w:rsidRDefault="000B687D" w:rsidP="00A361AB">
      <w:pPr>
        <w:pStyle w:val="ListParagraph"/>
        <w:spacing w:line="360" w:lineRule="auto"/>
        <w:rPr>
          <w:rFonts w:ascii="Verdana" w:hAnsi="Verdana"/>
        </w:rPr>
      </w:pPr>
    </w:p>
    <w:p w14:paraId="04659BAC" w14:textId="1825AE86" w:rsidR="000B687D" w:rsidRDefault="00CC571B" w:rsidP="006464FC">
      <w:pPr>
        <w:pStyle w:val="ListParagraph"/>
        <w:numPr>
          <w:ilvl w:val="1"/>
          <w:numId w:val="28"/>
        </w:numPr>
        <w:spacing w:line="360" w:lineRule="auto"/>
        <w:ind w:left="709"/>
        <w:rPr>
          <w:rFonts w:ascii="Verdana" w:hAnsi="Verdana"/>
        </w:rPr>
      </w:pPr>
      <w:r>
        <w:rPr>
          <w:rFonts w:ascii="Verdana" w:hAnsi="Verdana"/>
        </w:rPr>
        <w:t>The</w:t>
      </w:r>
      <w:r w:rsidR="0064113D">
        <w:rPr>
          <w:rFonts w:ascii="Verdana" w:hAnsi="Verdana"/>
        </w:rPr>
        <w:t xml:space="preserve"> </w:t>
      </w:r>
      <w:r w:rsidR="00F72F57">
        <w:rPr>
          <w:rFonts w:ascii="Verdana" w:hAnsi="Verdana"/>
        </w:rPr>
        <w:t>NIHRC</w:t>
      </w:r>
      <w:r w:rsidR="007C6927">
        <w:rPr>
          <w:rFonts w:ascii="Verdana" w:hAnsi="Verdana"/>
        </w:rPr>
        <w:t xml:space="preserve"> notes that the </w:t>
      </w:r>
      <w:r w:rsidR="0064113D">
        <w:rPr>
          <w:rFonts w:ascii="Verdana" w:hAnsi="Verdana"/>
        </w:rPr>
        <w:t xml:space="preserve">detail of measures set out in the Pathways to Work </w:t>
      </w:r>
      <w:r w:rsidR="00817D8D">
        <w:rPr>
          <w:rFonts w:ascii="Verdana" w:hAnsi="Verdana"/>
        </w:rPr>
        <w:t>G</w:t>
      </w:r>
      <w:r w:rsidR="0064113D">
        <w:rPr>
          <w:rFonts w:ascii="Verdana" w:hAnsi="Verdana"/>
        </w:rPr>
        <w:t xml:space="preserve">reen </w:t>
      </w:r>
      <w:r w:rsidR="00817D8D">
        <w:rPr>
          <w:rFonts w:ascii="Verdana" w:hAnsi="Verdana"/>
        </w:rPr>
        <w:t>P</w:t>
      </w:r>
      <w:r w:rsidR="0064113D">
        <w:rPr>
          <w:rFonts w:ascii="Verdana" w:hAnsi="Verdana"/>
        </w:rPr>
        <w:t xml:space="preserve">aper were </w:t>
      </w:r>
      <w:r w:rsidR="00185E46">
        <w:rPr>
          <w:rFonts w:ascii="Verdana" w:hAnsi="Verdana"/>
        </w:rPr>
        <w:t xml:space="preserve">not </w:t>
      </w:r>
      <w:r w:rsidR="0064113D">
        <w:rPr>
          <w:rFonts w:ascii="Verdana" w:hAnsi="Verdana"/>
        </w:rPr>
        <w:t xml:space="preserve">made available to the </w:t>
      </w:r>
      <w:r w:rsidR="00B21E83">
        <w:rPr>
          <w:rFonts w:ascii="Verdana" w:hAnsi="Verdana"/>
        </w:rPr>
        <w:t xml:space="preserve">NI </w:t>
      </w:r>
      <w:r w:rsidR="0064113D">
        <w:rPr>
          <w:rFonts w:ascii="Verdana" w:hAnsi="Verdana"/>
        </w:rPr>
        <w:t xml:space="preserve">Department for Communities </w:t>
      </w:r>
      <w:r w:rsidR="00185E46">
        <w:rPr>
          <w:rFonts w:ascii="Verdana" w:hAnsi="Verdana"/>
        </w:rPr>
        <w:t xml:space="preserve">until </w:t>
      </w:r>
      <w:r w:rsidR="00D87109">
        <w:rPr>
          <w:rFonts w:ascii="Verdana" w:hAnsi="Verdana"/>
        </w:rPr>
        <w:t xml:space="preserve">18 March 2025, the </w:t>
      </w:r>
      <w:r w:rsidR="00185E46">
        <w:rPr>
          <w:rFonts w:ascii="Verdana" w:hAnsi="Verdana"/>
        </w:rPr>
        <w:t xml:space="preserve">same </w:t>
      </w:r>
      <w:r w:rsidR="00D87109">
        <w:rPr>
          <w:rFonts w:ascii="Verdana" w:hAnsi="Verdana"/>
        </w:rPr>
        <w:t xml:space="preserve">day the </w:t>
      </w:r>
      <w:r w:rsidR="00817D8D">
        <w:rPr>
          <w:rFonts w:ascii="Verdana" w:hAnsi="Verdana"/>
        </w:rPr>
        <w:t>G</w:t>
      </w:r>
      <w:r w:rsidR="00D87109">
        <w:rPr>
          <w:rFonts w:ascii="Verdana" w:hAnsi="Verdana"/>
        </w:rPr>
        <w:t xml:space="preserve">reen </w:t>
      </w:r>
      <w:r w:rsidR="00817D8D">
        <w:rPr>
          <w:rFonts w:ascii="Verdana" w:hAnsi="Verdana"/>
        </w:rPr>
        <w:t>P</w:t>
      </w:r>
      <w:r w:rsidR="00D87109">
        <w:rPr>
          <w:rFonts w:ascii="Verdana" w:hAnsi="Verdana"/>
        </w:rPr>
        <w:t>aper was published</w:t>
      </w:r>
      <w:r w:rsidR="00381FD6">
        <w:rPr>
          <w:rFonts w:ascii="Verdana" w:hAnsi="Verdana"/>
        </w:rPr>
        <w:t>.</w:t>
      </w:r>
      <w:r w:rsidR="00381FD6">
        <w:rPr>
          <w:rStyle w:val="FootnoteReference"/>
          <w:rFonts w:ascii="Verdana" w:hAnsi="Verdana"/>
        </w:rPr>
        <w:footnoteReference w:id="35"/>
      </w:r>
      <w:r w:rsidR="00381FD6">
        <w:rPr>
          <w:rFonts w:ascii="Verdana" w:hAnsi="Verdana"/>
        </w:rPr>
        <w:t xml:space="preserve"> </w:t>
      </w:r>
      <w:r w:rsidR="000D66DA">
        <w:rPr>
          <w:rFonts w:ascii="Verdana" w:hAnsi="Verdana"/>
        </w:rPr>
        <w:t xml:space="preserve">As such, the implications </w:t>
      </w:r>
      <w:r w:rsidR="00E84CF8">
        <w:rPr>
          <w:rFonts w:ascii="Verdana" w:hAnsi="Verdana"/>
        </w:rPr>
        <w:t>of the</w:t>
      </w:r>
      <w:r w:rsidR="00032DE5">
        <w:rPr>
          <w:rFonts w:ascii="Verdana" w:hAnsi="Verdana"/>
        </w:rPr>
        <w:t>se</w:t>
      </w:r>
      <w:r w:rsidR="00E84CF8">
        <w:rPr>
          <w:rFonts w:ascii="Verdana" w:hAnsi="Verdana"/>
        </w:rPr>
        <w:t xml:space="preserve"> measures for persons with disabilities and health conditions in NI </w:t>
      </w:r>
      <w:r w:rsidR="00185E46">
        <w:rPr>
          <w:rFonts w:ascii="Verdana" w:hAnsi="Verdana"/>
        </w:rPr>
        <w:t xml:space="preserve">could not be </w:t>
      </w:r>
      <w:r w:rsidR="00E84CF8">
        <w:rPr>
          <w:rFonts w:ascii="Verdana" w:hAnsi="Verdana"/>
        </w:rPr>
        <w:t xml:space="preserve">assessed before the </w:t>
      </w:r>
      <w:r w:rsidR="00154B7A">
        <w:rPr>
          <w:rFonts w:ascii="Verdana" w:hAnsi="Verdana"/>
        </w:rPr>
        <w:t xml:space="preserve">announcement of the </w:t>
      </w:r>
      <w:r w:rsidR="00817D8D">
        <w:rPr>
          <w:rFonts w:ascii="Verdana" w:hAnsi="Verdana"/>
        </w:rPr>
        <w:t>G</w:t>
      </w:r>
      <w:r w:rsidR="00154B7A">
        <w:rPr>
          <w:rFonts w:ascii="Verdana" w:hAnsi="Verdana"/>
        </w:rPr>
        <w:t xml:space="preserve">reen </w:t>
      </w:r>
      <w:r w:rsidR="00817D8D">
        <w:rPr>
          <w:rFonts w:ascii="Verdana" w:hAnsi="Verdana"/>
        </w:rPr>
        <w:t>P</w:t>
      </w:r>
      <w:r w:rsidR="00154B7A">
        <w:rPr>
          <w:rFonts w:ascii="Verdana" w:hAnsi="Verdana"/>
        </w:rPr>
        <w:t>aper</w:t>
      </w:r>
      <w:r w:rsidR="00185E46">
        <w:rPr>
          <w:rFonts w:ascii="Verdana" w:hAnsi="Verdana"/>
        </w:rPr>
        <w:t>.</w:t>
      </w:r>
      <w:r w:rsidR="006443F3">
        <w:rPr>
          <w:rStyle w:val="FootnoteReference"/>
          <w:rFonts w:ascii="Verdana" w:hAnsi="Verdana"/>
        </w:rPr>
        <w:footnoteReference w:id="36"/>
      </w:r>
      <w:r w:rsidR="004F5DB9">
        <w:rPr>
          <w:rFonts w:ascii="Verdana" w:hAnsi="Verdana"/>
        </w:rPr>
        <w:t xml:space="preserve"> </w:t>
      </w:r>
      <w:r w:rsidR="00352446">
        <w:rPr>
          <w:rFonts w:ascii="Verdana" w:hAnsi="Verdana"/>
        </w:rPr>
        <w:t>As outlined above, t</w:t>
      </w:r>
      <w:r w:rsidR="004F5DB9">
        <w:rPr>
          <w:rFonts w:ascii="Verdana" w:hAnsi="Verdana"/>
        </w:rPr>
        <w:t xml:space="preserve">he NIHRC is concerned that these measures will have a </w:t>
      </w:r>
      <w:r w:rsidR="007E6E6F">
        <w:rPr>
          <w:rFonts w:ascii="Verdana" w:hAnsi="Verdana"/>
        </w:rPr>
        <w:t>disproportionate impact in NI compared to the rest of the UK</w:t>
      </w:r>
      <w:r w:rsidR="002C66D8">
        <w:rPr>
          <w:rFonts w:ascii="Verdana" w:hAnsi="Verdana"/>
        </w:rPr>
        <w:t>,</w:t>
      </w:r>
      <w:r w:rsidR="007E6E6F">
        <w:rPr>
          <w:rFonts w:ascii="Verdana" w:hAnsi="Verdana"/>
        </w:rPr>
        <w:t xml:space="preserve"> </w:t>
      </w:r>
      <w:r w:rsidR="00185E46">
        <w:rPr>
          <w:rFonts w:ascii="Verdana" w:hAnsi="Verdana"/>
        </w:rPr>
        <w:t xml:space="preserve">that they are moving at pace without proper consideration or consultation of </w:t>
      </w:r>
      <w:r w:rsidR="00B476FC">
        <w:rPr>
          <w:rFonts w:ascii="Verdana" w:hAnsi="Verdana"/>
        </w:rPr>
        <w:t>their impact on disabled people and people with health condition</w:t>
      </w:r>
      <w:r w:rsidR="002C66D8">
        <w:rPr>
          <w:rFonts w:ascii="Verdana" w:hAnsi="Verdana"/>
        </w:rPr>
        <w:t>s</w:t>
      </w:r>
      <w:r w:rsidR="00B476FC">
        <w:rPr>
          <w:rFonts w:ascii="Verdana" w:hAnsi="Verdana"/>
        </w:rPr>
        <w:t xml:space="preserve"> in NI. </w:t>
      </w:r>
    </w:p>
    <w:p w14:paraId="6CCC683D" w14:textId="77777777" w:rsidR="00B476FC" w:rsidRPr="00B476FC" w:rsidRDefault="00B476FC" w:rsidP="00A361AB">
      <w:pPr>
        <w:pStyle w:val="ListParagraph"/>
        <w:spacing w:line="360" w:lineRule="auto"/>
        <w:rPr>
          <w:rFonts w:ascii="Verdana" w:hAnsi="Verdana"/>
        </w:rPr>
      </w:pPr>
    </w:p>
    <w:p w14:paraId="64035A20" w14:textId="02BBB0ED" w:rsidR="00247473" w:rsidRPr="00247473" w:rsidRDefault="00B476FC" w:rsidP="006464FC">
      <w:pPr>
        <w:pStyle w:val="ListParagraph"/>
        <w:numPr>
          <w:ilvl w:val="1"/>
          <w:numId w:val="28"/>
        </w:numPr>
        <w:spacing w:line="360" w:lineRule="auto"/>
        <w:ind w:left="709"/>
        <w:rPr>
          <w:rFonts w:ascii="Verdana" w:hAnsi="Verdana"/>
        </w:rPr>
      </w:pPr>
      <w:r w:rsidRPr="00247473">
        <w:rPr>
          <w:rFonts w:ascii="Verdana" w:hAnsi="Verdana"/>
          <w:b/>
          <w:bCs/>
        </w:rPr>
        <w:t xml:space="preserve">The NIHRC recommends that the Department for Work and Pensions </w:t>
      </w:r>
      <w:r w:rsidR="00A70892" w:rsidRPr="00247473">
        <w:rPr>
          <w:rFonts w:ascii="Verdana" w:hAnsi="Verdana"/>
          <w:b/>
          <w:bCs/>
        </w:rPr>
        <w:t xml:space="preserve">liaises closely with the Department for Communities on measures set out in the </w:t>
      </w:r>
      <w:r w:rsidR="00817D8D">
        <w:rPr>
          <w:rFonts w:ascii="Verdana" w:hAnsi="Verdana"/>
          <w:b/>
          <w:bCs/>
        </w:rPr>
        <w:t>G</w:t>
      </w:r>
      <w:r w:rsidR="00A70892" w:rsidRPr="00247473">
        <w:rPr>
          <w:rFonts w:ascii="Verdana" w:hAnsi="Verdana"/>
          <w:b/>
          <w:bCs/>
        </w:rPr>
        <w:t xml:space="preserve">reen </w:t>
      </w:r>
      <w:r w:rsidR="00817D8D">
        <w:rPr>
          <w:rFonts w:ascii="Verdana" w:hAnsi="Verdana"/>
          <w:b/>
          <w:bCs/>
        </w:rPr>
        <w:t>P</w:t>
      </w:r>
      <w:r w:rsidR="00A70892" w:rsidRPr="00247473">
        <w:rPr>
          <w:rFonts w:ascii="Verdana" w:hAnsi="Verdana"/>
          <w:b/>
          <w:bCs/>
        </w:rPr>
        <w:t xml:space="preserve">aper and ensures that measures are not brought forward in NI without a full equality impact assessment being carried out, at no </w:t>
      </w:r>
      <w:r w:rsidR="000D30DD" w:rsidRPr="00247473">
        <w:rPr>
          <w:rFonts w:ascii="Verdana" w:hAnsi="Verdana"/>
          <w:b/>
          <w:bCs/>
        </w:rPr>
        <w:t xml:space="preserve">detriment to the NI Executive’s block grant. </w:t>
      </w:r>
    </w:p>
    <w:p w14:paraId="6FA575E2" w14:textId="77777777" w:rsidR="00247473" w:rsidRDefault="00247473" w:rsidP="00A361AB">
      <w:pPr>
        <w:spacing w:line="360" w:lineRule="auto"/>
        <w:rPr>
          <w:rFonts w:ascii="Verdana" w:hAnsi="Verdana"/>
        </w:rPr>
      </w:pPr>
    </w:p>
    <w:p w14:paraId="10271145" w14:textId="6A19D834" w:rsidR="00247473" w:rsidRPr="00247473" w:rsidRDefault="00247473" w:rsidP="00A361AB">
      <w:pPr>
        <w:pStyle w:val="Heading2"/>
        <w:spacing w:line="360" w:lineRule="auto"/>
      </w:pPr>
      <w:bookmarkStart w:id="4" w:name="_Toc201648655"/>
      <w:r>
        <w:t>Participation</w:t>
      </w:r>
      <w:bookmarkEnd w:id="4"/>
    </w:p>
    <w:p w14:paraId="5A9A0FE1" w14:textId="06586CFF" w:rsidR="003019C6" w:rsidRDefault="00247473" w:rsidP="006464FC">
      <w:pPr>
        <w:pStyle w:val="ListParagraph"/>
        <w:numPr>
          <w:ilvl w:val="1"/>
          <w:numId w:val="28"/>
        </w:numPr>
        <w:spacing w:line="360" w:lineRule="auto"/>
        <w:ind w:left="709"/>
        <w:rPr>
          <w:rFonts w:ascii="Verdana" w:hAnsi="Verdana"/>
        </w:rPr>
      </w:pPr>
      <w:r w:rsidRPr="00247473">
        <w:rPr>
          <w:rFonts w:ascii="Verdana" w:hAnsi="Verdana"/>
        </w:rPr>
        <w:t>T</w:t>
      </w:r>
      <w:r w:rsidR="006A1A6A" w:rsidRPr="00247473">
        <w:rPr>
          <w:rFonts w:ascii="Verdana" w:hAnsi="Verdana"/>
        </w:rPr>
        <w:t xml:space="preserve">he NIHRC is concerned that </w:t>
      </w:r>
      <w:r w:rsidR="00E15AB4" w:rsidRPr="00247473">
        <w:rPr>
          <w:rFonts w:ascii="Verdana" w:hAnsi="Verdana"/>
        </w:rPr>
        <w:t xml:space="preserve">large scale changes to </w:t>
      </w:r>
      <w:r w:rsidR="00E479E7" w:rsidRPr="00247473">
        <w:rPr>
          <w:rFonts w:ascii="Verdana" w:hAnsi="Verdana"/>
        </w:rPr>
        <w:t xml:space="preserve">the Personal Independence Payment and the Universal Credit </w:t>
      </w:r>
      <w:r w:rsidR="00AF383A" w:rsidRPr="00247473">
        <w:rPr>
          <w:rFonts w:ascii="Verdana" w:hAnsi="Verdana"/>
        </w:rPr>
        <w:t>Health element, as well as the removal of the Work Capability Assessment</w:t>
      </w:r>
      <w:r w:rsidR="00C75236">
        <w:rPr>
          <w:rFonts w:ascii="Verdana" w:hAnsi="Verdana"/>
        </w:rPr>
        <w:t>,</w:t>
      </w:r>
      <w:r w:rsidR="00AF383A" w:rsidRPr="00247473">
        <w:rPr>
          <w:rFonts w:ascii="Verdana" w:hAnsi="Verdana"/>
        </w:rPr>
        <w:t xml:space="preserve"> </w:t>
      </w:r>
      <w:r w:rsidR="002F30B0" w:rsidRPr="00247473">
        <w:rPr>
          <w:rFonts w:ascii="Verdana" w:hAnsi="Verdana"/>
        </w:rPr>
        <w:t>are being taken forward by the UK Government without a</w:t>
      </w:r>
      <w:r w:rsidR="00D35371">
        <w:rPr>
          <w:rFonts w:ascii="Verdana" w:hAnsi="Verdana"/>
        </w:rPr>
        <w:t xml:space="preserve"> full </w:t>
      </w:r>
      <w:r w:rsidR="002F30B0" w:rsidRPr="00247473">
        <w:rPr>
          <w:rFonts w:ascii="Verdana" w:hAnsi="Verdana"/>
        </w:rPr>
        <w:t xml:space="preserve">public consultation </w:t>
      </w:r>
      <w:r w:rsidR="00D35371">
        <w:rPr>
          <w:rFonts w:ascii="Verdana" w:hAnsi="Verdana"/>
        </w:rPr>
        <w:t>on each element</w:t>
      </w:r>
      <w:r w:rsidR="002F30B0" w:rsidRPr="00247473">
        <w:rPr>
          <w:rFonts w:ascii="Verdana" w:hAnsi="Verdana"/>
        </w:rPr>
        <w:t>.</w:t>
      </w:r>
      <w:r w:rsidR="009D50D3">
        <w:rPr>
          <w:rStyle w:val="FootnoteReference"/>
          <w:rFonts w:ascii="Verdana" w:hAnsi="Verdana"/>
        </w:rPr>
        <w:footnoteReference w:id="37"/>
      </w:r>
      <w:r w:rsidR="006C39F0">
        <w:rPr>
          <w:rFonts w:ascii="Verdana" w:hAnsi="Verdana"/>
        </w:rPr>
        <w:t xml:space="preserve"> </w:t>
      </w:r>
      <w:r w:rsidR="00185E46">
        <w:rPr>
          <w:rFonts w:ascii="Verdana" w:hAnsi="Verdana"/>
        </w:rPr>
        <w:t xml:space="preserve">That means that the right to participation has not been </w:t>
      </w:r>
      <w:r w:rsidR="00B06E4D">
        <w:rPr>
          <w:rFonts w:ascii="Verdana" w:hAnsi="Verdana"/>
        </w:rPr>
        <w:t>recognised</w:t>
      </w:r>
      <w:r w:rsidR="00185E46">
        <w:rPr>
          <w:rFonts w:ascii="Verdana" w:hAnsi="Verdana"/>
        </w:rPr>
        <w:t>.</w:t>
      </w:r>
    </w:p>
    <w:p w14:paraId="7D384378" w14:textId="77777777" w:rsidR="00774A9B" w:rsidRDefault="00774A9B" w:rsidP="00A361AB">
      <w:pPr>
        <w:pStyle w:val="ListParagraph"/>
        <w:spacing w:line="360" w:lineRule="auto"/>
        <w:ind w:left="709"/>
        <w:rPr>
          <w:rFonts w:ascii="Verdana" w:hAnsi="Verdana"/>
        </w:rPr>
      </w:pPr>
    </w:p>
    <w:p w14:paraId="36474556" w14:textId="5B42D738" w:rsidR="00774A9B" w:rsidRDefault="00774A9B" w:rsidP="006464FC">
      <w:pPr>
        <w:pStyle w:val="ListParagraph"/>
        <w:numPr>
          <w:ilvl w:val="1"/>
          <w:numId w:val="28"/>
        </w:numPr>
        <w:spacing w:line="360" w:lineRule="auto"/>
        <w:ind w:left="709"/>
        <w:rPr>
          <w:rFonts w:ascii="Verdana" w:hAnsi="Verdana"/>
        </w:rPr>
      </w:pPr>
      <w:r>
        <w:rPr>
          <w:rFonts w:ascii="Verdana" w:hAnsi="Verdana"/>
        </w:rPr>
        <w:t xml:space="preserve">The right to participation is protected in several international human rights instruments. </w:t>
      </w:r>
      <w:r w:rsidR="00D5067A">
        <w:rPr>
          <w:rFonts w:ascii="Verdana" w:hAnsi="Verdana"/>
        </w:rPr>
        <w:t>Article 25 of the</w:t>
      </w:r>
      <w:r>
        <w:rPr>
          <w:rFonts w:ascii="Verdana" w:hAnsi="Verdana"/>
        </w:rPr>
        <w:t xml:space="preserve"> UN Convention on Civil and Political Rights</w:t>
      </w:r>
      <w:r w:rsidR="00D5067A">
        <w:rPr>
          <w:rFonts w:ascii="Verdana" w:hAnsi="Verdana"/>
        </w:rPr>
        <w:t xml:space="preserve"> (ICCPR) </w:t>
      </w:r>
      <w:r w:rsidR="004F04A9">
        <w:rPr>
          <w:rFonts w:ascii="Verdana" w:hAnsi="Verdana"/>
        </w:rPr>
        <w:t>protects the right of individuals to participate in public affairs</w:t>
      </w:r>
      <w:r w:rsidR="00AF5E22">
        <w:rPr>
          <w:rFonts w:ascii="Verdana" w:hAnsi="Verdana"/>
        </w:rPr>
        <w:t xml:space="preserve">. The UN Human Rights Committee </w:t>
      </w:r>
      <w:r w:rsidR="00B25224">
        <w:rPr>
          <w:rFonts w:ascii="Verdana" w:hAnsi="Verdana"/>
        </w:rPr>
        <w:t xml:space="preserve">has </w:t>
      </w:r>
      <w:r w:rsidR="00AF5E22">
        <w:rPr>
          <w:rFonts w:ascii="Verdana" w:hAnsi="Verdana"/>
        </w:rPr>
        <w:t>elaborate</w:t>
      </w:r>
      <w:r w:rsidR="00B25224">
        <w:rPr>
          <w:rFonts w:ascii="Verdana" w:hAnsi="Verdana"/>
        </w:rPr>
        <w:t>d</w:t>
      </w:r>
      <w:r w:rsidR="00AF5E22">
        <w:rPr>
          <w:rFonts w:ascii="Verdana" w:hAnsi="Verdana"/>
        </w:rPr>
        <w:t xml:space="preserve"> on article 25, noting that </w:t>
      </w:r>
      <w:r w:rsidR="00E07D95">
        <w:rPr>
          <w:rFonts w:ascii="Verdana" w:hAnsi="Verdana"/>
        </w:rPr>
        <w:t xml:space="preserve">the </w:t>
      </w:r>
      <w:r w:rsidR="00FD6771">
        <w:rPr>
          <w:rFonts w:ascii="Verdana" w:hAnsi="Verdana"/>
        </w:rPr>
        <w:t xml:space="preserve">conduct of public affairs is a broad concept, inclusive of but not limited to </w:t>
      </w:r>
      <w:r w:rsidR="00DE0D02">
        <w:rPr>
          <w:rFonts w:ascii="Verdana" w:hAnsi="Verdana"/>
        </w:rPr>
        <w:t>the formulation and implementation of policy.</w:t>
      </w:r>
      <w:r w:rsidR="00DE0D02">
        <w:rPr>
          <w:rStyle w:val="FootnoteReference"/>
          <w:rFonts w:ascii="Verdana" w:hAnsi="Verdana"/>
        </w:rPr>
        <w:footnoteReference w:id="38"/>
      </w:r>
      <w:r w:rsidR="00121752">
        <w:rPr>
          <w:rFonts w:ascii="Verdana" w:hAnsi="Verdana"/>
        </w:rPr>
        <w:t xml:space="preserve"> The UN Human Rights Committee further identif</w:t>
      </w:r>
      <w:r w:rsidR="0011171D">
        <w:rPr>
          <w:rFonts w:ascii="Verdana" w:hAnsi="Verdana"/>
        </w:rPr>
        <w:t>ies</w:t>
      </w:r>
      <w:r w:rsidR="00121752">
        <w:rPr>
          <w:rFonts w:ascii="Verdana" w:hAnsi="Verdana"/>
        </w:rPr>
        <w:t xml:space="preserve"> that citizens participate in public affairs </w:t>
      </w:r>
      <w:r w:rsidR="00843B08">
        <w:rPr>
          <w:rFonts w:ascii="Verdana" w:hAnsi="Verdana"/>
        </w:rPr>
        <w:t xml:space="preserve">by exerting influence </w:t>
      </w:r>
      <w:r w:rsidR="003F5EB2">
        <w:rPr>
          <w:rFonts w:ascii="Verdana" w:hAnsi="Verdana"/>
        </w:rPr>
        <w:t>though public debate and dialogue with their representatives.</w:t>
      </w:r>
      <w:r w:rsidR="004F40BE">
        <w:rPr>
          <w:rFonts w:ascii="Verdana" w:hAnsi="Verdana"/>
        </w:rPr>
        <w:t xml:space="preserve"> Participation is supported by ensuring </w:t>
      </w:r>
      <w:r w:rsidR="00623737">
        <w:rPr>
          <w:rFonts w:ascii="Verdana" w:hAnsi="Verdana"/>
        </w:rPr>
        <w:t>freedom of expression, assembly and association.</w:t>
      </w:r>
      <w:r w:rsidR="00CE33B4">
        <w:rPr>
          <w:rStyle w:val="FootnoteReference"/>
          <w:rFonts w:ascii="Verdana" w:hAnsi="Verdana"/>
        </w:rPr>
        <w:footnoteReference w:id="39"/>
      </w:r>
    </w:p>
    <w:p w14:paraId="6E1D93D9" w14:textId="77777777" w:rsidR="00EE6A21" w:rsidRPr="00EE6A21" w:rsidRDefault="00EE6A21" w:rsidP="00A361AB">
      <w:pPr>
        <w:pStyle w:val="ListParagraph"/>
        <w:spacing w:line="360" w:lineRule="auto"/>
        <w:rPr>
          <w:rFonts w:ascii="Verdana" w:hAnsi="Verdana"/>
        </w:rPr>
      </w:pPr>
    </w:p>
    <w:p w14:paraId="755997D5" w14:textId="52464250" w:rsidR="00121B10" w:rsidRDefault="009404F5" w:rsidP="006464FC">
      <w:pPr>
        <w:pStyle w:val="ListParagraph"/>
        <w:numPr>
          <w:ilvl w:val="1"/>
          <w:numId w:val="28"/>
        </w:numPr>
        <w:spacing w:line="360" w:lineRule="auto"/>
        <w:ind w:left="709"/>
        <w:rPr>
          <w:rFonts w:ascii="Verdana" w:hAnsi="Verdana"/>
        </w:rPr>
      </w:pPr>
      <w:r>
        <w:rPr>
          <w:rFonts w:ascii="Verdana" w:hAnsi="Verdana"/>
        </w:rPr>
        <w:t xml:space="preserve">Article 12 of the </w:t>
      </w:r>
      <w:r w:rsidR="004D0548">
        <w:rPr>
          <w:rFonts w:ascii="Verdana" w:hAnsi="Verdana"/>
        </w:rPr>
        <w:t>UN Convention on the Rights of the Child</w:t>
      </w:r>
      <w:r w:rsidR="00521A11">
        <w:rPr>
          <w:rFonts w:ascii="Verdana" w:hAnsi="Verdana"/>
        </w:rPr>
        <w:t xml:space="preserve"> (UN CRC)</w:t>
      </w:r>
      <w:r>
        <w:rPr>
          <w:rFonts w:ascii="Verdana" w:hAnsi="Verdana"/>
        </w:rPr>
        <w:t xml:space="preserve"> </w:t>
      </w:r>
      <w:r w:rsidR="10EAE672" w:rsidRPr="407E9047">
        <w:rPr>
          <w:rFonts w:ascii="Verdana" w:hAnsi="Verdana"/>
        </w:rPr>
        <w:t>provides</w:t>
      </w:r>
      <w:r>
        <w:rPr>
          <w:rFonts w:ascii="Verdana" w:hAnsi="Verdana"/>
        </w:rPr>
        <w:t xml:space="preserve"> that </w:t>
      </w:r>
      <w:r w:rsidR="00FF0CE8">
        <w:rPr>
          <w:rFonts w:ascii="Verdana" w:hAnsi="Verdana"/>
        </w:rPr>
        <w:t xml:space="preserve">States should </w:t>
      </w:r>
      <w:r w:rsidR="00980454">
        <w:rPr>
          <w:rFonts w:ascii="Verdana" w:hAnsi="Verdana"/>
        </w:rPr>
        <w:t xml:space="preserve">assure </w:t>
      </w:r>
      <w:r w:rsidR="00FF0CE8">
        <w:rPr>
          <w:rFonts w:ascii="Verdana" w:hAnsi="Verdana"/>
        </w:rPr>
        <w:t>“</w:t>
      </w:r>
      <w:r w:rsidR="00980454" w:rsidRPr="00980454">
        <w:rPr>
          <w:rFonts w:ascii="Verdana" w:hAnsi="Verdana"/>
        </w:rPr>
        <w:t>to the child who is capable of forming his or her own views the right to express those views freely in all matters affecting the child, the views of the child being given due weight in accordance with the age and maturity of the child</w:t>
      </w:r>
      <w:r w:rsidR="00980454">
        <w:rPr>
          <w:rFonts w:ascii="Verdana" w:hAnsi="Verdana"/>
        </w:rPr>
        <w:t>”</w:t>
      </w:r>
      <w:r w:rsidR="00980454" w:rsidRPr="00980454">
        <w:rPr>
          <w:rFonts w:ascii="Verdana" w:hAnsi="Verdana"/>
        </w:rPr>
        <w:t>.</w:t>
      </w:r>
      <w:r w:rsidR="001F11A2">
        <w:rPr>
          <w:rStyle w:val="FootnoteReference"/>
          <w:rFonts w:ascii="Verdana" w:hAnsi="Verdana"/>
        </w:rPr>
        <w:footnoteReference w:id="40"/>
      </w:r>
      <w:r w:rsidR="00980454">
        <w:rPr>
          <w:rFonts w:ascii="Verdana" w:hAnsi="Verdana"/>
        </w:rPr>
        <w:t xml:space="preserve"> The UN Committee on the Rights of the Child (UN CRC Committee) </w:t>
      </w:r>
      <w:r w:rsidR="00F907EF">
        <w:rPr>
          <w:rFonts w:ascii="Verdana" w:hAnsi="Verdana"/>
        </w:rPr>
        <w:t>note</w:t>
      </w:r>
      <w:r w:rsidR="0011171D">
        <w:rPr>
          <w:rFonts w:ascii="Verdana" w:hAnsi="Verdana"/>
        </w:rPr>
        <w:t>s</w:t>
      </w:r>
      <w:r w:rsidR="00F907EF">
        <w:rPr>
          <w:rFonts w:ascii="Verdana" w:hAnsi="Verdana"/>
        </w:rPr>
        <w:t xml:space="preserve"> that </w:t>
      </w:r>
      <w:r w:rsidR="00F13525">
        <w:rPr>
          <w:rFonts w:ascii="Verdana" w:hAnsi="Verdana"/>
        </w:rPr>
        <w:t>views expressed by children add “</w:t>
      </w:r>
      <w:r w:rsidR="00F13525" w:rsidRPr="00F13525">
        <w:rPr>
          <w:rFonts w:ascii="Verdana" w:hAnsi="Verdana"/>
        </w:rPr>
        <w:t>relevant perspectives and experience and should be considered in decision-making, policymaking and preparation of laws and/or measures as well as their evaluation</w:t>
      </w:r>
      <w:r w:rsidR="00F13525">
        <w:rPr>
          <w:rFonts w:ascii="Verdana" w:hAnsi="Verdana"/>
        </w:rPr>
        <w:t>”</w:t>
      </w:r>
      <w:r w:rsidR="00F13525" w:rsidRPr="00F13525">
        <w:rPr>
          <w:rFonts w:ascii="Verdana" w:hAnsi="Verdana"/>
        </w:rPr>
        <w:t>.</w:t>
      </w:r>
      <w:r w:rsidR="00F13525">
        <w:rPr>
          <w:rStyle w:val="FootnoteReference"/>
          <w:rFonts w:ascii="Verdana" w:hAnsi="Verdana"/>
        </w:rPr>
        <w:footnoteReference w:id="41"/>
      </w:r>
      <w:r w:rsidR="00F13525">
        <w:rPr>
          <w:rFonts w:ascii="Verdana" w:hAnsi="Verdana"/>
        </w:rPr>
        <w:t xml:space="preserve"> The UN CRC Committee note that these processes are called participatio</w:t>
      </w:r>
      <w:r w:rsidR="00C74050">
        <w:rPr>
          <w:rFonts w:ascii="Verdana" w:hAnsi="Verdana"/>
        </w:rPr>
        <w:t>n and the exercise of the child’s article 12 rights are crucial to this process.</w:t>
      </w:r>
      <w:r w:rsidR="00C74050">
        <w:rPr>
          <w:rStyle w:val="FootnoteReference"/>
          <w:rFonts w:ascii="Verdana" w:hAnsi="Verdana"/>
        </w:rPr>
        <w:footnoteReference w:id="42"/>
      </w:r>
    </w:p>
    <w:p w14:paraId="0922C95B" w14:textId="77777777" w:rsidR="00121B10" w:rsidRPr="00121B10" w:rsidRDefault="00121B10" w:rsidP="00A361AB">
      <w:pPr>
        <w:pStyle w:val="ListParagraph"/>
        <w:spacing w:line="360" w:lineRule="auto"/>
        <w:rPr>
          <w:rFonts w:ascii="Verdana" w:eastAsia="MS Mincho" w:hAnsi="Verdana" w:cs="Times New Roman"/>
        </w:rPr>
      </w:pPr>
    </w:p>
    <w:p w14:paraId="2F500DE6" w14:textId="4B909ACF" w:rsidR="001145D5" w:rsidRPr="00121B10" w:rsidRDefault="00486BAC" w:rsidP="006464FC">
      <w:pPr>
        <w:pStyle w:val="ListParagraph"/>
        <w:numPr>
          <w:ilvl w:val="1"/>
          <w:numId w:val="28"/>
        </w:numPr>
        <w:spacing w:line="360" w:lineRule="auto"/>
        <w:ind w:left="709"/>
        <w:rPr>
          <w:rFonts w:ascii="Verdana" w:hAnsi="Verdana"/>
        </w:rPr>
      </w:pPr>
      <w:r>
        <w:rPr>
          <w:rFonts w:ascii="Verdana" w:eastAsia="MS Mincho" w:hAnsi="Verdana" w:cs="Times New Roman"/>
        </w:rPr>
        <w:t>Perhaps m</w:t>
      </w:r>
      <w:r w:rsidR="0034389C" w:rsidRPr="00121B10">
        <w:rPr>
          <w:rFonts w:ascii="Verdana" w:eastAsia="MS Mincho" w:hAnsi="Verdana" w:cs="Times New Roman"/>
        </w:rPr>
        <w:t xml:space="preserve">ost relevant to this consultation is the participation of persons with disabilities. </w:t>
      </w:r>
      <w:r w:rsidR="001145D5" w:rsidRPr="00121B10">
        <w:rPr>
          <w:rFonts w:ascii="Verdana" w:eastAsia="MS Mincho" w:hAnsi="Verdana" w:cs="Times New Roman"/>
        </w:rPr>
        <w:t>Article 4(3) of the UN C</w:t>
      </w:r>
      <w:r w:rsidR="00700F84" w:rsidRPr="00121B10">
        <w:rPr>
          <w:rFonts w:ascii="Verdana" w:eastAsia="MS Mincho" w:hAnsi="Verdana" w:cs="Times New Roman"/>
        </w:rPr>
        <w:t xml:space="preserve">onvention on the </w:t>
      </w:r>
      <w:r w:rsidR="001145D5" w:rsidRPr="00121B10">
        <w:rPr>
          <w:rFonts w:ascii="Verdana" w:eastAsia="MS Mincho" w:hAnsi="Verdana" w:cs="Times New Roman"/>
        </w:rPr>
        <w:t>R</w:t>
      </w:r>
      <w:r w:rsidR="00700F84" w:rsidRPr="00121B10">
        <w:rPr>
          <w:rFonts w:ascii="Verdana" w:eastAsia="MS Mincho" w:hAnsi="Verdana" w:cs="Times New Roman"/>
        </w:rPr>
        <w:t xml:space="preserve">ights of </w:t>
      </w:r>
      <w:r w:rsidR="001145D5" w:rsidRPr="00121B10">
        <w:rPr>
          <w:rFonts w:ascii="Verdana" w:eastAsia="MS Mincho" w:hAnsi="Verdana" w:cs="Times New Roman"/>
        </w:rPr>
        <w:t>P</w:t>
      </w:r>
      <w:r w:rsidR="00700F84" w:rsidRPr="00121B10">
        <w:rPr>
          <w:rFonts w:ascii="Verdana" w:eastAsia="MS Mincho" w:hAnsi="Verdana" w:cs="Times New Roman"/>
        </w:rPr>
        <w:t xml:space="preserve">ersons with </w:t>
      </w:r>
      <w:r w:rsidR="001145D5" w:rsidRPr="00121B10">
        <w:rPr>
          <w:rFonts w:ascii="Verdana" w:eastAsia="MS Mincho" w:hAnsi="Verdana" w:cs="Times New Roman"/>
        </w:rPr>
        <w:t>D</w:t>
      </w:r>
      <w:r w:rsidR="00700F84" w:rsidRPr="00121B10">
        <w:rPr>
          <w:rFonts w:ascii="Verdana" w:eastAsia="MS Mincho" w:hAnsi="Verdana" w:cs="Times New Roman"/>
        </w:rPr>
        <w:t>isabilities</w:t>
      </w:r>
      <w:r w:rsidR="001145D5" w:rsidRPr="00121B10">
        <w:rPr>
          <w:rFonts w:ascii="Verdana" w:eastAsia="MS Mincho" w:hAnsi="Verdana" w:cs="Times New Roman"/>
        </w:rPr>
        <w:t xml:space="preserve"> </w:t>
      </w:r>
      <w:r w:rsidR="00171F24" w:rsidRPr="00121B10">
        <w:rPr>
          <w:rFonts w:ascii="Verdana" w:eastAsia="MS Mincho" w:hAnsi="Verdana" w:cs="Times New Roman"/>
        </w:rPr>
        <w:t xml:space="preserve">(UN CRPD) </w:t>
      </w:r>
      <w:r w:rsidR="001145D5" w:rsidRPr="00121B10">
        <w:rPr>
          <w:rFonts w:ascii="Verdana" w:eastAsia="MS Mincho" w:hAnsi="Verdana" w:cs="Times New Roman"/>
        </w:rPr>
        <w:t xml:space="preserve">provides useful guidance as to what effective </w:t>
      </w:r>
      <w:r w:rsidR="001145D5" w:rsidRPr="00121B10">
        <w:rPr>
          <w:rFonts w:ascii="Verdana" w:eastAsia="MS Mincho" w:hAnsi="Verdana" w:cs="Times New Roman"/>
        </w:rPr>
        <w:lastRenderedPageBreak/>
        <w:t>participation requires. It states that “in the development and implementation of legislation and policies… and in other decision-making processes… States Parties shall closely consult with and actively involve persons with disabilities, including children with disabilities, through their representative organisations</w:t>
      </w:r>
      <w:r w:rsidR="00754C11" w:rsidRPr="00121B10">
        <w:rPr>
          <w:rFonts w:ascii="Verdana" w:eastAsia="MS Mincho" w:hAnsi="Verdana" w:cs="Times New Roman"/>
        </w:rPr>
        <w:t>”.</w:t>
      </w:r>
      <w:r w:rsidR="001F11A2">
        <w:rPr>
          <w:rStyle w:val="FootnoteReference"/>
          <w:rFonts w:ascii="Verdana" w:eastAsia="MS Mincho" w:hAnsi="Verdana" w:cs="Times New Roman"/>
        </w:rPr>
        <w:footnoteReference w:id="43"/>
      </w:r>
      <w:r w:rsidR="001145D5" w:rsidRPr="00121B10">
        <w:rPr>
          <w:rFonts w:ascii="Verdana" w:eastAsia="MS Mincho" w:hAnsi="Verdana" w:cs="Times New Roman"/>
        </w:rPr>
        <w:t xml:space="preserve"> The </w:t>
      </w:r>
      <w:r w:rsidR="00171F24" w:rsidRPr="00121B10">
        <w:rPr>
          <w:rFonts w:ascii="Verdana" w:eastAsia="MS Mincho" w:hAnsi="Verdana" w:cs="Times New Roman"/>
        </w:rPr>
        <w:t xml:space="preserve">UN Committee on the Rights of Persons with Disabilities (UN CRPD Committee) </w:t>
      </w:r>
      <w:r w:rsidR="00E101D1" w:rsidRPr="00121B10">
        <w:rPr>
          <w:rFonts w:ascii="Verdana" w:eastAsia="MS Mincho" w:hAnsi="Verdana" w:cs="Times New Roman"/>
        </w:rPr>
        <w:t>identif</w:t>
      </w:r>
      <w:r w:rsidR="00530CFF">
        <w:rPr>
          <w:rFonts w:ascii="Verdana" w:eastAsia="MS Mincho" w:hAnsi="Verdana" w:cs="Times New Roman"/>
        </w:rPr>
        <w:t>ies</w:t>
      </w:r>
      <w:r w:rsidR="00E101D1" w:rsidRPr="00121B10">
        <w:rPr>
          <w:rFonts w:ascii="Verdana" w:eastAsia="MS Mincho" w:hAnsi="Verdana" w:cs="Times New Roman"/>
        </w:rPr>
        <w:t xml:space="preserve"> that </w:t>
      </w:r>
      <w:r w:rsidR="001145D5" w:rsidRPr="00121B10">
        <w:rPr>
          <w:rFonts w:ascii="Verdana" w:eastAsia="MS Mincho" w:hAnsi="Verdana" w:cs="Times New Roman"/>
        </w:rPr>
        <w:t>participation should be “meaningful” and occur in a “timely manner”.</w:t>
      </w:r>
      <w:r w:rsidR="001145D5" w:rsidRPr="001145D5">
        <w:rPr>
          <w:vertAlign w:val="superscript"/>
        </w:rPr>
        <w:footnoteReference w:id="44"/>
      </w:r>
    </w:p>
    <w:p w14:paraId="00D39901" w14:textId="77777777" w:rsidR="00121B10" w:rsidRPr="00121B10" w:rsidRDefault="00121B10" w:rsidP="00A361AB">
      <w:pPr>
        <w:pStyle w:val="ListParagraph"/>
        <w:spacing w:line="360" w:lineRule="auto"/>
        <w:rPr>
          <w:rFonts w:ascii="Verdana" w:hAnsi="Verdana"/>
        </w:rPr>
      </w:pPr>
    </w:p>
    <w:p w14:paraId="7519FB88" w14:textId="036ACBC2" w:rsidR="00121B10" w:rsidRDefault="00121B10" w:rsidP="006464FC">
      <w:pPr>
        <w:pStyle w:val="ListParagraph"/>
        <w:numPr>
          <w:ilvl w:val="1"/>
          <w:numId w:val="28"/>
        </w:numPr>
        <w:spacing w:line="360" w:lineRule="auto"/>
        <w:ind w:left="709"/>
        <w:rPr>
          <w:rFonts w:ascii="Verdana" w:hAnsi="Verdana"/>
        </w:rPr>
      </w:pPr>
      <w:r>
        <w:rPr>
          <w:rFonts w:ascii="Verdana" w:hAnsi="Verdana"/>
        </w:rPr>
        <w:t>In its</w:t>
      </w:r>
      <w:r w:rsidR="00E27A40">
        <w:rPr>
          <w:rFonts w:ascii="Verdana" w:hAnsi="Verdana"/>
        </w:rPr>
        <w:t xml:space="preserve"> 2016 </w:t>
      </w:r>
      <w:r w:rsidR="00185E46">
        <w:rPr>
          <w:rFonts w:ascii="Verdana" w:hAnsi="Verdana"/>
        </w:rPr>
        <w:t>I</w:t>
      </w:r>
      <w:r w:rsidR="00E27A40">
        <w:rPr>
          <w:rFonts w:ascii="Verdana" w:hAnsi="Verdana"/>
        </w:rPr>
        <w:t>nquiry</w:t>
      </w:r>
      <w:r w:rsidR="001E3222">
        <w:rPr>
          <w:rFonts w:ascii="Verdana" w:hAnsi="Verdana"/>
        </w:rPr>
        <w:t xml:space="preserve">, the UN CRPD Committee </w:t>
      </w:r>
      <w:r w:rsidR="00407AB9">
        <w:rPr>
          <w:rFonts w:ascii="Verdana" w:hAnsi="Verdana"/>
        </w:rPr>
        <w:t>examined t</w:t>
      </w:r>
      <w:r w:rsidR="00FD7DE3" w:rsidRPr="00FD7DE3">
        <w:rPr>
          <w:rFonts w:ascii="Verdana" w:hAnsi="Verdana"/>
        </w:rPr>
        <w:t xml:space="preserve">he cumulative impact of the legislation, policies and measures adopted by the </w:t>
      </w:r>
      <w:r w:rsidR="00407AB9">
        <w:rPr>
          <w:rFonts w:ascii="Verdana" w:hAnsi="Verdana"/>
        </w:rPr>
        <w:t>UK Government</w:t>
      </w:r>
      <w:r w:rsidR="00FD7DE3" w:rsidRPr="00FD7DE3">
        <w:rPr>
          <w:rFonts w:ascii="Verdana" w:hAnsi="Verdana"/>
        </w:rPr>
        <w:t xml:space="preserve"> relating to social security schemes </w:t>
      </w:r>
      <w:r w:rsidR="0053041C">
        <w:rPr>
          <w:rFonts w:ascii="Verdana" w:hAnsi="Verdana"/>
        </w:rPr>
        <w:t>affecting</w:t>
      </w:r>
      <w:r w:rsidR="0053041C" w:rsidRPr="0053041C">
        <w:rPr>
          <w:rFonts w:ascii="Verdana" w:hAnsi="Verdana"/>
        </w:rPr>
        <w:t xml:space="preserve"> persons with disabilities or their enjoyment of their rights to live independently and to be included in the community, to an adequate standard of living and social protection</w:t>
      </w:r>
      <w:r w:rsidR="007D7842">
        <w:rPr>
          <w:rFonts w:ascii="Verdana" w:hAnsi="Verdana"/>
        </w:rPr>
        <w:t>,</w:t>
      </w:r>
      <w:r w:rsidR="0053041C" w:rsidRPr="0053041C">
        <w:rPr>
          <w:rFonts w:ascii="Verdana" w:hAnsi="Verdana"/>
        </w:rPr>
        <w:t xml:space="preserve"> and to work and employment.</w:t>
      </w:r>
      <w:r w:rsidR="001F1543">
        <w:rPr>
          <w:rFonts w:ascii="Verdana" w:hAnsi="Verdana"/>
        </w:rPr>
        <w:t xml:space="preserve"> </w:t>
      </w:r>
      <w:r w:rsidR="00555C13">
        <w:rPr>
          <w:rFonts w:ascii="Verdana" w:hAnsi="Verdana"/>
        </w:rPr>
        <w:t>T</w:t>
      </w:r>
      <w:r w:rsidR="001F1543">
        <w:rPr>
          <w:rFonts w:ascii="Verdana" w:hAnsi="Verdana"/>
        </w:rPr>
        <w:t xml:space="preserve">he UN CRPD </w:t>
      </w:r>
      <w:r w:rsidR="00FC13AC">
        <w:rPr>
          <w:rFonts w:ascii="Verdana" w:hAnsi="Verdana"/>
        </w:rPr>
        <w:t xml:space="preserve">Committee </w:t>
      </w:r>
      <w:r w:rsidR="00981D0E">
        <w:rPr>
          <w:rFonts w:ascii="Verdana" w:hAnsi="Verdana"/>
        </w:rPr>
        <w:t>note</w:t>
      </w:r>
      <w:r w:rsidR="0075263C">
        <w:rPr>
          <w:rFonts w:ascii="Verdana" w:hAnsi="Verdana"/>
        </w:rPr>
        <w:t>d</w:t>
      </w:r>
      <w:r w:rsidR="00981D0E">
        <w:rPr>
          <w:rFonts w:ascii="Verdana" w:hAnsi="Verdana"/>
        </w:rPr>
        <w:t xml:space="preserve"> that </w:t>
      </w:r>
      <w:r w:rsidR="008543A4">
        <w:rPr>
          <w:rFonts w:ascii="Verdana" w:hAnsi="Verdana"/>
        </w:rPr>
        <w:t>persons with disabilities “</w:t>
      </w:r>
      <w:r w:rsidR="008543A4" w:rsidRPr="008543A4">
        <w:rPr>
          <w:rFonts w:ascii="Verdana" w:hAnsi="Verdana"/>
        </w:rPr>
        <w:t>shall have the opportunity to participate, through their representative organi</w:t>
      </w:r>
      <w:r w:rsidR="00D96027">
        <w:rPr>
          <w:rFonts w:ascii="Verdana" w:hAnsi="Verdana"/>
        </w:rPr>
        <w:t>s</w:t>
      </w:r>
      <w:r w:rsidR="008543A4" w:rsidRPr="008543A4">
        <w:rPr>
          <w:rFonts w:ascii="Verdana" w:hAnsi="Verdana"/>
        </w:rPr>
        <w:t>ations, in the planning, design, implementation and monitoring of social protection systems. Consultation processes should not be merely symbolic</w:t>
      </w:r>
      <w:r w:rsidR="008543A4">
        <w:rPr>
          <w:rFonts w:ascii="Verdana" w:hAnsi="Verdana"/>
        </w:rPr>
        <w:t>”</w:t>
      </w:r>
      <w:r w:rsidR="008543A4" w:rsidRPr="008543A4">
        <w:rPr>
          <w:rFonts w:ascii="Verdana" w:hAnsi="Verdana"/>
        </w:rPr>
        <w:t>.</w:t>
      </w:r>
      <w:r w:rsidR="005E4698">
        <w:rPr>
          <w:rFonts w:ascii="Verdana" w:hAnsi="Verdana"/>
        </w:rPr>
        <w:t xml:space="preserve"> The UN CRPD Committee </w:t>
      </w:r>
      <w:r w:rsidR="00185E46">
        <w:rPr>
          <w:rFonts w:ascii="Verdana" w:hAnsi="Verdana"/>
        </w:rPr>
        <w:t xml:space="preserve">found </w:t>
      </w:r>
      <w:r w:rsidR="005E4698">
        <w:rPr>
          <w:rFonts w:ascii="Verdana" w:hAnsi="Verdana"/>
        </w:rPr>
        <w:t xml:space="preserve">that consultations on </w:t>
      </w:r>
      <w:r w:rsidR="00FE335A">
        <w:rPr>
          <w:rFonts w:ascii="Verdana" w:hAnsi="Verdana"/>
        </w:rPr>
        <w:t xml:space="preserve">welfare reforms in 2012 </w:t>
      </w:r>
      <w:r w:rsidR="00943E76">
        <w:rPr>
          <w:rFonts w:ascii="Verdana" w:hAnsi="Verdana"/>
        </w:rPr>
        <w:t>“</w:t>
      </w:r>
      <w:r w:rsidR="00943E76" w:rsidRPr="00943E76">
        <w:rPr>
          <w:rFonts w:ascii="Verdana" w:hAnsi="Verdana"/>
        </w:rPr>
        <w:t xml:space="preserve">were not meaningfully </w:t>
      </w:r>
      <w:proofErr w:type="gramStart"/>
      <w:r w:rsidR="00943E76" w:rsidRPr="00943E76">
        <w:rPr>
          <w:rFonts w:ascii="Verdana" w:hAnsi="Verdana"/>
        </w:rPr>
        <w:t>taken into account</w:t>
      </w:r>
      <w:proofErr w:type="gramEnd"/>
      <w:r w:rsidR="00943E76" w:rsidRPr="00943E76">
        <w:rPr>
          <w:rFonts w:ascii="Verdana" w:hAnsi="Verdana"/>
        </w:rPr>
        <w:t xml:space="preserve"> in the decision-making process and had little or no influence on policy decisions.</w:t>
      </w:r>
      <w:r w:rsidR="00677798">
        <w:rPr>
          <w:rStyle w:val="FootnoteReference"/>
          <w:rFonts w:ascii="Verdana" w:hAnsi="Verdana"/>
        </w:rPr>
        <w:footnoteReference w:id="45"/>
      </w:r>
      <w:r w:rsidR="00E67AAE">
        <w:rPr>
          <w:rFonts w:ascii="Verdana" w:hAnsi="Verdana"/>
        </w:rPr>
        <w:t xml:space="preserve"> The UN CRPD Committee recommended to the UK Government that</w:t>
      </w:r>
      <w:r w:rsidR="0057217F">
        <w:rPr>
          <w:rFonts w:ascii="Verdana" w:hAnsi="Verdana"/>
        </w:rPr>
        <w:t xml:space="preserve"> it should</w:t>
      </w:r>
      <w:r w:rsidR="00E67AAE">
        <w:rPr>
          <w:rFonts w:ascii="Verdana" w:hAnsi="Verdana"/>
        </w:rPr>
        <w:t>:</w:t>
      </w:r>
    </w:p>
    <w:p w14:paraId="63626B2C" w14:textId="77777777" w:rsidR="00E67AAE" w:rsidRPr="00E67AAE" w:rsidRDefault="00E67AAE" w:rsidP="00A361AB">
      <w:pPr>
        <w:pStyle w:val="ListParagraph"/>
        <w:spacing w:line="360" w:lineRule="auto"/>
        <w:rPr>
          <w:rFonts w:ascii="Verdana" w:hAnsi="Verdana"/>
        </w:rPr>
      </w:pPr>
    </w:p>
    <w:p w14:paraId="77AA82A2" w14:textId="728B2A33" w:rsidR="00E67AAE" w:rsidRDefault="0057217F" w:rsidP="00A361AB">
      <w:pPr>
        <w:pStyle w:val="ListParagraph"/>
        <w:spacing w:line="360" w:lineRule="auto"/>
        <w:ind w:left="993"/>
        <w:rPr>
          <w:rFonts w:ascii="Verdana" w:hAnsi="Verdana"/>
        </w:rPr>
      </w:pPr>
      <w:r>
        <w:rPr>
          <w:rFonts w:ascii="Verdana" w:hAnsi="Verdana"/>
        </w:rPr>
        <w:t>a</w:t>
      </w:r>
      <w:r w:rsidRPr="0057217F">
        <w:rPr>
          <w:rFonts w:ascii="Verdana" w:hAnsi="Verdana"/>
        </w:rPr>
        <w:t>ctively consult and engage with persons with disabilities through their representative organizations and give due consideration to their views in the design, implementation, monitoring and evaluation of any legislation, policy or programme related to the rights addressed in the present report</w:t>
      </w:r>
      <w:r>
        <w:rPr>
          <w:rFonts w:ascii="Verdana" w:hAnsi="Verdana"/>
        </w:rPr>
        <w:t>.</w:t>
      </w:r>
      <w:r>
        <w:rPr>
          <w:rStyle w:val="FootnoteReference"/>
          <w:rFonts w:ascii="Verdana" w:hAnsi="Verdana"/>
        </w:rPr>
        <w:footnoteReference w:id="46"/>
      </w:r>
    </w:p>
    <w:p w14:paraId="2560FA18" w14:textId="77777777" w:rsidR="00E67AAE" w:rsidRPr="00E67AAE" w:rsidRDefault="00E67AAE" w:rsidP="00A361AB">
      <w:pPr>
        <w:pStyle w:val="ListParagraph"/>
        <w:spacing w:line="360" w:lineRule="auto"/>
        <w:rPr>
          <w:rFonts w:ascii="Verdana" w:hAnsi="Verdana"/>
        </w:rPr>
      </w:pPr>
    </w:p>
    <w:p w14:paraId="29E08527" w14:textId="6F4CF96F" w:rsidR="00E67AAE" w:rsidRDefault="000D77D7" w:rsidP="006464FC">
      <w:pPr>
        <w:pStyle w:val="ListParagraph"/>
        <w:numPr>
          <w:ilvl w:val="1"/>
          <w:numId w:val="28"/>
        </w:numPr>
        <w:spacing w:line="360" w:lineRule="auto"/>
        <w:ind w:left="709"/>
        <w:rPr>
          <w:rFonts w:ascii="Verdana" w:hAnsi="Verdana"/>
        </w:rPr>
      </w:pPr>
      <w:r>
        <w:rPr>
          <w:rFonts w:ascii="Verdana" w:hAnsi="Verdana"/>
        </w:rPr>
        <w:t xml:space="preserve">In its follow-up </w:t>
      </w:r>
      <w:r w:rsidR="00301F07">
        <w:rPr>
          <w:rFonts w:ascii="Verdana" w:hAnsi="Verdana"/>
        </w:rPr>
        <w:t>I</w:t>
      </w:r>
      <w:r>
        <w:rPr>
          <w:rFonts w:ascii="Verdana" w:hAnsi="Verdana"/>
        </w:rPr>
        <w:t>nquiry</w:t>
      </w:r>
      <w:r w:rsidR="00962929">
        <w:rPr>
          <w:rFonts w:ascii="Verdana" w:hAnsi="Verdana"/>
        </w:rPr>
        <w:t xml:space="preserve"> in 2024</w:t>
      </w:r>
      <w:r>
        <w:rPr>
          <w:rFonts w:ascii="Verdana" w:hAnsi="Verdana"/>
        </w:rPr>
        <w:t xml:space="preserve">, the UN CRPD Committee </w:t>
      </w:r>
      <w:r w:rsidR="00301F07">
        <w:rPr>
          <w:rFonts w:ascii="Verdana" w:hAnsi="Verdana"/>
        </w:rPr>
        <w:t xml:space="preserve">found that </w:t>
      </w:r>
      <w:r w:rsidR="00DA36F5">
        <w:rPr>
          <w:rFonts w:ascii="Verdana" w:hAnsi="Verdana"/>
        </w:rPr>
        <w:t xml:space="preserve">its 2016 recommendations had not been </w:t>
      </w:r>
      <w:proofErr w:type="gramStart"/>
      <w:r w:rsidR="00DA36F5">
        <w:rPr>
          <w:rFonts w:ascii="Verdana" w:hAnsi="Verdana"/>
        </w:rPr>
        <w:t>fulfilled</w:t>
      </w:r>
      <w:r w:rsidR="00652B03">
        <w:rPr>
          <w:rFonts w:ascii="Verdana" w:hAnsi="Verdana"/>
        </w:rPr>
        <w:t xml:space="preserve">, </w:t>
      </w:r>
      <w:r w:rsidR="00301F07">
        <w:rPr>
          <w:rFonts w:ascii="Verdana" w:hAnsi="Verdana"/>
        </w:rPr>
        <w:t>and</w:t>
      </w:r>
      <w:proofErr w:type="gramEnd"/>
      <w:r w:rsidR="00301F07">
        <w:rPr>
          <w:rFonts w:ascii="Verdana" w:hAnsi="Verdana"/>
        </w:rPr>
        <w:t xml:space="preserve"> concluded </w:t>
      </w:r>
      <w:r w:rsidR="00652B03">
        <w:rPr>
          <w:rFonts w:ascii="Verdana" w:hAnsi="Verdana"/>
        </w:rPr>
        <w:t>that no significant progress had been made</w:t>
      </w:r>
      <w:r w:rsidR="00301F07">
        <w:rPr>
          <w:rFonts w:ascii="Verdana" w:hAnsi="Verdana"/>
        </w:rPr>
        <w:t>. The Committee</w:t>
      </w:r>
      <w:r w:rsidR="00E520FC">
        <w:rPr>
          <w:rFonts w:ascii="Verdana" w:hAnsi="Verdana"/>
        </w:rPr>
        <w:t xml:space="preserve"> reiterated its previous recommendations, including for </w:t>
      </w:r>
      <w:r w:rsidR="00676188">
        <w:rPr>
          <w:rFonts w:ascii="Verdana" w:hAnsi="Verdana"/>
        </w:rPr>
        <w:t>participation</w:t>
      </w:r>
      <w:r w:rsidR="00073485">
        <w:rPr>
          <w:rFonts w:ascii="Verdana" w:hAnsi="Verdana"/>
        </w:rPr>
        <w:t>, by means of consultation,</w:t>
      </w:r>
      <w:r w:rsidR="00676188">
        <w:rPr>
          <w:rFonts w:ascii="Verdana" w:hAnsi="Verdana"/>
        </w:rPr>
        <w:t xml:space="preserve"> of disabled people in the design</w:t>
      </w:r>
      <w:r w:rsidR="00073485">
        <w:rPr>
          <w:rFonts w:ascii="Verdana" w:hAnsi="Verdana"/>
        </w:rPr>
        <w:t>, implementation, monitoring and evaluation of social protection policy and legislation.</w:t>
      </w:r>
      <w:r w:rsidR="00C4081A">
        <w:rPr>
          <w:rStyle w:val="FootnoteReference"/>
          <w:rFonts w:ascii="Verdana" w:hAnsi="Verdana"/>
        </w:rPr>
        <w:footnoteReference w:id="47"/>
      </w:r>
    </w:p>
    <w:p w14:paraId="11821240" w14:textId="77777777" w:rsidR="00073485" w:rsidRDefault="00073485" w:rsidP="00A361AB">
      <w:pPr>
        <w:pStyle w:val="ListParagraph"/>
        <w:spacing w:line="360" w:lineRule="auto"/>
        <w:ind w:left="709"/>
        <w:rPr>
          <w:rFonts w:ascii="Verdana" w:hAnsi="Verdana"/>
        </w:rPr>
      </w:pPr>
    </w:p>
    <w:p w14:paraId="6F4992F9" w14:textId="4DC04E63" w:rsidR="00073485" w:rsidRPr="00C81ABB" w:rsidRDefault="008A0258" w:rsidP="006464FC">
      <w:pPr>
        <w:pStyle w:val="ListParagraph"/>
        <w:numPr>
          <w:ilvl w:val="1"/>
          <w:numId w:val="28"/>
        </w:numPr>
        <w:spacing w:line="360" w:lineRule="auto"/>
        <w:ind w:left="709"/>
        <w:rPr>
          <w:rFonts w:ascii="Verdana" w:hAnsi="Verdana"/>
        </w:rPr>
      </w:pPr>
      <w:r>
        <w:rPr>
          <w:rFonts w:ascii="Verdana" w:hAnsi="Verdana"/>
          <w:b/>
          <w:bCs/>
        </w:rPr>
        <w:t xml:space="preserve">The NIHRC recommends that the Department for Work and Pensions consults </w:t>
      </w:r>
      <w:r w:rsidR="00301F07">
        <w:rPr>
          <w:rFonts w:ascii="Verdana" w:hAnsi="Verdana"/>
          <w:b/>
          <w:bCs/>
        </w:rPr>
        <w:t xml:space="preserve">meaningfully </w:t>
      </w:r>
      <w:r>
        <w:rPr>
          <w:rFonts w:ascii="Verdana" w:hAnsi="Verdana"/>
          <w:b/>
          <w:bCs/>
        </w:rPr>
        <w:t xml:space="preserve">with people with disabilities and their representative organisations </w:t>
      </w:r>
      <w:r w:rsidR="00E77610">
        <w:rPr>
          <w:rFonts w:ascii="Verdana" w:hAnsi="Verdana"/>
          <w:b/>
          <w:bCs/>
        </w:rPr>
        <w:t xml:space="preserve">on </w:t>
      </w:r>
      <w:r w:rsidR="00E77610" w:rsidRPr="00E77610">
        <w:rPr>
          <w:rFonts w:ascii="Verdana" w:hAnsi="Verdana"/>
          <w:b/>
          <w:bCs/>
        </w:rPr>
        <w:t>changes to the Personal Independence Payment and the Universal Credit Health element, as well as the removal of the Work Capability Assessment</w:t>
      </w:r>
      <w:r w:rsidR="00854E4C">
        <w:rPr>
          <w:rFonts w:ascii="Verdana" w:hAnsi="Verdana"/>
          <w:b/>
          <w:bCs/>
        </w:rPr>
        <w:t xml:space="preserve"> </w:t>
      </w:r>
      <w:r w:rsidR="00FA45E5">
        <w:rPr>
          <w:rFonts w:ascii="Verdana" w:hAnsi="Verdana"/>
          <w:b/>
          <w:bCs/>
        </w:rPr>
        <w:t xml:space="preserve">set out in the Green Paper </w:t>
      </w:r>
      <w:r w:rsidR="00854E4C">
        <w:rPr>
          <w:rFonts w:ascii="Verdana" w:hAnsi="Verdana"/>
          <w:b/>
          <w:bCs/>
        </w:rPr>
        <w:t>in advance of bringing forward these measures.</w:t>
      </w:r>
      <w:r w:rsidR="00FA45E5">
        <w:rPr>
          <w:rFonts w:ascii="Verdana" w:hAnsi="Verdana"/>
          <w:b/>
          <w:bCs/>
        </w:rPr>
        <w:t xml:space="preserve"> The Department should </w:t>
      </w:r>
      <w:r w:rsidR="006B63CF">
        <w:rPr>
          <w:rFonts w:ascii="Verdana" w:hAnsi="Verdana"/>
          <w:b/>
          <w:bCs/>
        </w:rPr>
        <w:t xml:space="preserve">include disabled people and their representative organisations in the design, implementation, monitoring and evaluation of any changes </w:t>
      </w:r>
      <w:r w:rsidR="00C9310E">
        <w:rPr>
          <w:rFonts w:ascii="Verdana" w:hAnsi="Verdana"/>
          <w:b/>
          <w:bCs/>
        </w:rPr>
        <w:t>brought forward from the Green Paper, ensuring that this participation is meaningful.</w:t>
      </w:r>
    </w:p>
    <w:p w14:paraId="09A82589" w14:textId="77777777" w:rsidR="00C81ABB" w:rsidRDefault="00C81ABB" w:rsidP="00C81ABB">
      <w:pPr>
        <w:rPr>
          <w:rFonts w:ascii="Verdana" w:hAnsi="Verdana"/>
        </w:rPr>
      </w:pPr>
    </w:p>
    <w:p w14:paraId="78EDD46A" w14:textId="5AD3B87D" w:rsidR="00C81ABB" w:rsidRDefault="00C81ABB" w:rsidP="00C81ABB">
      <w:pPr>
        <w:pStyle w:val="Heading2"/>
      </w:pPr>
      <w:bookmarkStart w:id="5" w:name="_Toc201648656"/>
      <w:r>
        <w:t>Additional Funding for Work Support</w:t>
      </w:r>
      <w:bookmarkEnd w:id="5"/>
    </w:p>
    <w:p w14:paraId="0DB84DCE" w14:textId="77777777" w:rsidR="00C81ABB" w:rsidRPr="00C81ABB" w:rsidRDefault="00C81ABB" w:rsidP="00C81ABB">
      <w:pPr>
        <w:rPr>
          <w:rFonts w:ascii="Verdana" w:hAnsi="Verdana"/>
        </w:rPr>
      </w:pPr>
    </w:p>
    <w:p w14:paraId="41BCEC87" w14:textId="472126D6" w:rsidR="001548B0" w:rsidRDefault="00C81ABB" w:rsidP="006464FC">
      <w:pPr>
        <w:pStyle w:val="ListParagraph"/>
        <w:numPr>
          <w:ilvl w:val="1"/>
          <w:numId w:val="28"/>
        </w:numPr>
        <w:spacing w:line="360" w:lineRule="auto"/>
        <w:ind w:left="709"/>
        <w:rPr>
          <w:rFonts w:ascii="Verdana" w:hAnsi="Verdana"/>
        </w:rPr>
      </w:pPr>
      <w:r>
        <w:rPr>
          <w:rFonts w:ascii="Verdana" w:hAnsi="Verdana"/>
        </w:rPr>
        <w:t>The NIHRC is concerned that the Department has stated its intention to invest £1 billion a year by 2029/30 in new engagement and support arrangements as part of its Pathways to Work plan, yet changes to the Universal Credit health element are imminent.</w:t>
      </w:r>
      <w:r>
        <w:rPr>
          <w:rStyle w:val="FootnoteReference"/>
          <w:rFonts w:ascii="Verdana" w:hAnsi="Verdana"/>
        </w:rPr>
        <w:footnoteReference w:id="48"/>
      </w:r>
      <w:r>
        <w:rPr>
          <w:rFonts w:ascii="Verdana" w:hAnsi="Verdana"/>
        </w:rPr>
        <w:t xml:space="preserve"> </w:t>
      </w:r>
    </w:p>
    <w:p w14:paraId="0B4BF950" w14:textId="77777777" w:rsidR="001548B0" w:rsidRDefault="001548B0" w:rsidP="001548B0">
      <w:pPr>
        <w:pStyle w:val="ListParagraph"/>
        <w:spacing w:line="360" w:lineRule="auto"/>
        <w:ind w:left="709"/>
        <w:rPr>
          <w:rFonts w:ascii="Verdana" w:hAnsi="Verdana"/>
        </w:rPr>
      </w:pPr>
    </w:p>
    <w:p w14:paraId="0F779A49" w14:textId="0974000A" w:rsidR="00C81ABB" w:rsidRDefault="001548B0" w:rsidP="006464FC">
      <w:pPr>
        <w:pStyle w:val="ListParagraph"/>
        <w:numPr>
          <w:ilvl w:val="1"/>
          <w:numId w:val="28"/>
        </w:numPr>
        <w:spacing w:line="360" w:lineRule="auto"/>
        <w:ind w:left="709"/>
        <w:rPr>
          <w:rFonts w:ascii="Verdana" w:hAnsi="Verdana"/>
        </w:rPr>
      </w:pPr>
      <w:r>
        <w:rPr>
          <w:rFonts w:ascii="Verdana" w:hAnsi="Verdana"/>
        </w:rPr>
        <w:t>The NIHRC is concerned that t</w:t>
      </w:r>
      <w:r w:rsidR="00C81ABB">
        <w:rPr>
          <w:rFonts w:ascii="Verdana" w:hAnsi="Verdana"/>
        </w:rPr>
        <w:t xml:space="preserve">his will leave individuals at a considerable financial loss either through a benefit cut or a benefit freeze, which would amount to </w:t>
      </w:r>
      <w:r w:rsidR="00301F07">
        <w:rPr>
          <w:rFonts w:ascii="Verdana" w:hAnsi="Verdana"/>
        </w:rPr>
        <w:t>real terms</w:t>
      </w:r>
      <w:r w:rsidR="00C81ABB">
        <w:rPr>
          <w:rFonts w:ascii="Verdana" w:hAnsi="Verdana"/>
        </w:rPr>
        <w:t xml:space="preserve"> </w:t>
      </w:r>
      <w:r w:rsidR="00301F07">
        <w:rPr>
          <w:rFonts w:ascii="Verdana" w:hAnsi="Verdana"/>
        </w:rPr>
        <w:t>reduction</w:t>
      </w:r>
      <w:r w:rsidR="00C81ABB">
        <w:rPr>
          <w:rFonts w:ascii="Verdana" w:hAnsi="Verdana"/>
        </w:rPr>
        <w:t xml:space="preserve">, without the additional support that the UK Government has identified is </w:t>
      </w:r>
      <w:r w:rsidR="00301F07">
        <w:rPr>
          <w:rFonts w:ascii="Verdana" w:hAnsi="Verdana"/>
        </w:rPr>
        <w:t xml:space="preserve">necessary </w:t>
      </w:r>
      <w:r w:rsidR="00C81ABB">
        <w:rPr>
          <w:rFonts w:ascii="Verdana" w:hAnsi="Verdana"/>
        </w:rPr>
        <w:t>to help people into work.</w:t>
      </w:r>
    </w:p>
    <w:p w14:paraId="5834B3A3" w14:textId="77777777" w:rsidR="001548B0" w:rsidRPr="001548B0" w:rsidRDefault="001548B0" w:rsidP="001548B0">
      <w:pPr>
        <w:pStyle w:val="ListParagraph"/>
        <w:rPr>
          <w:rFonts w:ascii="Verdana" w:hAnsi="Verdana"/>
        </w:rPr>
      </w:pPr>
    </w:p>
    <w:p w14:paraId="4C68371D" w14:textId="1CFE04AE" w:rsidR="001548B0" w:rsidRDefault="001548B0" w:rsidP="006464FC">
      <w:pPr>
        <w:pStyle w:val="ListParagraph"/>
        <w:numPr>
          <w:ilvl w:val="1"/>
          <w:numId w:val="28"/>
        </w:numPr>
        <w:spacing w:line="360" w:lineRule="auto"/>
        <w:ind w:left="709"/>
        <w:rPr>
          <w:rFonts w:ascii="Verdana" w:hAnsi="Verdana"/>
        </w:rPr>
      </w:pPr>
      <w:r>
        <w:rPr>
          <w:rFonts w:ascii="Verdana" w:hAnsi="Verdana"/>
        </w:rPr>
        <w:lastRenderedPageBreak/>
        <w:t xml:space="preserve">The </w:t>
      </w:r>
      <w:r w:rsidR="00F1156E">
        <w:rPr>
          <w:rFonts w:ascii="Verdana" w:hAnsi="Verdana"/>
        </w:rPr>
        <w:t xml:space="preserve">Department for Work and Pensions </w:t>
      </w:r>
      <w:r w:rsidR="00301F07">
        <w:rPr>
          <w:rFonts w:ascii="Verdana" w:hAnsi="Verdana"/>
        </w:rPr>
        <w:t xml:space="preserve">is to </w:t>
      </w:r>
      <w:r w:rsidR="00F1156E">
        <w:rPr>
          <w:rFonts w:ascii="Verdana" w:hAnsi="Verdana"/>
        </w:rPr>
        <w:t xml:space="preserve">allocate funding to the devolved administrations </w:t>
      </w:r>
      <w:r w:rsidR="00955CE4">
        <w:rPr>
          <w:rFonts w:ascii="Verdana" w:hAnsi="Verdana"/>
        </w:rPr>
        <w:t>to spend on programmes to support individuals into work.</w:t>
      </w:r>
      <w:r w:rsidR="00725C83">
        <w:rPr>
          <w:rStyle w:val="FootnoteReference"/>
          <w:rFonts w:ascii="Verdana" w:hAnsi="Verdana"/>
        </w:rPr>
        <w:footnoteReference w:id="49"/>
      </w:r>
      <w:r w:rsidR="00955CE4">
        <w:rPr>
          <w:rFonts w:ascii="Verdana" w:hAnsi="Verdana"/>
        </w:rPr>
        <w:t xml:space="preserve"> The NIHRC notes that the detail of th</w:t>
      </w:r>
      <w:r w:rsidR="00301F07">
        <w:rPr>
          <w:rFonts w:ascii="Verdana" w:hAnsi="Verdana"/>
        </w:rPr>
        <w:t>o</w:t>
      </w:r>
      <w:r w:rsidR="00955CE4">
        <w:rPr>
          <w:rFonts w:ascii="Verdana" w:hAnsi="Verdana"/>
        </w:rPr>
        <w:t>se programmes is not yet clear,</w:t>
      </w:r>
      <w:r w:rsidR="009A6F8C">
        <w:rPr>
          <w:rFonts w:ascii="Verdana" w:hAnsi="Verdana"/>
        </w:rPr>
        <w:t xml:space="preserve"> and therefore it is not clear that th</w:t>
      </w:r>
      <w:r w:rsidR="00301F07">
        <w:rPr>
          <w:rFonts w:ascii="Verdana" w:hAnsi="Verdana"/>
        </w:rPr>
        <w:t>o</w:t>
      </w:r>
      <w:r w:rsidR="009A6F8C">
        <w:rPr>
          <w:rFonts w:ascii="Verdana" w:hAnsi="Verdana"/>
        </w:rPr>
        <w:t>se programmes will be effective</w:t>
      </w:r>
      <w:r w:rsidR="00C2783F">
        <w:rPr>
          <w:rFonts w:ascii="Verdana" w:hAnsi="Verdana"/>
        </w:rPr>
        <w:t>.</w:t>
      </w:r>
    </w:p>
    <w:p w14:paraId="1A2214C8" w14:textId="77777777" w:rsidR="00C2783F" w:rsidRPr="00C2783F" w:rsidRDefault="00C2783F" w:rsidP="00C2783F">
      <w:pPr>
        <w:pStyle w:val="ListParagraph"/>
        <w:rPr>
          <w:rFonts w:ascii="Verdana" w:hAnsi="Verdana"/>
        </w:rPr>
      </w:pPr>
    </w:p>
    <w:p w14:paraId="06197820" w14:textId="20D17C40" w:rsidR="00C2783F" w:rsidRPr="00E42D11" w:rsidRDefault="00C2783F" w:rsidP="006464FC">
      <w:pPr>
        <w:pStyle w:val="ListParagraph"/>
        <w:numPr>
          <w:ilvl w:val="1"/>
          <w:numId w:val="28"/>
        </w:numPr>
        <w:spacing w:line="360" w:lineRule="auto"/>
        <w:ind w:left="709"/>
        <w:rPr>
          <w:rFonts w:ascii="Verdana" w:hAnsi="Verdana"/>
          <w:b/>
          <w:bCs/>
        </w:rPr>
      </w:pPr>
      <w:r w:rsidRPr="00E42D11">
        <w:rPr>
          <w:rFonts w:ascii="Verdana" w:hAnsi="Verdana"/>
          <w:b/>
          <w:bCs/>
        </w:rPr>
        <w:t xml:space="preserve">The NIHRC recommends that the Department for Work and Pensions </w:t>
      </w:r>
      <w:r w:rsidR="00067EA1" w:rsidRPr="00E42D11">
        <w:rPr>
          <w:rFonts w:ascii="Verdana" w:hAnsi="Verdana"/>
          <w:b/>
          <w:bCs/>
        </w:rPr>
        <w:t xml:space="preserve">works closely with the Department for Communities to </w:t>
      </w:r>
      <w:r w:rsidR="00743DDB" w:rsidRPr="00E42D11">
        <w:rPr>
          <w:rFonts w:ascii="Verdana" w:hAnsi="Verdana"/>
          <w:b/>
          <w:bCs/>
        </w:rPr>
        <w:t>create effective, tested employment support programmes, specific to NI’s context</w:t>
      </w:r>
      <w:r w:rsidR="009E6FB2" w:rsidRPr="00E42D11">
        <w:rPr>
          <w:rFonts w:ascii="Verdana" w:hAnsi="Verdana"/>
          <w:b/>
          <w:bCs/>
        </w:rPr>
        <w:t xml:space="preserve">, produced </w:t>
      </w:r>
      <w:r w:rsidR="0079275C" w:rsidRPr="00E42D11">
        <w:rPr>
          <w:rFonts w:ascii="Verdana" w:hAnsi="Verdana"/>
          <w:b/>
          <w:bCs/>
        </w:rPr>
        <w:t>alongside</w:t>
      </w:r>
      <w:r w:rsidR="009E6FB2" w:rsidRPr="00E42D11">
        <w:rPr>
          <w:rFonts w:ascii="Verdana" w:hAnsi="Verdana"/>
          <w:b/>
          <w:bCs/>
        </w:rPr>
        <w:t xml:space="preserve"> meaningful consultation with disabled people and their representative </w:t>
      </w:r>
      <w:r w:rsidR="0079275C" w:rsidRPr="00E42D11">
        <w:rPr>
          <w:rFonts w:ascii="Verdana" w:hAnsi="Verdana"/>
          <w:b/>
          <w:bCs/>
        </w:rPr>
        <w:t xml:space="preserve">organisations before changes </w:t>
      </w:r>
      <w:r w:rsidR="00E42D11" w:rsidRPr="00E42D11">
        <w:rPr>
          <w:rFonts w:ascii="Verdana" w:hAnsi="Verdana"/>
          <w:b/>
          <w:bCs/>
        </w:rPr>
        <w:t>outlined in the Green Paper are introduced.</w:t>
      </w:r>
    </w:p>
    <w:p w14:paraId="0C7BEFB8" w14:textId="77777777" w:rsidR="00C81ABB" w:rsidRPr="00E45129" w:rsidRDefault="00C81ABB" w:rsidP="001548B0">
      <w:pPr>
        <w:pStyle w:val="ListParagraph"/>
        <w:spacing w:line="360" w:lineRule="auto"/>
        <w:ind w:left="709"/>
        <w:rPr>
          <w:rFonts w:ascii="Verdana" w:hAnsi="Verdana"/>
        </w:rPr>
      </w:pPr>
    </w:p>
    <w:p w14:paraId="1520EA19" w14:textId="21CDC61A" w:rsidR="00DD1A16" w:rsidRDefault="00F00F1B" w:rsidP="006464FC">
      <w:pPr>
        <w:pStyle w:val="Heading1"/>
        <w:numPr>
          <w:ilvl w:val="0"/>
          <w:numId w:val="28"/>
        </w:numPr>
        <w:spacing w:line="360" w:lineRule="auto"/>
      </w:pPr>
      <w:bookmarkStart w:id="6" w:name="_Toc201648657"/>
      <w:r>
        <w:t>Human Rights Framework</w:t>
      </w:r>
      <w:bookmarkEnd w:id="6"/>
    </w:p>
    <w:p w14:paraId="173AF543" w14:textId="77777777" w:rsidR="00F00F1B" w:rsidRPr="00F00F1B" w:rsidRDefault="00F00F1B" w:rsidP="00A361AB">
      <w:pPr>
        <w:spacing w:line="360" w:lineRule="auto"/>
      </w:pPr>
    </w:p>
    <w:p w14:paraId="7C6AB161" w14:textId="0C90F02C" w:rsidR="000512FC" w:rsidRPr="00F96B0B" w:rsidRDefault="00757E39" w:rsidP="00A361AB">
      <w:pPr>
        <w:pStyle w:val="Heading2"/>
        <w:spacing w:line="360" w:lineRule="auto"/>
      </w:pPr>
      <w:bookmarkStart w:id="7" w:name="_Toc201648658"/>
      <w:r>
        <w:t>UN International Covenant on Economic, Social and Cultural Rights</w:t>
      </w:r>
      <w:bookmarkEnd w:id="7"/>
    </w:p>
    <w:p w14:paraId="6151BA89" w14:textId="3886749E" w:rsidR="00BF05D7" w:rsidRDefault="00CA4532" w:rsidP="006464FC">
      <w:pPr>
        <w:pStyle w:val="ListParagraph"/>
        <w:numPr>
          <w:ilvl w:val="1"/>
          <w:numId w:val="28"/>
        </w:numPr>
        <w:spacing w:line="360" w:lineRule="auto"/>
        <w:ind w:left="709"/>
        <w:rPr>
          <w:rFonts w:ascii="Verdana" w:hAnsi="Verdana"/>
        </w:rPr>
      </w:pPr>
      <w:r>
        <w:rPr>
          <w:rFonts w:ascii="Verdana" w:hAnsi="Verdana"/>
        </w:rPr>
        <w:t xml:space="preserve">Article 9 of the </w:t>
      </w:r>
      <w:r w:rsidR="00E96AD1">
        <w:rPr>
          <w:rFonts w:ascii="Verdana" w:hAnsi="Verdana"/>
        </w:rPr>
        <w:t xml:space="preserve">UN International Covenant on Economic, Social and Cultural Rights (UN ICESCR) </w:t>
      </w:r>
      <w:r w:rsidR="00E02DA8">
        <w:rPr>
          <w:rFonts w:ascii="Verdana" w:hAnsi="Verdana"/>
        </w:rPr>
        <w:t>states that “</w:t>
      </w:r>
      <w:r w:rsidR="00E02DA8" w:rsidRPr="00E02DA8">
        <w:rPr>
          <w:rFonts w:ascii="Verdana" w:hAnsi="Verdana"/>
        </w:rPr>
        <w:t>the States Parties to the present Covenant recognise the right of everyone to social security, including social insurance</w:t>
      </w:r>
      <w:r w:rsidR="001F11A2">
        <w:rPr>
          <w:rFonts w:ascii="Verdana" w:hAnsi="Verdana"/>
        </w:rPr>
        <w:t>”</w:t>
      </w:r>
      <w:r w:rsidR="00E02DA8" w:rsidRPr="00E02DA8">
        <w:rPr>
          <w:rFonts w:ascii="Verdana" w:hAnsi="Verdana"/>
        </w:rPr>
        <w:t>.</w:t>
      </w:r>
      <w:r w:rsidR="001F11A2">
        <w:rPr>
          <w:rStyle w:val="FootnoteReference"/>
          <w:rFonts w:ascii="Verdana" w:hAnsi="Verdana"/>
        </w:rPr>
        <w:footnoteReference w:id="50"/>
      </w:r>
      <w:r w:rsidR="00E02DA8" w:rsidRPr="00E02DA8">
        <w:rPr>
          <w:rFonts w:ascii="Verdana" w:hAnsi="Verdana"/>
        </w:rPr>
        <w:t xml:space="preserve"> </w:t>
      </w:r>
    </w:p>
    <w:p w14:paraId="7552825D" w14:textId="77777777" w:rsidR="004A1CFB" w:rsidRDefault="004A1CFB" w:rsidP="00A361AB">
      <w:pPr>
        <w:pStyle w:val="ListParagraph"/>
        <w:spacing w:line="360" w:lineRule="auto"/>
        <w:ind w:left="709"/>
        <w:rPr>
          <w:rFonts w:ascii="Verdana" w:hAnsi="Verdana"/>
        </w:rPr>
      </w:pPr>
    </w:p>
    <w:p w14:paraId="7C5E741E" w14:textId="63C6507C" w:rsidR="004A1CFB" w:rsidRPr="00425CDB" w:rsidRDefault="004A1CFB" w:rsidP="006464FC">
      <w:pPr>
        <w:pStyle w:val="ListParagraph"/>
        <w:numPr>
          <w:ilvl w:val="1"/>
          <w:numId w:val="28"/>
        </w:numPr>
        <w:spacing w:line="360" w:lineRule="auto"/>
        <w:ind w:left="709"/>
        <w:rPr>
          <w:rFonts w:ascii="Verdana" w:hAnsi="Verdana"/>
        </w:rPr>
      </w:pPr>
      <w:r w:rsidRPr="00425CDB">
        <w:rPr>
          <w:rFonts w:ascii="Verdana" w:hAnsi="Verdana"/>
        </w:rPr>
        <w:t>The UN I</w:t>
      </w:r>
      <w:r w:rsidR="00DD667A" w:rsidRPr="00425CDB">
        <w:rPr>
          <w:rFonts w:ascii="Verdana" w:hAnsi="Verdana"/>
        </w:rPr>
        <w:t>CESCR Committee has identified</w:t>
      </w:r>
      <w:r w:rsidR="008E4437" w:rsidRPr="00425CDB">
        <w:rPr>
          <w:rFonts w:ascii="Verdana" w:hAnsi="Verdana"/>
        </w:rPr>
        <w:t xml:space="preserve"> a number of essential factors which should apply to all social security systems, including a</w:t>
      </w:r>
      <w:r w:rsidR="00CD6758" w:rsidRPr="00425CDB">
        <w:rPr>
          <w:rFonts w:ascii="Verdana" w:hAnsi="Verdana"/>
        </w:rPr>
        <w:t xml:space="preserve">vailability, </w:t>
      </w:r>
      <w:r w:rsidR="002E59B0" w:rsidRPr="00425CDB">
        <w:rPr>
          <w:rFonts w:ascii="Verdana" w:hAnsi="Verdana"/>
        </w:rPr>
        <w:t>be</w:t>
      </w:r>
      <w:r w:rsidR="008E7E63" w:rsidRPr="00425CDB">
        <w:rPr>
          <w:rFonts w:ascii="Verdana" w:hAnsi="Verdana"/>
        </w:rPr>
        <w:t>ing</w:t>
      </w:r>
      <w:r w:rsidR="002E59B0" w:rsidRPr="00425CDB">
        <w:rPr>
          <w:rFonts w:ascii="Verdana" w:hAnsi="Verdana"/>
        </w:rPr>
        <w:t xml:space="preserve"> c</w:t>
      </w:r>
      <w:r w:rsidR="00B021D9" w:rsidRPr="00425CDB">
        <w:rPr>
          <w:rFonts w:ascii="Verdana" w:hAnsi="Verdana"/>
        </w:rPr>
        <w:t xml:space="preserve">ognisant of social risks and </w:t>
      </w:r>
      <w:r w:rsidR="008E7E63" w:rsidRPr="00425CDB">
        <w:rPr>
          <w:rFonts w:ascii="Verdana" w:hAnsi="Verdana"/>
        </w:rPr>
        <w:t>contingencies</w:t>
      </w:r>
      <w:r w:rsidR="00BF3D15" w:rsidRPr="00425CDB">
        <w:rPr>
          <w:rFonts w:ascii="Verdana" w:hAnsi="Verdana"/>
        </w:rPr>
        <w:t>, adequa</w:t>
      </w:r>
      <w:r w:rsidR="008E7E63" w:rsidRPr="00425CDB">
        <w:rPr>
          <w:rFonts w:ascii="Verdana" w:hAnsi="Verdana"/>
        </w:rPr>
        <w:t>cy</w:t>
      </w:r>
      <w:r w:rsidR="00B81595" w:rsidRPr="00425CDB">
        <w:rPr>
          <w:rFonts w:ascii="Verdana" w:hAnsi="Verdana"/>
        </w:rPr>
        <w:t xml:space="preserve"> and accessib</w:t>
      </w:r>
      <w:r w:rsidR="008E7E63" w:rsidRPr="00425CDB">
        <w:rPr>
          <w:rFonts w:ascii="Verdana" w:hAnsi="Verdana"/>
        </w:rPr>
        <w:t>ility</w:t>
      </w:r>
      <w:r w:rsidR="00B81595" w:rsidRPr="00425CDB">
        <w:rPr>
          <w:rFonts w:ascii="Verdana" w:hAnsi="Verdana"/>
        </w:rPr>
        <w:t>.</w:t>
      </w:r>
      <w:r w:rsidR="00B81595">
        <w:rPr>
          <w:rStyle w:val="FootnoteReference"/>
          <w:rFonts w:ascii="Verdana" w:hAnsi="Verdana"/>
        </w:rPr>
        <w:footnoteReference w:id="51"/>
      </w:r>
      <w:r w:rsidR="00B81595" w:rsidRPr="00425CDB">
        <w:rPr>
          <w:rFonts w:ascii="Verdana" w:hAnsi="Verdana"/>
        </w:rPr>
        <w:t xml:space="preserve"> </w:t>
      </w:r>
      <w:r w:rsidR="00571133" w:rsidRPr="00425CDB">
        <w:rPr>
          <w:rFonts w:ascii="Verdana" w:hAnsi="Verdana"/>
        </w:rPr>
        <w:t xml:space="preserve">On </w:t>
      </w:r>
      <w:r w:rsidR="00660561" w:rsidRPr="00425CDB">
        <w:rPr>
          <w:rFonts w:ascii="Verdana" w:hAnsi="Verdana"/>
        </w:rPr>
        <w:t xml:space="preserve">the need to be </w:t>
      </w:r>
      <w:r w:rsidR="008E7E63" w:rsidRPr="00425CDB">
        <w:rPr>
          <w:rFonts w:ascii="Verdana" w:hAnsi="Verdana"/>
        </w:rPr>
        <w:t>cognisant of social risks and contingencies</w:t>
      </w:r>
      <w:r w:rsidR="00660561" w:rsidRPr="00425CDB">
        <w:rPr>
          <w:rFonts w:ascii="Verdana" w:hAnsi="Verdana"/>
        </w:rPr>
        <w:t xml:space="preserve">, the UN ICESCR Committee </w:t>
      </w:r>
      <w:r w:rsidR="0036167E" w:rsidRPr="00425CDB">
        <w:rPr>
          <w:rFonts w:ascii="Verdana" w:hAnsi="Verdana"/>
        </w:rPr>
        <w:t>emphasises the importance of</w:t>
      </w:r>
      <w:r w:rsidR="00660561" w:rsidRPr="00425CDB">
        <w:rPr>
          <w:rFonts w:ascii="Verdana" w:hAnsi="Verdana"/>
        </w:rPr>
        <w:t xml:space="preserve"> </w:t>
      </w:r>
      <w:r w:rsidR="00086E91" w:rsidRPr="00425CDB">
        <w:rPr>
          <w:rFonts w:ascii="Verdana" w:hAnsi="Verdana"/>
        </w:rPr>
        <w:t xml:space="preserve">the provision of </w:t>
      </w:r>
      <w:r w:rsidR="00F76E6C" w:rsidRPr="00425CDB">
        <w:rPr>
          <w:rFonts w:ascii="Verdana" w:hAnsi="Verdana"/>
        </w:rPr>
        <w:t xml:space="preserve">adequate income support to </w:t>
      </w:r>
      <w:r w:rsidR="0036167E" w:rsidRPr="00425CDB">
        <w:rPr>
          <w:rFonts w:ascii="Verdana" w:hAnsi="Verdana"/>
        </w:rPr>
        <w:t xml:space="preserve">“persons with disabilities who, owing to disability or disability-related factors, have temporarily lost, or </w:t>
      </w:r>
      <w:r w:rsidR="0036167E" w:rsidRPr="00425CDB">
        <w:rPr>
          <w:rFonts w:ascii="Verdana" w:hAnsi="Verdana"/>
        </w:rPr>
        <w:lastRenderedPageBreak/>
        <w:t>received a reduction in, their income, have been denied employment opportunities or have a permanent disability”.</w:t>
      </w:r>
      <w:r w:rsidR="0036167E">
        <w:rPr>
          <w:rStyle w:val="FootnoteReference"/>
          <w:rFonts w:ascii="Verdana" w:hAnsi="Verdana"/>
        </w:rPr>
        <w:footnoteReference w:id="52"/>
      </w:r>
      <w:r w:rsidR="0036167E" w:rsidRPr="00425CDB">
        <w:rPr>
          <w:rFonts w:ascii="Verdana" w:hAnsi="Verdana"/>
        </w:rPr>
        <w:t xml:space="preserve"> </w:t>
      </w:r>
      <w:r w:rsidR="00086A8A">
        <w:rPr>
          <w:rFonts w:ascii="Verdana" w:hAnsi="Verdana"/>
        </w:rPr>
        <w:t>The UN ICE</w:t>
      </w:r>
      <w:r w:rsidR="00512C5E">
        <w:rPr>
          <w:rFonts w:ascii="Verdana" w:hAnsi="Verdana"/>
        </w:rPr>
        <w:t>SCR Committee notes that “</w:t>
      </w:r>
      <w:r w:rsidR="00595D1D">
        <w:rPr>
          <w:rFonts w:ascii="Verdana" w:hAnsi="Verdana"/>
        </w:rPr>
        <w:t>p</w:t>
      </w:r>
      <w:r w:rsidR="00595D1D" w:rsidRPr="00595D1D">
        <w:rPr>
          <w:rFonts w:ascii="Verdana" w:hAnsi="Verdana"/>
        </w:rPr>
        <w:t>ersons suffering from long periods of sickness should qualify for disability benefits</w:t>
      </w:r>
      <w:r w:rsidR="00595D1D">
        <w:rPr>
          <w:rFonts w:ascii="Verdana" w:hAnsi="Verdana"/>
        </w:rPr>
        <w:t>”</w:t>
      </w:r>
      <w:r w:rsidR="004574F2" w:rsidRPr="00425CDB">
        <w:rPr>
          <w:rFonts w:ascii="Verdana" w:hAnsi="Verdana"/>
        </w:rPr>
        <w:t>.</w:t>
      </w:r>
      <w:r w:rsidR="004574F2">
        <w:rPr>
          <w:rStyle w:val="FootnoteReference"/>
          <w:rFonts w:ascii="Verdana" w:hAnsi="Verdana"/>
        </w:rPr>
        <w:footnoteReference w:id="53"/>
      </w:r>
      <w:r w:rsidR="004574F2" w:rsidRPr="00425CDB">
        <w:rPr>
          <w:rFonts w:ascii="Verdana" w:hAnsi="Verdana"/>
        </w:rPr>
        <w:t xml:space="preserve"> </w:t>
      </w:r>
      <w:r w:rsidR="00B81595" w:rsidRPr="00425CDB">
        <w:rPr>
          <w:rFonts w:ascii="Verdana" w:hAnsi="Verdana"/>
        </w:rPr>
        <w:t xml:space="preserve">Social security systems should also be viewed </w:t>
      </w:r>
      <w:r w:rsidR="006A350A" w:rsidRPr="00425CDB">
        <w:rPr>
          <w:rFonts w:ascii="Verdana" w:hAnsi="Verdana"/>
        </w:rPr>
        <w:t>in relation to the enjoyment of other rights</w:t>
      </w:r>
      <w:r w:rsidR="00FA6E88" w:rsidRPr="00425CDB">
        <w:rPr>
          <w:rFonts w:ascii="Verdana" w:hAnsi="Verdana"/>
        </w:rPr>
        <w:t xml:space="preserve"> set out in UN ICESCR, including Article 10 on special provisions for </w:t>
      </w:r>
      <w:r w:rsidR="002062F8" w:rsidRPr="00425CDB">
        <w:rPr>
          <w:rFonts w:ascii="Verdana" w:hAnsi="Verdana"/>
        </w:rPr>
        <w:t>persons</w:t>
      </w:r>
      <w:r w:rsidR="001F73E2" w:rsidRPr="00425CDB">
        <w:rPr>
          <w:rFonts w:ascii="Verdana" w:hAnsi="Verdana"/>
        </w:rPr>
        <w:t xml:space="preserve"> with disabilities, Article 11 on measures to combat poverty and Article 12 on the </w:t>
      </w:r>
      <w:r w:rsidR="002062F8" w:rsidRPr="00425CDB">
        <w:rPr>
          <w:rFonts w:ascii="Verdana" w:hAnsi="Verdana"/>
        </w:rPr>
        <w:t>highest attainable</w:t>
      </w:r>
      <w:r w:rsidR="001F73E2" w:rsidRPr="00425CDB">
        <w:rPr>
          <w:rFonts w:ascii="Verdana" w:hAnsi="Verdana"/>
        </w:rPr>
        <w:t xml:space="preserve"> standard of </w:t>
      </w:r>
      <w:r w:rsidR="002062F8" w:rsidRPr="00425CDB">
        <w:rPr>
          <w:rFonts w:ascii="Verdana" w:hAnsi="Verdana"/>
        </w:rPr>
        <w:t>physical and mental health.</w:t>
      </w:r>
      <w:r w:rsidR="002062F8">
        <w:rPr>
          <w:rStyle w:val="FootnoteReference"/>
          <w:rFonts w:ascii="Verdana" w:hAnsi="Verdana"/>
        </w:rPr>
        <w:footnoteReference w:id="54"/>
      </w:r>
    </w:p>
    <w:p w14:paraId="255906D2" w14:textId="77777777" w:rsidR="00A51C32" w:rsidRPr="00A51C32" w:rsidRDefault="00A51C32" w:rsidP="00A361AB">
      <w:pPr>
        <w:pStyle w:val="ListParagraph"/>
        <w:spacing w:line="360" w:lineRule="auto"/>
        <w:rPr>
          <w:rFonts w:ascii="Verdana" w:hAnsi="Verdana"/>
        </w:rPr>
      </w:pPr>
    </w:p>
    <w:p w14:paraId="1710FB62" w14:textId="77777777" w:rsidR="00917ADE" w:rsidRDefault="00A51C32" w:rsidP="006464FC">
      <w:pPr>
        <w:pStyle w:val="ListParagraph"/>
        <w:numPr>
          <w:ilvl w:val="1"/>
          <w:numId w:val="28"/>
        </w:numPr>
        <w:spacing w:line="360" w:lineRule="auto"/>
        <w:ind w:left="709"/>
        <w:rPr>
          <w:rFonts w:ascii="Verdana" w:hAnsi="Verdana"/>
        </w:rPr>
      </w:pPr>
      <w:r w:rsidRPr="00917ADE">
        <w:rPr>
          <w:rFonts w:ascii="Verdana" w:hAnsi="Verdana"/>
        </w:rPr>
        <w:t xml:space="preserve">Article 2(1) of UN ICESCR </w:t>
      </w:r>
      <w:r w:rsidR="006A7238" w:rsidRPr="00917ADE">
        <w:rPr>
          <w:rFonts w:ascii="Verdana" w:hAnsi="Verdana"/>
        </w:rPr>
        <w:t>requires that the UK Government take steps to “the maximum of its available resources, with a view to achieving progressively the full realisation</w:t>
      </w:r>
      <w:r w:rsidR="00460F2A" w:rsidRPr="00917ADE">
        <w:rPr>
          <w:rFonts w:ascii="Verdana" w:hAnsi="Verdana"/>
        </w:rPr>
        <w:t xml:space="preserve"> </w:t>
      </w:r>
      <w:r w:rsidR="007E5293" w:rsidRPr="00917ADE">
        <w:rPr>
          <w:rFonts w:ascii="Verdana" w:hAnsi="Verdana"/>
        </w:rPr>
        <w:t xml:space="preserve">of the rights recognised in the present </w:t>
      </w:r>
      <w:r w:rsidR="00F451F9" w:rsidRPr="00917ADE">
        <w:rPr>
          <w:rFonts w:ascii="Verdana" w:hAnsi="Verdana"/>
        </w:rPr>
        <w:t xml:space="preserve">Covenant”. Article 2(2) </w:t>
      </w:r>
      <w:r w:rsidR="00F73B01" w:rsidRPr="00917ADE">
        <w:rPr>
          <w:rFonts w:ascii="Verdana" w:hAnsi="Verdana"/>
        </w:rPr>
        <w:t xml:space="preserve">requires that </w:t>
      </w:r>
      <w:r w:rsidR="00D658A4" w:rsidRPr="00917ADE">
        <w:rPr>
          <w:rFonts w:ascii="Verdana" w:hAnsi="Verdana"/>
        </w:rPr>
        <w:t>rights set out in the Covenant are exercised without discrimination of any kind</w:t>
      </w:r>
      <w:r w:rsidR="00366AFE" w:rsidRPr="00917ADE">
        <w:rPr>
          <w:rFonts w:ascii="Verdana" w:hAnsi="Verdana"/>
        </w:rPr>
        <w:t>, including disability or health status.</w:t>
      </w:r>
      <w:r w:rsidR="00366AFE">
        <w:rPr>
          <w:rStyle w:val="FootnoteReference"/>
          <w:rFonts w:ascii="Verdana" w:hAnsi="Verdana"/>
        </w:rPr>
        <w:footnoteReference w:id="55"/>
      </w:r>
      <w:r w:rsidR="002A3906" w:rsidRPr="00917ADE">
        <w:rPr>
          <w:rFonts w:ascii="Verdana" w:hAnsi="Verdana"/>
        </w:rPr>
        <w:t xml:space="preserve"> </w:t>
      </w:r>
    </w:p>
    <w:p w14:paraId="018890F5" w14:textId="77777777" w:rsidR="00917ADE" w:rsidRPr="00917ADE" w:rsidRDefault="00917ADE" w:rsidP="00A361AB">
      <w:pPr>
        <w:pStyle w:val="ListParagraph"/>
        <w:spacing w:line="360" w:lineRule="auto"/>
        <w:rPr>
          <w:rFonts w:ascii="Verdana" w:hAnsi="Verdana"/>
        </w:rPr>
      </w:pPr>
    </w:p>
    <w:p w14:paraId="59BF9BDE" w14:textId="6298B2D2" w:rsidR="00917ADE" w:rsidRDefault="00F86599" w:rsidP="006464FC">
      <w:pPr>
        <w:pStyle w:val="ListParagraph"/>
        <w:numPr>
          <w:ilvl w:val="1"/>
          <w:numId w:val="28"/>
        </w:numPr>
        <w:spacing w:line="360" w:lineRule="auto"/>
        <w:ind w:left="709"/>
        <w:rPr>
          <w:rFonts w:ascii="Verdana" w:hAnsi="Verdana"/>
        </w:rPr>
      </w:pPr>
      <w:r w:rsidRPr="00917ADE">
        <w:rPr>
          <w:rFonts w:ascii="Verdana" w:hAnsi="Verdana"/>
        </w:rPr>
        <w:t xml:space="preserve">The UN ICESCR Committee has acknowledged </w:t>
      </w:r>
      <w:r w:rsidR="00DC2C40" w:rsidRPr="00917ADE">
        <w:rPr>
          <w:rFonts w:ascii="Verdana" w:hAnsi="Verdana"/>
        </w:rPr>
        <w:t xml:space="preserve">that the realisation of </w:t>
      </w:r>
      <w:r w:rsidR="00071A4F" w:rsidRPr="00917ADE">
        <w:rPr>
          <w:rFonts w:ascii="Verdana" w:hAnsi="Verdana"/>
        </w:rPr>
        <w:t xml:space="preserve">the right to social security </w:t>
      </w:r>
      <w:r w:rsidR="00425CDB" w:rsidRPr="00917ADE">
        <w:rPr>
          <w:rFonts w:ascii="Verdana" w:hAnsi="Verdana"/>
        </w:rPr>
        <w:t xml:space="preserve">carries significant </w:t>
      </w:r>
      <w:r w:rsidR="007448E2" w:rsidRPr="00917ADE">
        <w:rPr>
          <w:rFonts w:ascii="Verdana" w:hAnsi="Verdana"/>
        </w:rPr>
        <w:t xml:space="preserve">financial implications </w:t>
      </w:r>
      <w:r w:rsidR="00A97428" w:rsidRPr="00917ADE">
        <w:rPr>
          <w:rFonts w:ascii="Verdana" w:hAnsi="Verdana"/>
        </w:rPr>
        <w:t>for States, but notes “that the fundamental importance of social security for human dignity and the legal recognition of this right by States parties mean that the right should be given appropriate priority in law and policy”.</w:t>
      </w:r>
      <w:r w:rsidR="00A97428">
        <w:rPr>
          <w:rStyle w:val="FootnoteReference"/>
          <w:rFonts w:ascii="Verdana" w:hAnsi="Verdana"/>
        </w:rPr>
        <w:footnoteReference w:id="56"/>
      </w:r>
      <w:r w:rsidR="00FD41EB" w:rsidRPr="00917ADE">
        <w:rPr>
          <w:rFonts w:ascii="Verdana" w:hAnsi="Verdana"/>
        </w:rPr>
        <w:t xml:space="preserve"> Retrogressive measures in relation to the right to social security are prohibited under the C</w:t>
      </w:r>
      <w:r w:rsidR="00623750" w:rsidRPr="00917ADE">
        <w:rPr>
          <w:rFonts w:ascii="Verdana" w:hAnsi="Verdana"/>
        </w:rPr>
        <w:t>ovenant.</w:t>
      </w:r>
      <w:r w:rsidR="00623750">
        <w:rPr>
          <w:rStyle w:val="FootnoteReference"/>
          <w:rFonts w:ascii="Verdana" w:hAnsi="Verdana"/>
        </w:rPr>
        <w:footnoteReference w:id="57"/>
      </w:r>
      <w:r w:rsidR="00917ADE" w:rsidRPr="00917ADE">
        <w:rPr>
          <w:rFonts w:ascii="Verdana" w:hAnsi="Verdana"/>
        </w:rPr>
        <w:t xml:space="preserve"> The UN ICESCR Committee identifies that if any deliberately retrogressive measures introduced by the State in relation to social security, the State bears responsibility in proving that they had been “introduced after the most careful consideration of all </w:t>
      </w:r>
      <w:r w:rsidR="00917ADE" w:rsidRPr="00917ADE">
        <w:rPr>
          <w:rFonts w:ascii="Verdana" w:hAnsi="Verdana"/>
        </w:rPr>
        <w:lastRenderedPageBreak/>
        <w:t>alternatives and that they are duly justified by reference to the totality of the rights provided for in the Covenant, in the context of the full use of the maximum available resources”.</w:t>
      </w:r>
      <w:r w:rsidR="00917ADE">
        <w:rPr>
          <w:rStyle w:val="FootnoteReference"/>
          <w:rFonts w:ascii="Verdana" w:hAnsi="Verdana"/>
        </w:rPr>
        <w:footnoteReference w:id="58"/>
      </w:r>
      <w:r w:rsidR="00917ADE" w:rsidRPr="00917ADE">
        <w:rPr>
          <w:rFonts w:ascii="Verdana" w:hAnsi="Verdana"/>
        </w:rPr>
        <w:t xml:space="preserve"> An evaluation of whether retrogressive measures infringe on the right to social security requires consideration of whether:</w:t>
      </w:r>
    </w:p>
    <w:p w14:paraId="438778AF" w14:textId="77777777" w:rsidR="00EA1C89" w:rsidRPr="00EA1C89" w:rsidRDefault="00EA1C89" w:rsidP="00A361AB">
      <w:pPr>
        <w:pStyle w:val="ListParagraph"/>
        <w:spacing w:line="360" w:lineRule="auto"/>
        <w:rPr>
          <w:rFonts w:ascii="Verdana" w:hAnsi="Verdana"/>
        </w:rPr>
      </w:pPr>
    </w:p>
    <w:p w14:paraId="4891B5C9" w14:textId="77777777" w:rsidR="00EA1C89" w:rsidRDefault="00EA1C89" w:rsidP="00A361AB">
      <w:pPr>
        <w:pStyle w:val="ListParagraph"/>
        <w:spacing w:line="360" w:lineRule="auto"/>
        <w:ind w:left="993"/>
        <w:rPr>
          <w:rFonts w:ascii="Verdana" w:hAnsi="Verdana"/>
        </w:rPr>
      </w:pPr>
      <w:r w:rsidRPr="00EA1C89">
        <w:rPr>
          <w:rFonts w:ascii="Verdana" w:hAnsi="Verdana"/>
        </w:rPr>
        <w:t xml:space="preserve">a) there was reasonable justification for the </w:t>
      </w:r>
      <w:proofErr w:type="gramStart"/>
      <w:r w:rsidRPr="00EA1C89">
        <w:rPr>
          <w:rFonts w:ascii="Verdana" w:hAnsi="Verdana"/>
        </w:rPr>
        <w:t>action;</w:t>
      </w:r>
      <w:proofErr w:type="gramEnd"/>
      <w:r w:rsidRPr="00EA1C89">
        <w:rPr>
          <w:rFonts w:ascii="Verdana" w:hAnsi="Verdana"/>
        </w:rPr>
        <w:t xml:space="preserve"> </w:t>
      </w:r>
    </w:p>
    <w:p w14:paraId="726B610C" w14:textId="77777777" w:rsidR="00EA1C89" w:rsidRDefault="00EA1C89" w:rsidP="00A361AB">
      <w:pPr>
        <w:pStyle w:val="ListParagraph"/>
        <w:spacing w:line="360" w:lineRule="auto"/>
        <w:ind w:left="993"/>
        <w:rPr>
          <w:rFonts w:ascii="Verdana" w:hAnsi="Verdana"/>
        </w:rPr>
      </w:pPr>
      <w:r w:rsidRPr="00EA1C89">
        <w:rPr>
          <w:rFonts w:ascii="Verdana" w:hAnsi="Verdana"/>
        </w:rPr>
        <w:t xml:space="preserve">b) alternatives were comprehensively </w:t>
      </w:r>
      <w:proofErr w:type="gramStart"/>
      <w:r w:rsidRPr="00EA1C89">
        <w:rPr>
          <w:rFonts w:ascii="Verdana" w:hAnsi="Verdana"/>
        </w:rPr>
        <w:t>examined;</w:t>
      </w:r>
      <w:proofErr w:type="gramEnd"/>
      <w:r w:rsidRPr="00EA1C89">
        <w:rPr>
          <w:rFonts w:ascii="Verdana" w:hAnsi="Verdana"/>
        </w:rPr>
        <w:t xml:space="preserve"> </w:t>
      </w:r>
    </w:p>
    <w:p w14:paraId="1DE1C932" w14:textId="77777777" w:rsidR="00EA1C89" w:rsidRDefault="00EA1C89" w:rsidP="00A361AB">
      <w:pPr>
        <w:pStyle w:val="ListParagraph"/>
        <w:spacing w:line="360" w:lineRule="auto"/>
        <w:ind w:left="993"/>
        <w:rPr>
          <w:rFonts w:ascii="Verdana" w:hAnsi="Verdana"/>
        </w:rPr>
      </w:pPr>
      <w:r w:rsidRPr="00EA1C89">
        <w:rPr>
          <w:rFonts w:ascii="Verdana" w:hAnsi="Verdana"/>
        </w:rPr>
        <w:t xml:space="preserve">c) there was genuine participation of affected groups in examining the proposed measures and </w:t>
      </w:r>
      <w:proofErr w:type="gramStart"/>
      <w:r w:rsidRPr="00EA1C89">
        <w:rPr>
          <w:rFonts w:ascii="Verdana" w:hAnsi="Verdana"/>
        </w:rPr>
        <w:t>alternatives;</w:t>
      </w:r>
      <w:proofErr w:type="gramEnd"/>
      <w:r w:rsidRPr="00EA1C89">
        <w:rPr>
          <w:rFonts w:ascii="Verdana" w:hAnsi="Verdana"/>
        </w:rPr>
        <w:t xml:space="preserve"> </w:t>
      </w:r>
    </w:p>
    <w:p w14:paraId="13AE723D" w14:textId="77777777" w:rsidR="00EA1C89" w:rsidRDefault="00EA1C89" w:rsidP="00A361AB">
      <w:pPr>
        <w:pStyle w:val="ListParagraph"/>
        <w:spacing w:line="360" w:lineRule="auto"/>
        <w:ind w:left="993"/>
        <w:rPr>
          <w:rFonts w:ascii="Verdana" w:hAnsi="Verdana"/>
        </w:rPr>
      </w:pPr>
      <w:r w:rsidRPr="00EA1C89">
        <w:rPr>
          <w:rFonts w:ascii="Verdana" w:hAnsi="Verdana"/>
        </w:rPr>
        <w:t xml:space="preserve">d) the measures were directly or indirectly </w:t>
      </w:r>
      <w:proofErr w:type="gramStart"/>
      <w:r w:rsidRPr="00EA1C89">
        <w:rPr>
          <w:rFonts w:ascii="Verdana" w:hAnsi="Verdana"/>
        </w:rPr>
        <w:t>discriminatory;</w:t>
      </w:r>
      <w:proofErr w:type="gramEnd"/>
      <w:r w:rsidRPr="00EA1C89">
        <w:rPr>
          <w:rFonts w:ascii="Verdana" w:hAnsi="Verdana"/>
        </w:rPr>
        <w:t xml:space="preserve"> </w:t>
      </w:r>
    </w:p>
    <w:p w14:paraId="7DB80985" w14:textId="77777777" w:rsidR="00EA1C89" w:rsidRDefault="00EA1C89" w:rsidP="00A361AB">
      <w:pPr>
        <w:pStyle w:val="ListParagraph"/>
        <w:spacing w:line="360" w:lineRule="auto"/>
        <w:ind w:left="993"/>
        <w:rPr>
          <w:rFonts w:ascii="Verdana" w:hAnsi="Verdana"/>
        </w:rPr>
      </w:pPr>
      <w:r w:rsidRPr="00EA1C89">
        <w:rPr>
          <w:rFonts w:ascii="Verdana" w:hAnsi="Verdana"/>
        </w:rPr>
        <w:t xml:space="preserve">e) the measures will have a sustained impact on the realisation of the right to social security, an unreasonable impact on acquired social security rights or whether an individual or group is deprived of access to the minimum essential level of social security; and </w:t>
      </w:r>
    </w:p>
    <w:p w14:paraId="14D17BCF" w14:textId="603693B2" w:rsidR="00EA1C89" w:rsidRPr="00917ADE" w:rsidRDefault="00EA1C89" w:rsidP="00A361AB">
      <w:pPr>
        <w:pStyle w:val="ListParagraph"/>
        <w:spacing w:line="360" w:lineRule="auto"/>
        <w:ind w:left="993"/>
        <w:rPr>
          <w:rFonts w:ascii="Verdana" w:hAnsi="Verdana"/>
        </w:rPr>
      </w:pPr>
      <w:r w:rsidRPr="00EA1C89">
        <w:rPr>
          <w:rFonts w:ascii="Verdana" w:hAnsi="Verdana"/>
        </w:rPr>
        <w:t>f) whether there was an independent review of the measures at the national level.</w:t>
      </w:r>
      <w:r w:rsidR="008D3379">
        <w:rPr>
          <w:rStyle w:val="FootnoteReference"/>
          <w:rFonts w:ascii="Verdana" w:hAnsi="Verdana"/>
        </w:rPr>
        <w:footnoteReference w:id="59"/>
      </w:r>
    </w:p>
    <w:p w14:paraId="26CB6AB8" w14:textId="77777777" w:rsidR="00917ADE" w:rsidRPr="00F96B0B" w:rsidRDefault="00917ADE" w:rsidP="00A361AB">
      <w:pPr>
        <w:spacing w:line="360" w:lineRule="auto"/>
        <w:ind w:left="-11"/>
        <w:rPr>
          <w:rFonts w:ascii="Verdana" w:hAnsi="Verdana"/>
        </w:rPr>
      </w:pPr>
    </w:p>
    <w:p w14:paraId="789147D6" w14:textId="6489AFF2" w:rsidR="00C761E4" w:rsidRDefault="009315F2" w:rsidP="006464FC">
      <w:pPr>
        <w:pStyle w:val="ListParagraph"/>
        <w:numPr>
          <w:ilvl w:val="1"/>
          <w:numId w:val="28"/>
        </w:numPr>
        <w:spacing w:line="360" w:lineRule="auto"/>
        <w:ind w:left="709"/>
        <w:rPr>
          <w:rFonts w:ascii="Verdana" w:hAnsi="Verdana"/>
        </w:rPr>
      </w:pPr>
      <w:r>
        <w:rPr>
          <w:rFonts w:ascii="Verdana" w:hAnsi="Verdana"/>
        </w:rPr>
        <w:t>In 202</w:t>
      </w:r>
      <w:r w:rsidR="000465AA">
        <w:rPr>
          <w:rFonts w:ascii="Verdana" w:hAnsi="Verdana"/>
        </w:rPr>
        <w:t xml:space="preserve">5, the UN ICESCR Committee </w:t>
      </w:r>
      <w:r w:rsidR="00301F07">
        <w:rPr>
          <w:rFonts w:ascii="Verdana" w:hAnsi="Verdana"/>
        </w:rPr>
        <w:t xml:space="preserve">raised </w:t>
      </w:r>
      <w:r w:rsidR="000465AA">
        <w:rPr>
          <w:rFonts w:ascii="Verdana" w:hAnsi="Verdana"/>
        </w:rPr>
        <w:t xml:space="preserve">concern that </w:t>
      </w:r>
      <w:r w:rsidR="00933120">
        <w:rPr>
          <w:rFonts w:ascii="Verdana" w:hAnsi="Verdana"/>
        </w:rPr>
        <w:t>the Welfare Reform Act 2012 and the Welfare Reform and Work Act 2016, introduced by the previous UK Government</w:t>
      </w:r>
      <w:r w:rsidR="0019758A">
        <w:rPr>
          <w:rFonts w:ascii="Verdana" w:hAnsi="Verdana"/>
        </w:rPr>
        <w:t xml:space="preserve"> including benefit cuts and reductions, have “</w:t>
      </w:r>
      <w:r w:rsidR="00C458B0" w:rsidRPr="00C458B0">
        <w:rPr>
          <w:rFonts w:ascii="Verdana" w:hAnsi="Verdana"/>
        </w:rPr>
        <w:t>eroded the rights to social security and to an adequate standard of living, disproportionally affecting persons with disabilities</w:t>
      </w:r>
      <w:r w:rsidR="002F6D9B">
        <w:rPr>
          <w:rFonts w:ascii="Verdana" w:hAnsi="Verdana"/>
        </w:rPr>
        <w:t>” and that these “</w:t>
      </w:r>
      <w:r w:rsidR="002F6D9B" w:rsidRPr="002F6D9B">
        <w:rPr>
          <w:rFonts w:ascii="Verdana" w:hAnsi="Verdana"/>
        </w:rPr>
        <w:t>reforms have resulted in severe economic hardship, increased reliance on food banks, homelessness, negative impacts on mental health and the stigmatization of benefit claimants</w:t>
      </w:r>
      <w:r w:rsidR="002F6D9B">
        <w:rPr>
          <w:rFonts w:ascii="Verdana" w:hAnsi="Verdana"/>
        </w:rPr>
        <w:t>”.</w:t>
      </w:r>
      <w:r w:rsidR="002F6D9B">
        <w:rPr>
          <w:rStyle w:val="FootnoteReference"/>
          <w:rFonts w:ascii="Verdana" w:hAnsi="Verdana"/>
        </w:rPr>
        <w:footnoteReference w:id="60"/>
      </w:r>
      <w:r w:rsidR="002E65B8">
        <w:rPr>
          <w:rFonts w:ascii="Verdana" w:hAnsi="Verdana"/>
        </w:rPr>
        <w:t xml:space="preserve"> The UN ICESCR Committee </w:t>
      </w:r>
      <w:r w:rsidR="00C761E4">
        <w:rPr>
          <w:rFonts w:ascii="Verdana" w:hAnsi="Verdana"/>
        </w:rPr>
        <w:t>recommended that the UK Government:</w:t>
      </w:r>
    </w:p>
    <w:p w14:paraId="1A387127" w14:textId="77777777" w:rsidR="00F563CF" w:rsidRDefault="00F563CF" w:rsidP="00A361AB">
      <w:pPr>
        <w:spacing w:line="360" w:lineRule="auto"/>
        <w:ind w:left="-11"/>
        <w:rPr>
          <w:rFonts w:ascii="Verdana" w:hAnsi="Verdana"/>
        </w:rPr>
      </w:pPr>
    </w:p>
    <w:p w14:paraId="48E43B36" w14:textId="77777777" w:rsidR="00F563CF" w:rsidRDefault="00F563CF" w:rsidP="00A361AB">
      <w:pPr>
        <w:pStyle w:val="ListParagraph"/>
        <w:spacing w:line="360" w:lineRule="auto"/>
        <w:ind w:left="993"/>
        <w:rPr>
          <w:rFonts w:ascii="Verdana" w:hAnsi="Verdana"/>
        </w:rPr>
      </w:pPr>
      <w:r w:rsidRPr="00C761E4">
        <w:rPr>
          <w:rFonts w:ascii="Verdana" w:hAnsi="Verdana"/>
        </w:rPr>
        <w:lastRenderedPageBreak/>
        <w:t xml:space="preserve">ensure that disability-related benefits, including the Personal Independence Payment and the Employment and Support Allowance, adequately cover additional disability-related costs, in line with the human rights model of disability, </w:t>
      </w:r>
      <w:proofErr w:type="gramStart"/>
      <w:r w:rsidRPr="00C761E4">
        <w:rPr>
          <w:rFonts w:ascii="Verdana" w:hAnsi="Verdana"/>
        </w:rPr>
        <w:t>taking into account</w:t>
      </w:r>
      <w:proofErr w:type="gramEnd"/>
      <w:r w:rsidRPr="00C761E4">
        <w:rPr>
          <w:rFonts w:ascii="Verdana" w:hAnsi="Verdana"/>
        </w:rPr>
        <w:t xml:space="preserve"> the recommendations of the Committee on the Rights of Persons with Disabilities</w:t>
      </w:r>
      <w:r>
        <w:rPr>
          <w:rFonts w:ascii="Verdana" w:hAnsi="Verdana"/>
        </w:rPr>
        <w:t>.</w:t>
      </w:r>
      <w:r>
        <w:rPr>
          <w:rStyle w:val="FootnoteReference"/>
          <w:rFonts w:ascii="Verdana" w:hAnsi="Verdana"/>
        </w:rPr>
        <w:footnoteReference w:id="61"/>
      </w:r>
    </w:p>
    <w:p w14:paraId="2A2AD96F" w14:textId="77777777" w:rsidR="00F563CF" w:rsidRPr="00F563CF" w:rsidRDefault="00F563CF" w:rsidP="00A361AB">
      <w:pPr>
        <w:spacing w:line="360" w:lineRule="auto"/>
        <w:ind w:left="-11"/>
        <w:rPr>
          <w:rFonts w:ascii="Verdana" w:hAnsi="Verdana"/>
        </w:rPr>
      </w:pPr>
    </w:p>
    <w:p w14:paraId="411ACFA2" w14:textId="77777777" w:rsidR="00982AAD" w:rsidRDefault="00450328" w:rsidP="006464FC">
      <w:pPr>
        <w:pStyle w:val="ListParagraph"/>
        <w:numPr>
          <w:ilvl w:val="1"/>
          <w:numId w:val="28"/>
        </w:numPr>
        <w:spacing w:line="360" w:lineRule="auto"/>
        <w:ind w:left="709"/>
        <w:rPr>
          <w:rFonts w:ascii="Verdana" w:hAnsi="Verdana"/>
        </w:rPr>
      </w:pPr>
      <w:r>
        <w:rPr>
          <w:rFonts w:ascii="Verdana" w:hAnsi="Verdana"/>
        </w:rPr>
        <w:t xml:space="preserve">The UN ICESCR Committee further concluded that the </w:t>
      </w:r>
      <w:r w:rsidR="00982AAD">
        <w:rPr>
          <w:rFonts w:ascii="Verdana" w:hAnsi="Verdana"/>
        </w:rPr>
        <w:t>UK Government’s fiscal policy:</w:t>
      </w:r>
    </w:p>
    <w:p w14:paraId="563D6836" w14:textId="77777777" w:rsidR="00982AAD" w:rsidRDefault="00982AAD" w:rsidP="00A361AB">
      <w:pPr>
        <w:pStyle w:val="ListParagraph"/>
        <w:spacing w:line="360" w:lineRule="auto"/>
        <w:ind w:left="709"/>
        <w:rPr>
          <w:rFonts w:ascii="Verdana" w:hAnsi="Verdana"/>
        </w:rPr>
      </w:pPr>
    </w:p>
    <w:p w14:paraId="7AF51071" w14:textId="4845EF41" w:rsidR="00450328" w:rsidRDefault="00982AAD" w:rsidP="00A361AB">
      <w:pPr>
        <w:pStyle w:val="ListParagraph"/>
        <w:spacing w:line="360" w:lineRule="auto"/>
        <w:ind w:left="993"/>
        <w:rPr>
          <w:rFonts w:ascii="Verdana" w:hAnsi="Verdana"/>
        </w:rPr>
      </w:pPr>
      <w:r w:rsidRPr="00982AAD">
        <w:rPr>
          <w:rFonts w:ascii="Verdana" w:hAnsi="Verdana"/>
        </w:rPr>
        <w:t>is not effectively addressing income inequality or reducing poverty, while also hindering the mobili</w:t>
      </w:r>
      <w:r w:rsidR="00AE36EF">
        <w:rPr>
          <w:rFonts w:ascii="Verdana" w:hAnsi="Verdana"/>
        </w:rPr>
        <w:t>s</w:t>
      </w:r>
      <w:r w:rsidRPr="00982AAD">
        <w:rPr>
          <w:rFonts w:ascii="Verdana" w:hAnsi="Verdana"/>
        </w:rPr>
        <w:t>ation of the maximum available resources for the implementation of Covenant rights. It is further concerned that insufficient social spending, particularly in a context of rapidly rising inflation, hampers the progressive realization of economic, social and cultural rights</w:t>
      </w:r>
      <w:r w:rsidR="00DB2922">
        <w:rPr>
          <w:rFonts w:ascii="Verdana" w:hAnsi="Verdana"/>
        </w:rPr>
        <w:t>.</w:t>
      </w:r>
      <w:r w:rsidR="00DB2922">
        <w:rPr>
          <w:rStyle w:val="FootnoteReference"/>
          <w:rFonts w:ascii="Verdana" w:hAnsi="Verdana"/>
        </w:rPr>
        <w:footnoteReference w:id="62"/>
      </w:r>
    </w:p>
    <w:p w14:paraId="584B0ED0" w14:textId="77777777" w:rsidR="00DB2922" w:rsidRDefault="00DB2922" w:rsidP="00A361AB">
      <w:pPr>
        <w:pStyle w:val="ListParagraph"/>
        <w:spacing w:line="360" w:lineRule="auto"/>
        <w:ind w:left="993"/>
        <w:rPr>
          <w:rFonts w:ascii="Verdana" w:hAnsi="Verdana"/>
        </w:rPr>
      </w:pPr>
    </w:p>
    <w:p w14:paraId="304759A9" w14:textId="5441B527" w:rsidR="00DB2922" w:rsidRDefault="00DB2922" w:rsidP="006464FC">
      <w:pPr>
        <w:pStyle w:val="ListParagraph"/>
        <w:numPr>
          <w:ilvl w:val="1"/>
          <w:numId w:val="28"/>
        </w:numPr>
        <w:spacing w:line="360" w:lineRule="auto"/>
        <w:ind w:left="709"/>
        <w:rPr>
          <w:rFonts w:ascii="Verdana" w:hAnsi="Verdana"/>
        </w:rPr>
      </w:pPr>
      <w:r>
        <w:rPr>
          <w:rFonts w:ascii="Verdana" w:hAnsi="Verdana"/>
        </w:rPr>
        <w:t xml:space="preserve">The UN ICESCR Committee recommended that the UK Government </w:t>
      </w:r>
      <w:r w:rsidR="00F362B9">
        <w:rPr>
          <w:rFonts w:ascii="Verdana" w:hAnsi="Verdana"/>
        </w:rPr>
        <w:t>“a</w:t>
      </w:r>
      <w:r w:rsidR="00F362B9" w:rsidRPr="00F362B9">
        <w:rPr>
          <w:rFonts w:ascii="Verdana" w:hAnsi="Verdana"/>
        </w:rPr>
        <w:t>ssess the impact of fiscal policy on economic, social and cultural rights, including its distributional effects on disadvantaged groups, in consultation with social partners</w:t>
      </w:r>
      <w:r w:rsidR="00F362B9">
        <w:rPr>
          <w:rFonts w:ascii="Verdana" w:hAnsi="Verdana"/>
        </w:rPr>
        <w:t>” and “i</w:t>
      </w:r>
      <w:r w:rsidR="00F362B9" w:rsidRPr="00F362B9">
        <w:rPr>
          <w:rFonts w:ascii="Verdana" w:hAnsi="Verdana"/>
        </w:rPr>
        <w:t xml:space="preserve">ncrease the budget allocated to </w:t>
      </w:r>
      <w:r w:rsidR="00D15891">
        <w:rPr>
          <w:rFonts w:ascii="Verdana" w:hAnsi="Verdana"/>
        </w:rPr>
        <w:t xml:space="preserve">… </w:t>
      </w:r>
      <w:r w:rsidR="00F362B9" w:rsidRPr="00F362B9">
        <w:rPr>
          <w:rFonts w:ascii="Verdana" w:hAnsi="Verdana"/>
        </w:rPr>
        <w:t>social security</w:t>
      </w:r>
      <w:r w:rsidR="00F362B9">
        <w:rPr>
          <w:rFonts w:ascii="Verdana" w:hAnsi="Verdana"/>
        </w:rPr>
        <w:t>”</w:t>
      </w:r>
      <w:r w:rsidR="00F362B9" w:rsidRPr="00F362B9">
        <w:rPr>
          <w:rFonts w:ascii="Verdana" w:hAnsi="Verdana"/>
        </w:rPr>
        <w:t>.</w:t>
      </w:r>
      <w:r w:rsidR="00F362B9">
        <w:rPr>
          <w:rStyle w:val="FootnoteReference"/>
          <w:rFonts w:ascii="Verdana" w:hAnsi="Verdana"/>
        </w:rPr>
        <w:footnoteReference w:id="63"/>
      </w:r>
      <w:r w:rsidR="00D15891">
        <w:rPr>
          <w:rFonts w:ascii="Verdana" w:hAnsi="Verdana"/>
        </w:rPr>
        <w:t xml:space="preserve"> The </w:t>
      </w:r>
      <w:r w:rsidR="00D21CAD">
        <w:rPr>
          <w:rFonts w:ascii="Verdana" w:hAnsi="Verdana"/>
        </w:rPr>
        <w:t>Department</w:t>
      </w:r>
      <w:r w:rsidR="00037C0D">
        <w:rPr>
          <w:rFonts w:ascii="Verdana" w:hAnsi="Verdana"/>
        </w:rPr>
        <w:t xml:space="preserve"> projects that proposals</w:t>
      </w:r>
      <w:r w:rsidR="006B2F02">
        <w:rPr>
          <w:rFonts w:ascii="Verdana" w:hAnsi="Verdana"/>
        </w:rPr>
        <w:t xml:space="preserve"> within the</w:t>
      </w:r>
      <w:r w:rsidR="00D21CAD">
        <w:rPr>
          <w:rFonts w:ascii="Verdana" w:hAnsi="Verdana"/>
        </w:rPr>
        <w:t xml:space="preserve"> </w:t>
      </w:r>
      <w:r w:rsidR="00817D8D">
        <w:rPr>
          <w:rFonts w:ascii="Verdana" w:hAnsi="Verdana"/>
        </w:rPr>
        <w:t>G</w:t>
      </w:r>
      <w:r w:rsidR="00D21CAD">
        <w:rPr>
          <w:rFonts w:ascii="Verdana" w:hAnsi="Verdana"/>
        </w:rPr>
        <w:t xml:space="preserve">reen </w:t>
      </w:r>
      <w:r w:rsidR="00817D8D">
        <w:rPr>
          <w:rFonts w:ascii="Verdana" w:hAnsi="Verdana"/>
        </w:rPr>
        <w:t>P</w:t>
      </w:r>
      <w:r w:rsidR="00D21CAD">
        <w:rPr>
          <w:rFonts w:ascii="Verdana" w:hAnsi="Verdana"/>
        </w:rPr>
        <w:t xml:space="preserve">aper </w:t>
      </w:r>
      <w:r w:rsidR="00037C0D">
        <w:rPr>
          <w:rFonts w:ascii="Verdana" w:hAnsi="Verdana"/>
        </w:rPr>
        <w:t xml:space="preserve">will </w:t>
      </w:r>
      <w:r w:rsidR="001D1014">
        <w:rPr>
          <w:rFonts w:ascii="Verdana" w:hAnsi="Verdana"/>
        </w:rPr>
        <w:t>make welfare savings of £4.5 billion from disability related benefits</w:t>
      </w:r>
      <w:r w:rsidR="00D21CAD">
        <w:rPr>
          <w:rFonts w:ascii="Verdana" w:hAnsi="Verdana"/>
        </w:rPr>
        <w:t>.</w:t>
      </w:r>
      <w:r w:rsidR="001D1014">
        <w:rPr>
          <w:rStyle w:val="FootnoteReference"/>
          <w:rFonts w:ascii="Verdana" w:hAnsi="Verdana"/>
        </w:rPr>
        <w:footnoteReference w:id="64"/>
      </w:r>
      <w:r w:rsidR="00524E9C">
        <w:rPr>
          <w:rFonts w:ascii="Verdana" w:hAnsi="Verdana"/>
        </w:rPr>
        <w:t xml:space="preserve"> </w:t>
      </w:r>
      <w:r w:rsidR="0076240F">
        <w:rPr>
          <w:rFonts w:ascii="Verdana" w:hAnsi="Verdana"/>
        </w:rPr>
        <w:t xml:space="preserve">Research indicates that </w:t>
      </w:r>
      <w:r w:rsidR="00A26EA2">
        <w:rPr>
          <w:rFonts w:ascii="Verdana" w:hAnsi="Verdana"/>
        </w:rPr>
        <w:t xml:space="preserve">these changes amount to £7 billion a year of cuts to </w:t>
      </w:r>
      <w:r w:rsidR="00543D90">
        <w:rPr>
          <w:rFonts w:ascii="Verdana" w:hAnsi="Verdana"/>
        </w:rPr>
        <w:t xml:space="preserve">benefits received by sick or disabled people and their </w:t>
      </w:r>
      <w:proofErr w:type="spellStart"/>
      <w:r w:rsidR="00543D90">
        <w:rPr>
          <w:rFonts w:ascii="Verdana" w:hAnsi="Verdana"/>
        </w:rPr>
        <w:t>carers</w:t>
      </w:r>
      <w:proofErr w:type="spellEnd"/>
      <w:r w:rsidR="00543D90">
        <w:rPr>
          <w:rFonts w:ascii="Verdana" w:hAnsi="Verdana"/>
        </w:rPr>
        <w:t>.</w:t>
      </w:r>
      <w:r w:rsidR="00543D90">
        <w:rPr>
          <w:rStyle w:val="FootnoteReference"/>
          <w:rFonts w:ascii="Verdana" w:hAnsi="Verdana"/>
        </w:rPr>
        <w:footnoteReference w:id="65"/>
      </w:r>
    </w:p>
    <w:p w14:paraId="7150E551" w14:textId="77777777" w:rsidR="006638D8" w:rsidRDefault="006638D8" w:rsidP="00A361AB">
      <w:pPr>
        <w:pStyle w:val="ListParagraph"/>
        <w:spacing w:line="360" w:lineRule="auto"/>
        <w:ind w:left="709"/>
        <w:rPr>
          <w:rFonts w:ascii="Verdana" w:hAnsi="Verdana"/>
        </w:rPr>
      </w:pPr>
    </w:p>
    <w:p w14:paraId="4DC326A1" w14:textId="77777777" w:rsidR="006638D8" w:rsidRPr="00C06DB3" w:rsidRDefault="006638D8" w:rsidP="00A361AB">
      <w:pPr>
        <w:pStyle w:val="Heading2"/>
        <w:spacing w:line="360" w:lineRule="auto"/>
      </w:pPr>
      <w:bookmarkStart w:id="8" w:name="_Toc201648659"/>
      <w:r w:rsidRPr="00C06DB3">
        <w:lastRenderedPageBreak/>
        <w:t>UN Convention on the Rights of Persons with Disabilities</w:t>
      </w:r>
      <w:bookmarkEnd w:id="8"/>
    </w:p>
    <w:p w14:paraId="47B960B2" w14:textId="064FA07E" w:rsidR="006638D8" w:rsidRDefault="006638D8" w:rsidP="006464FC">
      <w:pPr>
        <w:pStyle w:val="ListParagraph"/>
        <w:numPr>
          <w:ilvl w:val="1"/>
          <w:numId w:val="28"/>
        </w:numPr>
        <w:spacing w:line="360" w:lineRule="auto"/>
        <w:ind w:left="709"/>
        <w:rPr>
          <w:rFonts w:ascii="Verdana" w:hAnsi="Verdana"/>
        </w:rPr>
      </w:pPr>
      <w:r>
        <w:rPr>
          <w:rFonts w:ascii="Verdana" w:hAnsi="Verdana"/>
        </w:rPr>
        <w:t xml:space="preserve">In addition to the UN ICESCR, the right to social security is protected </w:t>
      </w:r>
      <w:r w:rsidR="00301F07">
        <w:rPr>
          <w:rFonts w:ascii="Verdana" w:hAnsi="Verdana"/>
        </w:rPr>
        <w:t xml:space="preserve">by </w:t>
      </w:r>
      <w:proofErr w:type="gramStart"/>
      <w:r>
        <w:rPr>
          <w:rFonts w:ascii="Verdana" w:hAnsi="Verdana"/>
        </w:rPr>
        <w:t>a number of</w:t>
      </w:r>
      <w:proofErr w:type="gramEnd"/>
      <w:r>
        <w:rPr>
          <w:rFonts w:ascii="Verdana" w:hAnsi="Verdana"/>
        </w:rPr>
        <w:t xml:space="preserve"> international and regional human rights instruments to which the UK Government is party. These instruments set minimum standards in relation to social security which should be considered when making policy in relation to these matters.</w:t>
      </w:r>
    </w:p>
    <w:p w14:paraId="4C576DDB" w14:textId="77777777" w:rsidR="006638D8" w:rsidRDefault="006638D8" w:rsidP="00A361AB">
      <w:pPr>
        <w:pStyle w:val="ListParagraph"/>
        <w:spacing w:line="360" w:lineRule="auto"/>
        <w:ind w:left="709"/>
        <w:rPr>
          <w:rFonts w:ascii="Verdana" w:hAnsi="Verdana"/>
        </w:rPr>
      </w:pPr>
    </w:p>
    <w:p w14:paraId="52ADDF54" w14:textId="477A500F" w:rsidR="006638D8" w:rsidRDefault="006638D8" w:rsidP="006464FC">
      <w:pPr>
        <w:pStyle w:val="ListParagraph"/>
        <w:numPr>
          <w:ilvl w:val="1"/>
          <w:numId w:val="28"/>
        </w:numPr>
        <w:spacing w:line="360" w:lineRule="auto"/>
        <w:ind w:left="709"/>
        <w:rPr>
          <w:rFonts w:ascii="Verdana" w:hAnsi="Verdana"/>
        </w:rPr>
      </w:pPr>
      <w:r>
        <w:rPr>
          <w:rFonts w:ascii="Verdana" w:hAnsi="Verdana"/>
        </w:rPr>
        <w:t>Article 19 of the UN CRPD protects the right of disabled people to live independently and be included in the community. Article 19 further identifies that this right requires disabled people to have access to “</w:t>
      </w:r>
      <w:r w:rsidRPr="002F5E64">
        <w:rPr>
          <w:rFonts w:ascii="Verdana" w:hAnsi="Verdana"/>
        </w:rPr>
        <w:t>a range of in-home, residential and other community support services, including personal assistance necessary to support living and inclusion in the community, and to prevent isolation or segregation from the community</w:t>
      </w:r>
      <w:r>
        <w:rPr>
          <w:rFonts w:ascii="Verdana" w:hAnsi="Verdana"/>
        </w:rPr>
        <w:t>”. The UN CRPD Committee has observed that independent living requires disabled people to have choice and control over their lives.</w:t>
      </w:r>
      <w:r>
        <w:rPr>
          <w:rStyle w:val="FootnoteReference"/>
          <w:rFonts w:ascii="Verdana" w:hAnsi="Verdana"/>
        </w:rPr>
        <w:footnoteReference w:id="66"/>
      </w:r>
      <w:r>
        <w:rPr>
          <w:rFonts w:ascii="Verdana" w:hAnsi="Verdana"/>
        </w:rPr>
        <w:t xml:space="preserve"> Programmes and entitlements to support living independently must cover disability related costs.</w:t>
      </w:r>
      <w:r>
        <w:rPr>
          <w:rStyle w:val="FootnoteReference"/>
          <w:rFonts w:ascii="Verdana" w:hAnsi="Verdana"/>
        </w:rPr>
        <w:footnoteReference w:id="67"/>
      </w:r>
    </w:p>
    <w:p w14:paraId="735D887B" w14:textId="77777777" w:rsidR="006638D8" w:rsidRDefault="006638D8" w:rsidP="00A361AB">
      <w:pPr>
        <w:pStyle w:val="ListParagraph"/>
        <w:spacing w:line="360" w:lineRule="auto"/>
        <w:ind w:left="709"/>
        <w:rPr>
          <w:rFonts w:ascii="Verdana" w:hAnsi="Verdana"/>
        </w:rPr>
      </w:pPr>
    </w:p>
    <w:p w14:paraId="6649D742" w14:textId="77777777" w:rsidR="006638D8" w:rsidRPr="00F3267A" w:rsidRDefault="006638D8" w:rsidP="006464FC">
      <w:pPr>
        <w:pStyle w:val="ListParagraph"/>
        <w:numPr>
          <w:ilvl w:val="1"/>
          <w:numId w:val="28"/>
        </w:numPr>
        <w:spacing w:line="360" w:lineRule="auto"/>
        <w:ind w:left="709"/>
        <w:rPr>
          <w:rFonts w:ascii="Verdana" w:hAnsi="Verdana"/>
        </w:rPr>
      </w:pPr>
      <w:r w:rsidRPr="00F3267A">
        <w:rPr>
          <w:rFonts w:ascii="Verdana" w:hAnsi="Verdana"/>
        </w:rPr>
        <w:t>Article 28 of the UN CRPD provides for “the right of persons with disabilities to social protection and to the enjoyment of that right without discrimination on the basis of disability”.</w:t>
      </w:r>
      <w:r>
        <w:rPr>
          <w:rFonts w:ascii="Verdana" w:hAnsi="Verdana"/>
        </w:rPr>
        <w:t xml:space="preserve"> </w:t>
      </w:r>
      <w:r w:rsidRPr="00F3267A">
        <w:rPr>
          <w:rFonts w:ascii="Verdana" w:hAnsi="Verdana"/>
        </w:rPr>
        <w:t>The UN CRPD Committee has identified that disabled people are entitled to social protection “to cover loss or lack of earnings due to the inability to obtain or maintain freely chosen employment on an equal basis with others. The social protection system must ensure adequate protection of unemployed workers with disabilities on an equal basis with others.</w:t>
      </w:r>
      <w:r>
        <w:rPr>
          <w:rStyle w:val="FootnoteReference"/>
          <w:rFonts w:ascii="Verdana" w:hAnsi="Verdana"/>
        </w:rPr>
        <w:footnoteReference w:id="68"/>
      </w:r>
    </w:p>
    <w:p w14:paraId="39D3F37E" w14:textId="77777777" w:rsidR="006638D8" w:rsidRPr="00D86613" w:rsidRDefault="006638D8" w:rsidP="00A361AB">
      <w:pPr>
        <w:pStyle w:val="ListParagraph"/>
        <w:spacing w:line="360" w:lineRule="auto"/>
        <w:rPr>
          <w:rFonts w:ascii="Verdana" w:hAnsi="Verdana"/>
        </w:rPr>
      </w:pPr>
    </w:p>
    <w:p w14:paraId="1330ED90" w14:textId="77777777" w:rsidR="006638D8" w:rsidRDefault="006638D8" w:rsidP="006464FC">
      <w:pPr>
        <w:pStyle w:val="ListParagraph"/>
        <w:numPr>
          <w:ilvl w:val="1"/>
          <w:numId w:val="28"/>
        </w:numPr>
        <w:spacing w:line="360" w:lineRule="auto"/>
        <w:ind w:left="709"/>
        <w:rPr>
          <w:rFonts w:ascii="Verdana" w:hAnsi="Verdana"/>
        </w:rPr>
      </w:pPr>
      <w:r>
        <w:rPr>
          <w:rFonts w:ascii="Verdana" w:hAnsi="Verdana"/>
        </w:rPr>
        <w:lastRenderedPageBreak/>
        <w:t>In 2016, the UN CRPD Committee conducted an inquiry into the impact of welfare reforms since 2010 on disabled people in the UK. The UN CRPD Committee observed that cuts to welfare for disabled people, including the personal independence payment “hindered various aspects of the right to live independently and be included in the community”.</w:t>
      </w:r>
      <w:r>
        <w:rPr>
          <w:rStyle w:val="FootnoteReference"/>
          <w:rFonts w:ascii="Verdana" w:hAnsi="Verdana"/>
        </w:rPr>
        <w:footnoteReference w:id="69"/>
      </w:r>
      <w:r>
        <w:rPr>
          <w:rFonts w:ascii="Verdana" w:hAnsi="Verdana"/>
        </w:rPr>
        <w:t xml:space="preserve"> The inquiry also identified that cuts to social security had:</w:t>
      </w:r>
    </w:p>
    <w:p w14:paraId="5716570C" w14:textId="77777777" w:rsidR="006638D8" w:rsidRDefault="006638D8" w:rsidP="00A361AB">
      <w:pPr>
        <w:spacing w:line="360" w:lineRule="auto"/>
        <w:rPr>
          <w:rFonts w:ascii="Verdana" w:hAnsi="Verdana"/>
        </w:rPr>
      </w:pPr>
    </w:p>
    <w:p w14:paraId="0F1647DF" w14:textId="77777777" w:rsidR="006638D8" w:rsidRDefault="006638D8" w:rsidP="00A361AB">
      <w:pPr>
        <w:pStyle w:val="ListParagraph"/>
        <w:spacing w:line="360" w:lineRule="auto"/>
        <w:ind w:left="993"/>
        <w:rPr>
          <w:rFonts w:ascii="Verdana" w:hAnsi="Verdana"/>
        </w:rPr>
      </w:pPr>
      <w:r w:rsidRPr="001A3B12">
        <w:rPr>
          <w:rFonts w:ascii="Verdana" w:hAnsi="Verdana"/>
        </w:rPr>
        <w:t xml:space="preserve">led persons with disabilities to struggle to maintain a minimum level of income, driving many into increased dependency on relatives and increased levels of indebtedness, resulting in an inability to manage the </w:t>
      </w:r>
      <w:proofErr w:type="gramStart"/>
      <w:r w:rsidRPr="001A3B12">
        <w:rPr>
          <w:rFonts w:ascii="Verdana" w:hAnsi="Verdana"/>
        </w:rPr>
        <w:t>bare essentials</w:t>
      </w:r>
      <w:proofErr w:type="gramEnd"/>
      <w:r w:rsidRPr="001A3B12">
        <w:rPr>
          <w:rFonts w:ascii="Verdana" w:hAnsi="Verdana"/>
        </w:rPr>
        <w:t xml:space="preserve"> and having to have recourse to food banks</w:t>
      </w:r>
      <w:r>
        <w:rPr>
          <w:rFonts w:ascii="Verdana" w:hAnsi="Verdana"/>
        </w:rPr>
        <w:t>.</w:t>
      </w:r>
      <w:r>
        <w:rPr>
          <w:rStyle w:val="FootnoteReference"/>
          <w:rFonts w:ascii="Verdana" w:hAnsi="Verdana"/>
        </w:rPr>
        <w:footnoteReference w:id="70"/>
      </w:r>
    </w:p>
    <w:p w14:paraId="64CFE7B0" w14:textId="77777777" w:rsidR="006638D8" w:rsidRPr="00F11538" w:rsidRDefault="006638D8" w:rsidP="00A361AB">
      <w:pPr>
        <w:spacing w:line="360" w:lineRule="auto"/>
        <w:rPr>
          <w:rFonts w:ascii="Verdana" w:hAnsi="Verdana"/>
        </w:rPr>
      </w:pPr>
    </w:p>
    <w:p w14:paraId="1AE568CE" w14:textId="03957B39" w:rsidR="0052559C" w:rsidRDefault="0052559C" w:rsidP="006464FC">
      <w:pPr>
        <w:pStyle w:val="ListParagraph"/>
        <w:numPr>
          <w:ilvl w:val="1"/>
          <w:numId w:val="28"/>
        </w:numPr>
        <w:spacing w:line="360" w:lineRule="auto"/>
        <w:ind w:left="709"/>
        <w:rPr>
          <w:rFonts w:ascii="Verdana" w:hAnsi="Verdana"/>
        </w:rPr>
      </w:pPr>
      <w:r>
        <w:rPr>
          <w:rFonts w:ascii="Verdana" w:hAnsi="Verdana"/>
        </w:rPr>
        <w:t xml:space="preserve">The UN CRPD Committee’s 2016 </w:t>
      </w:r>
      <w:r w:rsidR="00301F07">
        <w:rPr>
          <w:rFonts w:ascii="Verdana" w:hAnsi="Verdana"/>
        </w:rPr>
        <w:t>I</w:t>
      </w:r>
      <w:r>
        <w:rPr>
          <w:rFonts w:ascii="Verdana" w:hAnsi="Verdana"/>
        </w:rPr>
        <w:t>nquiry on the UK found systemic violations of the UN CRPD</w:t>
      </w:r>
      <w:r w:rsidR="00282B8E">
        <w:rPr>
          <w:rFonts w:ascii="Verdana" w:hAnsi="Verdana"/>
        </w:rPr>
        <w:t xml:space="preserve"> </w:t>
      </w:r>
      <w:r w:rsidR="004B3540">
        <w:rPr>
          <w:rFonts w:ascii="Verdana" w:hAnsi="Verdana"/>
        </w:rPr>
        <w:t xml:space="preserve">based </w:t>
      </w:r>
      <w:r w:rsidR="00C94149">
        <w:rPr>
          <w:rFonts w:ascii="Verdana" w:hAnsi="Verdana"/>
        </w:rPr>
        <w:t>on evidence showing that the State “expressly foresaw” the</w:t>
      </w:r>
      <w:r w:rsidR="003E7548">
        <w:rPr>
          <w:rFonts w:ascii="Verdana" w:hAnsi="Verdana"/>
        </w:rPr>
        <w:t xml:space="preserve"> adverse effects of the measures on persons with disabilities, the disproportionate effect of these measures on persons </w:t>
      </w:r>
      <w:r w:rsidR="00420C59">
        <w:rPr>
          <w:rFonts w:ascii="Verdana" w:hAnsi="Verdana"/>
        </w:rPr>
        <w:t xml:space="preserve">with disabilities </w:t>
      </w:r>
      <w:r w:rsidR="001F44B3">
        <w:rPr>
          <w:rFonts w:ascii="Verdana" w:hAnsi="Verdana"/>
        </w:rPr>
        <w:t>and the reduction in support rolling back access to reasonable adjustments and independent living for persons with disabilities.</w:t>
      </w:r>
      <w:r w:rsidR="00FE0B8A">
        <w:rPr>
          <w:rStyle w:val="FootnoteReference"/>
          <w:rFonts w:ascii="Verdana" w:hAnsi="Verdana"/>
        </w:rPr>
        <w:footnoteReference w:id="71"/>
      </w:r>
    </w:p>
    <w:p w14:paraId="03E17164" w14:textId="77777777" w:rsidR="00400CBD" w:rsidRDefault="00400CBD" w:rsidP="00A361AB">
      <w:pPr>
        <w:pStyle w:val="ListParagraph"/>
        <w:spacing w:line="360" w:lineRule="auto"/>
        <w:ind w:left="709"/>
        <w:rPr>
          <w:rFonts w:ascii="Verdana" w:hAnsi="Verdana"/>
        </w:rPr>
      </w:pPr>
    </w:p>
    <w:p w14:paraId="6B8EA93A" w14:textId="7C5B5FEB" w:rsidR="00400CBD" w:rsidRDefault="00400CBD" w:rsidP="006464FC">
      <w:pPr>
        <w:pStyle w:val="ListParagraph"/>
        <w:numPr>
          <w:ilvl w:val="1"/>
          <w:numId w:val="28"/>
        </w:numPr>
        <w:spacing w:line="360" w:lineRule="auto"/>
        <w:ind w:left="709"/>
        <w:rPr>
          <w:rFonts w:ascii="Verdana" w:hAnsi="Verdana"/>
        </w:rPr>
      </w:pPr>
      <w:r>
        <w:rPr>
          <w:rFonts w:ascii="Verdana" w:hAnsi="Verdana"/>
        </w:rPr>
        <w:t xml:space="preserve">The UN CRPD Committee’s </w:t>
      </w:r>
      <w:r w:rsidR="00301F07">
        <w:rPr>
          <w:rFonts w:ascii="Verdana" w:hAnsi="Verdana"/>
        </w:rPr>
        <w:t>I</w:t>
      </w:r>
      <w:r>
        <w:rPr>
          <w:rFonts w:ascii="Verdana" w:hAnsi="Verdana"/>
        </w:rPr>
        <w:t xml:space="preserve">nquiry set out a range </w:t>
      </w:r>
      <w:r w:rsidR="00655F21">
        <w:rPr>
          <w:rFonts w:ascii="Verdana" w:hAnsi="Verdana"/>
        </w:rPr>
        <w:t>of recommendations</w:t>
      </w:r>
      <w:r w:rsidR="00597558">
        <w:rPr>
          <w:rFonts w:ascii="Verdana" w:hAnsi="Verdana"/>
        </w:rPr>
        <w:t xml:space="preserve"> </w:t>
      </w:r>
      <w:r w:rsidR="00753262">
        <w:rPr>
          <w:rFonts w:ascii="Verdana" w:hAnsi="Verdana"/>
        </w:rPr>
        <w:t>aimed at improving compliance with the UN CRPD and redressing the disproportionate effect of welfare reforms on persons with disabilities.</w:t>
      </w:r>
      <w:r w:rsidR="00C94727">
        <w:rPr>
          <w:rStyle w:val="FootnoteReference"/>
          <w:rFonts w:ascii="Verdana" w:hAnsi="Verdana"/>
        </w:rPr>
        <w:footnoteReference w:id="72"/>
      </w:r>
      <w:r w:rsidR="00C94727">
        <w:rPr>
          <w:rFonts w:ascii="Verdana" w:hAnsi="Verdana"/>
        </w:rPr>
        <w:t xml:space="preserve"> The UN CRPD Committee also recommended that the UK Government:</w:t>
      </w:r>
    </w:p>
    <w:p w14:paraId="2818050F" w14:textId="77777777" w:rsidR="00C94727" w:rsidRPr="00C94727" w:rsidRDefault="00C94727" w:rsidP="00A361AB">
      <w:pPr>
        <w:pStyle w:val="ListParagraph"/>
        <w:spacing w:line="360" w:lineRule="auto"/>
        <w:rPr>
          <w:rFonts w:ascii="Verdana" w:hAnsi="Verdana"/>
        </w:rPr>
      </w:pPr>
    </w:p>
    <w:p w14:paraId="603D3B47" w14:textId="15CDBBB4" w:rsidR="00C94727" w:rsidRDefault="00312399" w:rsidP="00A361AB">
      <w:pPr>
        <w:pStyle w:val="ListParagraph"/>
        <w:spacing w:line="360" w:lineRule="auto"/>
        <w:ind w:left="993"/>
        <w:rPr>
          <w:rFonts w:ascii="Verdana" w:hAnsi="Verdana"/>
        </w:rPr>
      </w:pPr>
      <w:r>
        <w:rPr>
          <w:rFonts w:ascii="Verdana" w:hAnsi="Verdana"/>
        </w:rPr>
        <w:t>e</w:t>
      </w:r>
      <w:r w:rsidR="00C94727" w:rsidRPr="00C94727">
        <w:rPr>
          <w:rFonts w:ascii="Verdana" w:hAnsi="Verdana"/>
        </w:rPr>
        <w:t xml:space="preserve">nsure that any intended legislation and/or policy measure respects the core elements of the rights analysed in the present report, that persons with disabilities retain their autonomy, choice and control over their place of residence and with whom they live, that they receive </w:t>
      </w:r>
      <w:r w:rsidR="00C94727" w:rsidRPr="00C94727">
        <w:rPr>
          <w:rFonts w:ascii="Verdana" w:hAnsi="Verdana"/>
        </w:rPr>
        <w:lastRenderedPageBreak/>
        <w:t>appropriate and individuali</w:t>
      </w:r>
      <w:r w:rsidR="00A135FB">
        <w:rPr>
          <w:rFonts w:ascii="Verdana" w:hAnsi="Verdana"/>
        </w:rPr>
        <w:t>s</w:t>
      </w:r>
      <w:r w:rsidR="00C94727" w:rsidRPr="00C94727">
        <w:rPr>
          <w:rFonts w:ascii="Verdana" w:hAnsi="Verdana"/>
        </w:rPr>
        <w:t>ed support, including through personal assistance, and have access to community-based services on an equal basis with others, that they have access to security social schemes that ensure income protection, including in relation to the extra cost of disability, compatible with an adequate standard of living and ensure their full inclusion and participation in society, and that they have access to and are supported in gaining employment in the open labour market on an equal basis with others</w:t>
      </w:r>
      <w:r w:rsidR="00C94727">
        <w:rPr>
          <w:rFonts w:ascii="Verdana" w:hAnsi="Verdana"/>
        </w:rPr>
        <w:t>.</w:t>
      </w:r>
      <w:r w:rsidR="00C94727">
        <w:rPr>
          <w:rStyle w:val="FootnoteReference"/>
          <w:rFonts w:ascii="Verdana" w:hAnsi="Verdana"/>
        </w:rPr>
        <w:footnoteReference w:id="73"/>
      </w:r>
    </w:p>
    <w:p w14:paraId="36A60EB7" w14:textId="77777777" w:rsidR="001F44B3" w:rsidRDefault="001F44B3" w:rsidP="00A361AB">
      <w:pPr>
        <w:pStyle w:val="ListParagraph"/>
        <w:spacing w:line="360" w:lineRule="auto"/>
        <w:ind w:left="709"/>
        <w:rPr>
          <w:rFonts w:ascii="Verdana" w:hAnsi="Verdana"/>
        </w:rPr>
      </w:pPr>
    </w:p>
    <w:p w14:paraId="6362DD8F" w14:textId="06DC320A" w:rsidR="00A135FB" w:rsidRDefault="00A135FB" w:rsidP="006464FC">
      <w:pPr>
        <w:pStyle w:val="ListParagraph"/>
        <w:numPr>
          <w:ilvl w:val="1"/>
          <w:numId w:val="28"/>
        </w:numPr>
        <w:spacing w:line="360" w:lineRule="auto"/>
        <w:ind w:left="709"/>
        <w:rPr>
          <w:rFonts w:ascii="Verdana" w:hAnsi="Verdana"/>
        </w:rPr>
      </w:pPr>
      <w:r>
        <w:rPr>
          <w:rFonts w:ascii="Verdana" w:hAnsi="Verdana"/>
        </w:rPr>
        <w:t>The UN CRPD Committee followed up in 2024, finding that “</w:t>
      </w:r>
      <w:r w:rsidR="000F3A17">
        <w:rPr>
          <w:rFonts w:ascii="Verdana" w:hAnsi="Verdana"/>
        </w:rPr>
        <w:t xml:space="preserve">no significant progress has been made </w:t>
      </w:r>
      <w:r w:rsidR="008E6A11" w:rsidRPr="008E6A11">
        <w:rPr>
          <w:rFonts w:ascii="Verdana" w:hAnsi="Verdana"/>
        </w:rPr>
        <w:t>in the State party concerning the situation of persons with disabilities addressed in the inquiry proceedings</w:t>
      </w:r>
      <w:r w:rsidR="008E6A11">
        <w:rPr>
          <w:rFonts w:ascii="Verdana" w:hAnsi="Verdana"/>
        </w:rPr>
        <w:t>”.</w:t>
      </w:r>
      <w:r w:rsidR="008E6A11">
        <w:rPr>
          <w:rStyle w:val="FootnoteReference"/>
          <w:rFonts w:ascii="Verdana" w:hAnsi="Verdana"/>
        </w:rPr>
        <w:footnoteReference w:id="74"/>
      </w:r>
      <w:r w:rsidR="00BE4B3F">
        <w:rPr>
          <w:rFonts w:ascii="Verdana" w:hAnsi="Verdana"/>
        </w:rPr>
        <w:t xml:space="preserve"> The UN CRPD Committee made additional recommendations to the State Party, including to:</w:t>
      </w:r>
    </w:p>
    <w:p w14:paraId="6AC479AC" w14:textId="77777777" w:rsidR="00F80169" w:rsidRDefault="00F80169" w:rsidP="00A361AB">
      <w:pPr>
        <w:pStyle w:val="ListParagraph"/>
        <w:spacing w:line="360" w:lineRule="auto"/>
        <w:ind w:left="709"/>
        <w:rPr>
          <w:rFonts w:ascii="Verdana" w:hAnsi="Verdana"/>
        </w:rPr>
      </w:pPr>
    </w:p>
    <w:p w14:paraId="3F9B32CA" w14:textId="0B99BC21" w:rsidR="00BE4B3F" w:rsidRPr="004F6810" w:rsidRDefault="004F6810" w:rsidP="00A361AB">
      <w:pPr>
        <w:pStyle w:val="ListParagraph"/>
        <w:spacing w:line="360" w:lineRule="auto"/>
        <w:ind w:left="993"/>
        <w:rPr>
          <w:rFonts w:ascii="Verdana" w:hAnsi="Verdana"/>
        </w:rPr>
      </w:pPr>
      <w:r>
        <w:rPr>
          <w:rFonts w:ascii="Verdana" w:hAnsi="Verdana"/>
        </w:rPr>
        <w:t>t</w:t>
      </w:r>
      <w:r w:rsidRPr="004F6810">
        <w:rPr>
          <w:rFonts w:ascii="Verdana" w:hAnsi="Verdana"/>
        </w:rPr>
        <w:t>ake comprehensive measures to ensure that persons with disabilities are adequately supported through social security payments, benefits and allowances, including by conducting thorough assessments based on the human rights model of disability, and by reviewing the current Universal Credit system, to ascertain the additional costs of living with disabilities and adjusting benefit amounts accordingly to reflect these costs</w:t>
      </w:r>
      <w:r>
        <w:rPr>
          <w:rFonts w:ascii="Verdana" w:hAnsi="Verdana"/>
        </w:rPr>
        <w:t>.</w:t>
      </w:r>
      <w:r>
        <w:rPr>
          <w:rStyle w:val="FootnoteReference"/>
          <w:rFonts w:ascii="Verdana" w:hAnsi="Verdana"/>
        </w:rPr>
        <w:footnoteReference w:id="75"/>
      </w:r>
    </w:p>
    <w:p w14:paraId="67525C4C" w14:textId="77777777" w:rsidR="008E6A11" w:rsidRDefault="008E6A11" w:rsidP="00A361AB">
      <w:pPr>
        <w:pStyle w:val="ListParagraph"/>
        <w:spacing w:line="360" w:lineRule="auto"/>
        <w:ind w:left="709"/>
        <w:rPr>
          <w:rFonts w:ascii="Verdana" w:hAnsi="Verdana"/>
        </w:rPr>
      </w:pPr>
    </w:p>
    <w:p w14:paraId="16F83530" w14:textId="10A6A05E" w:rsidR="006638D8" w:rsidRDefault="006638D8" w:rsidP="006464FC">
      <w:pPr>
        <w:pStyle w:val="ListParagraph"/>
        <w:numPr>
          <w:ilvl w:val="1"/>
          <w:numId w:val="28"/>
        </w:numPr>
        <w:spacing w:line="360" w:lineRule="auto"/>
        <w:ind w:left="709"/>
        <w:rPr>
          <w:rFonts w:ascii="Verdana" w:hAnsi="Verdana"/>
        </w:rPr>
      </w:pPr>
      <w:r>
        <w:rPr>
          <w:rFonts w:ascii="Verdana" w:hAnsi="Verdana"/>
        </w:rPr>
        <w:t xml:space="preserve">The NIHRC notes that the personal independence payment is not an out of work benefit, it is a payment that allows disabled people to live independently and be included in the community. Cuts to this payment will make disabled people more reliant on family and the State for care, which is not compatible with article 19 of the UN CRPD. The UN CRPD Committee </w:t>
      </w:r>
      <w:r>
        <w:rPr>
          <w:rFonts w:ascii="Verdana" w:hAnsi="Verdana"/>
        </w:rPr>
        <w:lastRenderedPageBreak/>
        <w:t xml:space="preserve">has also observed that the “cost of social exclusion is high as it </w:t>
      </w:r>
      <w:r w:rsidRPr="007201F4">
        <w:rPr>
          <w:rFonts w:ascii="Verdana" w:hAnsi="Verdana"/>
        </w:rPr>
        <w:t>perpetuates dependency</w:t>
      </w:r>
      <w:r>
        <w:rPr>
          <w:rFonts w:ascii="Verdana" w:hAnsi="Verdana"/>
        </w:rPr>
        <w:t>”.</w:t>
      </w:r>
      <w:r>
        <w:rPr>
          <w:rStyle w:val="FootnoteReference"/>
          <w:rFonts w:ascii="Verdana" w:hAnsi="Verdana"/>
        </w:rPr>
        <w:footnoteReference w:id="76"/>
      </w:r>
    </w:p>
    <w:p w14:paraId="0ECAA7D9" w14:textId="77777777" w:rsidR="006638D8" w:rsidRDefault="006638D8" w:rsidP="00A361AB">
      <w:pPr>
        <w:spacing w:line="360" w:lineRule="auto"/>
        <w:ind w:left="-11"/>
        <w:rPr>
          <w:rFonts w:ascii="Verdana" w:hAnsi="Verdana"/>
        </w:rPr>
      </w:pPr>
    </w:p>
    <w:p w14:paraId="0F95D779" w14:textId="77777777" w:rsidR="006638D8" w:rsidRPr="00C06DB3" w:rsidRDefault="006638D8" w:rsidP="00A361AB">
      <w:pPr>
        <w:pStyle w:val="Heading2"/>
        <w:spacing w:line="360" w:lineRule="auto"/>
      </w:pPr>
      <w:bookmarkStart w:id="9" w:name="_Toc201648660"/>
      <w:r w:rsidRPr="00C06DB3">
        <w:t>UN Convention on the Rights of the Child</w:t>
      </w:r>
      <w:bookmarkEnd w:id="9"/>
    </w:p>
    <w:p w14:paraId="0277F3CF" w14:textId="77777777" w:rsidR="006638D8" w:rsidRDefault="006638D8" w:rsidP="006464FC">
      <w:pPr>
        <w:pStyle w:val="ListParagraph"/>
        <w:numPr>
          <w:ilvl w:val="1"/>
          <w:numId w:val="28"/>
        </w:numPr>
        <w:spacing w:line="360" w:lineRule="auto"/>
        <w:ind w:left="709"/>
        <w:rPr>
          <w:rFonts w:ascii="Verdana" w:hAnsi="Verdana"/>
        </w:rPr>
      </w:pPr>
      <w:r>
        <w:rPr>
          <w:rFonts w:ascii="Verdana" w:hAnsi="Verdana"/>
        </w:rPr>
        <w:t>Article 26(1) on the UN Convention on the Rights of the Child (UN CRC) requires states to recognise for every child “the right to benefit from social security, including social insurance”. Article 26(2) identifies that benefits should be granted “</w:t>
      </w:r>
      <w:r w:rsidRPr="00267F68">
        <w:rPr>
          <w:rFonts w:ascii="Verdana" w:hAnsi="Verdana"/>
        </w:rPr>
        <w:t>taking into account the resources and the circumstances of the child and persons having responsibility for the maintenance of the child, as well as any other consideration relevant to an application for benefits made by or on behalf of the child</w:t>
      </w:r>
      <w:r>
        <w:rPr>
          <w:rFonts w:ascii="Verdana" w:hAnsi="Verdana"/>
        </w:rPr>
        <w:t>”.</w:t>
      </w:r>
    </w:p>
    <w:p w14:paraId="4ED0FE2D" w14:textId="77777777" w:rsidR="006638D8" w:rsidRDefault="006638D8" w:rsidP="00A361AB">
      <w:pPr>
        <w:pStyle w:val="ListParagraph"/>
        <w:spacing w:line="360" w:lineRule="auto"/>
        <w:ind w:left="709"/>
        <w:rPr>
          <w:rFonts w:ascii="Verdana" w:hAnsi="Verdana"/>
        </w:rPr>
      </w:pPr>
    </w:p>
    <w:p w14:paraId="42B3E41C" w14:textId="265E3828" w:rsidR="006638D8" w:rsidRDefault="006638D8" w:rsidP="006464FC">
      <w:pPr>
        <w:pStyle w:val="ListParagraph"/>
        <w:numPr>
          <w:ilvl w:val="1"/>
          <w:numId w:val="28"/>
        </w:numPr>
        <w:spacing w:line="360" w:lineRule="auto"/>
        <w:ind w:left="709"/>
        <w:rPr>
          <w:rFonts w:ascii="Verdana" w:hAnsi="Verdana"/>
        </w:rPr>
      </w:pPr>
      <w:r>
        <w:rPr>
          <w:rFonts w:ascii="Verdana" w:hAnsi="Verdana"/>
        </w:rPr>
        <w:t xml:space="preserve">The UN CRC Committee has identified concern </w:t>
      </w:r>
      <w:r w:rsidR="00301F07">
        <w:rPr>
          <w:rFonts w:ascii="Verdana" w:hAnsi="Verdana"/>
        </w:rPr>
        <w:t xml:space="preserve">at </w:t>
      </w:r>
      <w:r>
        <w:rPr>
          <w:rFonts w:ascii="Verdana" w:hAnsi="Verdana"/>
        </w:rPr>
        <w:t xml:space="preserve">the large number of children living in poverty and food insecurity in the UK and recommended that the UK Government strengthens policies to end child poverty and increase social benefits in line with </w:t>
      </w:r>
      <w:proofErr w:type="gramStart"/>
      <w:r>
        <w:rPr>
          <w:rFonts w:ascii="Verdana" w:hAnsi="Verdana"/>
        </w:rPr>
        <w:t>cost of living</w:t>
      </w:r>
      <w:proofErr w:type="gramEnd"/>
      <w:r>
        <w:rPr>
          <w:rFonts w:ascii="Verdana" w:hAnsi="Verdana"/>
        </w:rPr>
        <w:t xml:space="preserve"> increases.</w:t>
      </w:r>
      <w:r>
        <w:rPr>
          <w:rStyle w:val="FootnoteReference"/>
          <w:rFonts w:ascii="Verdana" w:hAnsi="Verdana"/>
        </w:rPr>
        <w:footnoteReference w:id="77"/>
      </w:r>
    </w:p>
    <w:p w14:paraId="0A42D5E6" w14:textId="77777777" w:rsidR="006638D8" w:rsidRDefault="006638D8" w:rsidP="00A361AB">
      <w:pPr>
        <w:spacing w:line="360" w:lineRule="auto"/>
        <w:ind w:left="-11"/>
        <w:rPr>
          <w:rFonts w:ascii="Verdana" w:hAnsi="Verdana"/>
        </w:rPr>
      </w:pPr>
    </w:p>
    <w:p w14:paraId="41149639" w14:textId="77777777" w:rsidR="006638D8" w:rsidRPr="00C06DB3" w:rsidRDefault="006638D8" w:rsidP="00A361AB">
      <w:pPr>
        <w:pStyle w:val="Heading2"/>
        <w:spacing w:line="360" w:lineRule="auto"/>
      </w:pPr>
      <w:bookmarkStart w:id="10" w:name="_Toc201648661"/>
      <w:r w:rsidRPr="00C06DB3">
        <w:t>UN Convention on the Elimination of Discrimination Against Women</w:t>
      </w:r>
      <w:bookmarkEnd w:id="10"/>
    </w:p>
    <w:p w14:paraId="4DD3CEFD" w14:textId="77777777" w:rsidR="006638D8" w:rsidRDefault="006638D8" w:rsidP="006464FC">
      <w:pPr>
        <w:pStyle w:val="ListParagraph"/>
        <w:numPr>
          <w:ilvl w:val="1"/>
          <w:numId w:val="28"/>
        </w:numPr>
        <w:spacing w:line="360" w:lineRule="auto"/>
        <w:ind w:left="709"/>
        <w:rPr>
          <w:rFonts w:ascii="Verdana" w:hAnsi="Verdana"/>
        </w:rPr>
      </w:pPr>
      <w:r>
        <w:rPr>
          <w:rFonts w:ascii="Verdana" w:hAnsi="Verdana"/>
        </w:rPr>
        <w:t>Article 11(e) of the UN Convention on the Elimination of Discrimination Against Women (UN CEDAW) requires that States take all appropriate measures to ensure, “on the basis of equality between men and women, the right to social security, particularly in cases of … sickness”.</w:t>
      </w:r>
    </w:p>
    <w:p w14:paraId="51B8A849" w14:textId="77777777" w:rsidR="006638D8" w:rsidRDefault="006638D8" w:rsidP="00A361AB">
      <w:pPr>
        <w:pStyle w:val="ListParagraph"/>
        <w:spacing w:line="360" w:lineRule="auto"/>
        <w:ind w:left="709"/>
        <w:rPr>
          <w:rFonts w:ascii="Verdana" w:hAnsi="Verdana"/>
        </w:rPr>
      </w:pPr>
    </w:p>
    <w:p w14:paraId="341CD355" w14:textId="77777777" w:rsidR="006638D8" w:rsidRDefault="006638D8" w:rsidP="006464FC">
      <w:pPr>
        <w:pStyle w:val="ListParagraph"/>
        <w:numPr>
          <w:ilvl w:val="1"/>
          <w:numId w:val="28"/>
        </w:numPr>
        <w:spacing w:line="360" w:lineRule="auto"/>
        <w:ind w:left="709"/>
        <w:rPr>
          <w:rFonts w:ascii="Verdana" w:hAnsi="Verdana"/>
        </w:rPr>
      </w:pPr>
      <w:r>
        <w:rPr>
          <w:rFonts w:ascii="Verdana" w:hAnsi="Verdana"/>
        </w:rPr>
        <w:t>The UN CEDAW Committee has identified that States should provide information in their monitoring reports on measures taken to deal with disabled women’s particular situation, including on measures taken to ensure their equal access to … social security.</w:t>
      </w:r>
      <w:r>
        <w:rPr>
          <w:rStyle w:val="FootnoteReference"/>
          <w:rFonts w:ascii="Verdana" w:hAnsi="Verdana"/>
        </w:rPr>
        <w:footnoteReference w:id="78"/>
      </w:r>
    </w:p>
    <w:p w14:paraId="50E44369" w14:textId="77777777" w:rsidR="006638D8" w:rsidRDefault="006638D8" w:rsidP="00A361AB">
      <w:pPr>
        <w:spacing w:line="360" w:lineRule="auto"/>
        <w:rPr>
          <w:rFonts w:ascii="Verdana" w:hAnsi="Verdana"/>
        </w:rPr>
      </w:pPr>
    </w:p>
    <w:p w14:paraId="5FFB03AF" w14:textId="77777777" w:rsidR="006638D8" w:rsidRPr="00C06DB3" w:rsidRDefault="006638D8" w:rsidP="00A361AB">
      <w:pPr>
        <w:pStyle w:val="Heading2"/>
        <w:spacing w:line="360" w:lineRule="auto"/>
      </w:pPr>
      <w:bookmarkStart w:id="11" w:name="_Toc201648662"/>
      <w:r w:rsidRPr="00C06DB3">
        <w:lastRenderedPageBreak/>
        <w:t>UN Convention on the Elimination of Racial Discrimination</w:t>
      </w:r>
      <w:bookmarkEnd w:id="11"/>
    </w:p>
    <w:p w14:paraId="3BC94A09" w14:textId="77777777" w:rsidR="006638D8" w:rsidRDefault="006638D8" w:rsidP="006464FC">
      <w:pPr>
        <w:pStyle w:val="ListParagraph"/>
        <w:numPr>
          <w:ilvl w:val="1"/>
          <w:numId w:val="28"/>
        </w:numPr>
        <w:spacing w:line="360" w:lineRule="auto"/>
        <w:ind w:left="709"/>
        <w:rPr>
          <w:rFonts w:ascii="Verdana" w:hAnsi="Verdana"/>
        </w:rPr>
      </w:pPr>
      <w:r>
        <w:rPr>
          <w:rFonts w:ascii="Verdana" w:hAnsi="Verdana"/>
        </w:rPr>
        <w:t>Article 5(e)(iv) of the UN Convention on the Elimination of Racial Discrimination (UN CERD) guarantees the right to everyone, without discrimination based on race, colour or national or ethnic origin, to public health, medical care, social security and social services.</w:t>
      </w:r>
    </w:p>
    <w:p w14:paraId="3429FF9B" w14:textId="77777777" w:rsidR="006638D8" w:rsidRDefault="006638D8" w:rsidP="00A361AB">
      <w:pPr>
        <w:spacing w:line="360" w:lineRule="auto"/>
        <w:ind w:left="-11"/>
        <w:rPr>
          <w:rFonts w:ascii="Verdana" w:hAnsi="Verdana"/>
        </w:rPr>
      </w:pPr>
    </w:p>
    <w:p w14:paraId="4B569DAF" w14:textId="77777777" w:rsidR="006638D8" w:rsidRPr="00C06DB3" w:rsidRDefault="006638D8" w:rsidP="00A361AB">
      <w:pPr>
        <w:pStyle w:val="Heading2"/>
        <w:spacing w:line="360" w:lineRule="auto"/>
      </w:pPr>
      <w:bookmarkStart w:id="12" w:name="_Toc201648663"/>
      <w:r w:rsidRPr="00C06DB3">
        <w:t>European Convention on Human Rights</w:t>
      </w:r>
      <w:bookmarkEnd w:id="12"/>
      <w:r w:rsidRPr="00C06DB3">
        <w:t xml:space="preserve"> </w:t>
      </w:r>
    </w:p>
    <w:p w14:paraId="54EC2242" w14:textId="4B891605" w:rsidR="006638D8" w:rsidRDefault="006638D8" w:rsidP="006464FC">
      <w:pPr>
        <w:pStyle w:val="ListParagraph"/>
        <w:numPr>
          <w:ilvl w:val="1"/>
          <w:numId w:val="28"/>
        </w:numPr>
        <w:spacing w:line="360" w:lineRule="auto"/>
        <w:ind w:left="709"/>
        <w:rPr>
          <w:rFonts w:ascii="Verdana" w:hAnsi="Verdana"/>
        </w:rPr>
      </w:pPr>
      <w:r w:rsidRPr="407E9047">
        <w:rPr>
          <w:rFonts w:ascii="Verdana" w:hAnsi="Verdana"/>
        </w:rPr>
        <w:t xml:space="preserve">While there is no explicit right to </w:t>
      </w:r>
      <w:r w:rsidR="00301F07">
        <w:rPr>
          <w:rFonts w:ascii="Verdana" w:hAnsi="Verdana"/>
        </w:rPr>
        <w:t xml:space="preserve">receive </w:t>
      </w:r>
      <w:r w:rsidRPr="407E9047">
        <w:rPr>
          <w:rFonts w:ascii="Verdana" w:hAnsi="Verdana"/>
        </w:rPr>
        <w:t xml:space="preserve">social security </w:t>
      </w:r>
      <w:r w:rsidR="00301F07">
        <w:rPr>
          <w:rFonts w:ascii="Verdana" w:hAnsi="Verdana"/>
        </w:rPr>
        <w:t>contained in</w:t>
      </w:r>
      <w:r w:rsidR="00301F07" w:rsidRPr="407E9047">
        <w:rPr>
          <w:rFonts w:ascii="Verdana" w:hAnsi="Verdana"/>
        </w:rPr>
        <w:t xml:space="preserve"> </w:t>
      </w:r>
      <w:r w:rsidRPr="407E9047">
        <w:rPr>
          <w:rFonts w:ascii="Verdana" w:hAnsi="Verdana"/>
        </w:rPr>
        <w:t xml:space="preserve">the European Convention on Human Rights (ECHR), the European Court of Human Rights (ECtHR) </w:t>
      </w:r>
      <w:r w:rsidR="00A74CAC" w:rsidRPr="407E9047">
        <w:rPr>
          <w:rFonts w:ascii="Verdana" w:hAnsi="Verdana"/>
        </w:rPr>
        <w:t xml:space="preserve">has </w:t>
      </w:r>
      <w:r w:rsidRPr="407E9047">
        <w:rPr>
          <w:rFonts w:ascii="Verdana" w:hAnsi="Verdana"/>
        </w:rPr>
        <w:t xml:space="preserve">considered social security </w:t>
      </w:r>
      <w:r w:rsidR="00301F07">
        <w:rPr>
          <w:rFonts w:ascii="Verdana" w:hAnsi="Verdana"/>
        </w:rPr>
        <w:t xml:space="preserve">to be relevant </w:t>
      </w:r>
      <w:r w:rsidR="00E14574">
        <w:rPr>
          <w:rFonts w:ascii="Verdana" w:hAnsi="Verdana"/>
        </w:rPr>
        <w:t>to realisation of</w:t>
      </w:r>
      <w:r w:rsidR="00E14574" w:rsidRPr="407E9047">
        <w:rPr>
          <w:rFonts w:ascii="Verdana" w:hAnsi="Verdana"/>
        </w:rPr>
        <w:t xml:space="preserve"> </w:t>
      </w:r>
      <w:r w:rsidRPr="407E9047">
        <w:rPr>
          <w:rFonts w:ascii="Verdana" w:hAnsi="Verdana"/>
        </w:rPr>
        <w:t>Article 8 (respect for private and family life)</w:t>
      </w:r>
      <w:r w:rsidR="00301F07">
        <w:rPr>
          <w:rFonts w:ascii="Verdana" w:hAnsi="Verdana"/>
        </w:rPr>
        <w:t>,</w:t>
      </w:r>
      <w:r w:rsidRPr="407E9047">
        <w:rPr>
          <w:rFonts w:ascii="Verdana" w:hAnsi="Verdana"/>
        </w:rPr>
        <w:t xml:space="preserve"> </w:t>
      </w:r>
      <w:r w:rsidR="00E14574">
        <w:rPr>
          <w:rFonts w:ascii="Verdana" w:hAnsi="Verdana"/>
        </w:rPr>
        <w:t xml:space="preserve">Article </w:t>
      </w:r>
      <w:r w:rsidRPr="407E9047">
        <w:rPr>
          <w:rFonts w:ascii="Verdana" w:hAnsi="Verdana"/>
        </w:rPr>
        <w:t>14 (non-discrimination</w:t>
      </w:r>
      <w:r w:rsidR="00E14574">
        <w:rPr>
          <w:rFonts w:ascii="Verdana" w:hAnsi="Verdana"/>
        </w:rPr>
        <w:t xml:space="preserve"> in the enjoyment of ECHR rights</w:t>
      </w:r>
      <w:r w:rsidRPr="407E9047">
        <w:rPr>
          <w:rFonts w:ascii="Verdana" w:hAnsi="Verdana"/>
        </w:rPr>
        <w:t>), and Article 1 of Protocol 1 (right to property).</w:t>
      </w:r>
    </w:p>
    <w:p w14:paraId="01EB1619" w14:textId="77777777" w:rsidR="006638D8" w:rsidRDefault="006638D8" w:rsidP="00A361AB">
      <w:pPr>
        <w:pStyle w:val="ListParagraph"/>
        <w:spacing w:line="360" w:lineRule="auto"/>
        <w:ind w:left="709"/>
        <w:rPr>
          <w:rFonts w:ascii="Verdana" w:hAnsi="Verdana"/>
        </w:rPr>
      </w:pPr>
    </w:p>
    <w:p w14:paraId="32BB6193" w14:textId="291C8AA6" w:rsidR="006638D8" w:rsidRDefault="006638D8" w:rsidP="006464FC">
      <w:pPr>
        <w:pStyle w:val="ListParagraph"/>
        <w:numPr>
          <w:ilvl w:val="1"/>
          <w:numId w:val="28"/>
        </w:numPr>
        <w:spacing w:line="360" w:lineRule="auto"/>
        <w:ind w:left="709"/>
        <w:rPr>
          <w:rFonts w:ascii="Verdana" w:hAnsi="Verdana"/>
        </w:rPr>
      </w:pPr>
      <w:r>
        <w:rPr>
          <w:rFonts w:ascii="Verdana" w:hAnsi="Verdana"/>
        </w:rPr>
        <w:t xml:space="preserve">In </w:t>
      </w:r>
      <w:r w:rsidRPr="006814AD">
        <w:rPr>
          <w:rFonts w:ascii="Verdana" w:hAnsi="Verdana"/>
          <w:i/>
          <w:iCs/>
        </w:rPr>
        <w:t>Moskal v Poland</w:t>
      </w:r>
      <w:r>
        <w:rPr>
          <w:rFonts w:ascii="Verdana" w:hAnsi="Verdana"/>
        </w:rPr>
        <w:t xml:space="preserve">, the applicant had pension payments removed by the state. The ECtHR </w:t>
      </w:r>
      <w:r w:rsidR="00E14574">
        <w:rPr>
          <w:rFonts w:ascii="Verdana" w:hAnsi="Verdana"/>
        </w:rPr>
        <w:t xml:space="preserve">held </w:t>
      </w:r>
      <w:r>
        <w:rPr>
          <w:rFonts w:ascii="Verdana" w:hAnsi="Verdana"/>
        </w:rPr>
        <w:t>that a fair balance had “</w:t>
      </w:r>
      <w:r w:rsidRPr="000130F4">
        <w:rPr>
          <w:rFonts w:ascii="Verdana" w:hAnsi="Verdana"/>
        </w:rPr>
        <w:t>not been struck between the demands of the general interest of the public and the requirements of the protection of the individual’s fundamental rights</w:t>
      </w:r>
      <w:r>
        <w:rPr>
          <w:rFonts w:ascii="Verdana" w:hAnsi="Verdana"/>
        </w:rPr>
        <w:t>” and held that there had been a violation of Article 1 of Protocol 1.</w:t>
      </w:r>
      <w:r>
        <w:rPr>
          <w:rStyle w:val="FootnoteReference"/>
          <w:rFonts w:ascii="Verdana" w:hAnsi="Verdana"/>
        </w:rPr>
        <w:footnoteReference w:id="79"/>
      </w:r>
    </w:p>
    <w:p w14:paraId="6B21730C" w14:textId="77777777" w:rsidR="006574C5" w:rsidRPr="006574C5" w:rsidRDefault="006574C5" w:rsidP="00A361AB">
      <w:pPr>
        <w:pStyle w:val="ListParagraph"/>
        <w:spacing w:line="360" w:lineRule="auto"/>
        <w:rPr>
          <w:rFonts w:ascii="Verdana" w:hAnsi="Verdana"/>
        </w:rPr>
      </w:pPr>
    </w:p>
    <w:p w14:paraId="1F070397" w14:textId="3D02EA8F" w:rsidR="006574C5" w:rsidRDefault="006574C5" w:rsidP="006464FC">
      <w:pPr>
        <w:pStyle w:val="ListParagraph"/>
        <w:numPr>
          <w:ilvl w:val="1"/>
          <w:numId w:val="28"/>
        </w:numPr>
        <w:spacing w:line="360" w:lineRule="auto"/>
        <w:ind w:left="709"/>
        <w:rPr>
          <w:rFonts w:ascii="Verdana" w:hAnsi="Verdana"/>
        </w:rPr>
      </w:pPr>
      <w:r>
        <w:rPr>
          <w:rFonts w:ascii="Verdana" w:hAnsi="Verdana"/>
        </w:rPr>
        <w:t xml:space="preserve">In </w:t>
      </w:r>
      <w:proofErr w:type="spellStart"/>
      <w:r>
        <w:rPr>
          <w:rFonts w:ascii="Verdana" w:hAnsi="Verdana"/>
          <w:i/>
          <w:iCs/>
        </w:rPr>
        <w:t>B</w:t>
      </w:r>
      <w:r w:rsidR="00BC618E">
        <w:rPr>
          <w:rFonts w:ascii="Verdana" w:hAnsi="Verdana"/>
          <w:i/>
          <w:iCs/>
        </w:rPr>
        <w:t>éláné</w:t>
      </w:r>
      <w:proofErr w:type="spellEnd"/>
      <w:r w:rsidR="00BC618E">
        <w:rPr>
          <w:rFonts w:ascii="Verdana" w:hAnsi="Verdana"/>
          <w:i/>
          <w:iCs/>
        </w:rPr>
        <w:t xml:space="preserve"> Nagy v Hungary</w:t>
      </w:r>
      <w:r w:rsidR="00BC618E">
        <w:rPr>
          <w:rFonts w:ascii="Verdana" w:hAnsi="Verdana"/>
        </w:rPr>
        <w:t xml:space="preserve">, </w:t>
      </w:r>
      <w:r w:rsidR="00E177D6">
        <w:rPr>
          <w:rFonts w:ascii="Verdana" w:hAnsi="Verdana"/>
        </w:rPr>
        <w:t xml:space="preserve">the </w:t>
      </w:r>
      <w:r w:rsidR="00E14574">
        <w:rPr>
          <w:rFonts w:ascii="Verdana" w:hAnsi="Verdana"/>
        </w:rPr>
        <w:t>A</w:t>
      </w:r>
      <w:r w:rsidR="00E177D6">
        <w:rPr>
          <w:rFonts w:ascii="Verdana" w:hAnsi="Verdana"/>
        </w:rPr>
        <w:t xml:space="preserve">pplicant had been subjected to a complete removal of entitlement to a disability benefit payment, rather than a reduction. </w:t>
      </w:r>
      <w:r w:rsidR="004F040C">
        <w:rPr>
          <w:rFonts w:ascii="Verdana" w:hAnsi="Verdana"/>
        </w:rPr>
        <w:t>Article 1 of Pr</w:t>
      </w:r>
      <w:r w:rsidR="00C93ED1">
        <w:rPr>
          <w:rFonts w:ascii="Verdana" w:hAnsi="Verdana"/>
        </w:rPr>
        <w:t>otocol 1 requires that “</w:t>
      </w:r>
      <w:r w:rsidR="00C93ED1" w:rsidRPr="00C93ED1">
        <w:rPr>
          <w:rFonts w:ascii="Verdana" w:hAnsi="Verdana"/>
        </w:rPr>
        <w:t>any interference be reasonably proportionate to the aim sought to be realised</w:t>
      </w:r>
      <w:r w:rsidR="00C968C9">
        <w:rPr>
          <w:rFonts w:ascii="Verdana" w:hAnsi="Verdana"/>
        </w:rPr>
        <w:t>”.</w:t>
      </w:r>
      <w:r w:rsidR="00C968C9">
        <w:rPr>
          <w:rStyle w:val="FootnoteReference"/>
          <w:rFonts w:ascii="Verdana" w:hAnsi="Verdana"/>
        </w:rPr>
        <w:footnoteReference w:id="80"/>
      </w:r>
      <w:r w:rsidR="00F7691C">
        <w:rPr>
          <w:rFonts w:ascii="Verdana" w:hAnsi="Verdana"/>
        </w:rPr>
        <w:t xml:space="preserve"> The </w:t>
      </w:r>
      <w:r w:rsidR="00F7691C" w:rsidRPr="00F7691C">
        <w:rPr>
          <w:rFonts w:ascii="Verdana" w:hAnsi="Verdana"/>
        </w:rPr>
        <w:t xml:space="preserve">requisite fair balance </w:t>
      </w:r>
      <w:r w:rsidR="00F7691C">
        <w:rPr>
          <w:rFonts w:ascii="Verdana" w:hAnsi="Verdana"/>
        </w:rPr>
        <w:t xml:space="preserve">required under Article 1 of Protocol 1 </w:t>
      </w:r>
      <w:r w:rsidR="00F7691C" w:rsidRPr="00F7691C">
        <w:rPr>
          <w:rFonts w:ascii="Verdana" w:hAnsi="Verdana"/>
        </w:rPr>
        <w:t>will not be struck where the person concerned bears an individual and excessive burden</w:t>
      </w:r>
      <w:r w:rsidR="00F7691C">
        <w:rPr>
          <w:rFonts w:ascii="Verdana" w:hAnsi="Verdana"/>
        </w:rPr>
        <w:t>.</w:t>
      </w:r>
      <w:r w:rsidR="00F7691C">
        <w:rPr>
          <w:rStyle w:val="FootnoteReference"/>
          <w:rFonts w:ascii="Verdana" w:hAnsi="Verdana"/>
        </w:rPr>
        <w:footnoteReference w:id="81"/>
      </w:r>
      <w:r w:rsidR="00C93ED1">
        <w:rPr>
          <w:rFonts w:ascii="Verdana" w:hAnsi="Verdana"/>
        </w:rPr>
        <w:t xml:space="preserve"> </w:t>
      </w:r>
      <w:r w:rsidR="00C968C9">
        <w:rPr>
          <w:rFonts w:ascii="Verdana" w:hAnsi="Verdana"/>
        </w:rPr>
        <w:t xml:space="preserve">The ECtHR </w:t>
      </w:r>
      <w:r w:rsidR="00CB78C3">
        <w:rPr>
          <w:rFonts w:ascii="Verdana" w:hAnsi="Verdana"/>
        </w:rPr>
        <w:t xml:space="preserve">found that the legislative changes to </w:t>
      </w:r>
      <w:r w:rsidR="006D032A">
        <w:rPr>
          <w:rFonts w:ascii="Verdana" w:hAnsi="Verdana"/>
        </w:rPr>
        <w:t xml:space="preserve">disability related benefits </w:t>
      </w:r>
      <w:r w:rsidR="00003F19">
        <w:rPr>
          <w:rFonts w:ascii="Verdana" w:hAnsi="Verdana"/>
        </w:rPr>
        <w:t xml:space="preserve">did not strike </w:t>
      </w:r>
      <w:r w:rsidR="0000074C">
        <w:rPr>
          <w:rFonts w:ascii="Verdana" w:hAnsi="Verdana"/>
        </w:rPr>
        <w:t>this requis</w:t>
      </w:r>
      <w:r w:rsidR="005D51D3">
        <w:rPr>
          <w:rFonts w:ascii="Verdana" w:hAnsi="Verdana"/>
        </w:rPr>
        <w:t>ite balance and that the applicant “</w:t>
      </w:r>
      <w:r w:rsidR="005D51D3" w:rsidRPr="005D51D3">
        <w:rPr>
          <w:rFonts w:ascii="Verdana" w:hAnsi="Verdana"/>
        </w:rPr>
        <w:t>had to bear an excessive individual burden</w:t>
      </w:r>
      <w:r w:rsidR="005D51D3">
        <w:rPr>
          <w:rFonts w:ascii="Verdana" w:hAnsi="Verdana"/>
        </w:rPr>
        <w:t>”.</w:t>
      </w:r>
      <w:r w:rsidR="005D51D3">
        <w:rPr>
          <w:rStyle w:val="FootnoteReference"/>
          <w:rFonts w:ascii="Verdana" w:hAnsi="Verdana"/>
        </w:rPr>
        <w:footnoteReference w:id="82"/>
      </w:r>
      <w:r w:rsidR="00786A0B">
        <w:rPr>
          <w:rFonts w:ascii="Verdana" w:hAnsi="Verdana"/>
        </w:rPr>
        <w:t xml:space="preserve"> </w:t>
      </w:r>
    </w:p>
    <w:p w14:paraId="0E121604" w14:textId="77777777" w:rsidR="006C3DE7" w:rsidRPr="006C3DE7" w:rsidRDefault="006C3DE7" w:rsidP="00A361AB">
      <w:pPr>
        <w:pStyle w:val="ListParagraph"/>
        <w:spacing w:line="360" w:lineRule="auto"/>
        <w:rPr>
          <w:rFonts w:ascii="Verdana" w:hAnsi="Verdana"/>
        </w:rPr>
      </w:pPr>
    </w:p>
    <w:p w14:paraId="43E0470A" w14:textId="218A36CB" w:rsidR="006C3DE7" w:rsidRDefault="006C3DE7" w:rsidP="006464FC">
      <w:pPr>
        <w:pStyle w:val="ListParagraph"/>
        <w:numPr>
          <w:ilvl w:val="1"/>
          <w:numId w:val="28"/>
        </w:numPr>
        <w:spacing w:line="360" w:lineRule="auto"/>
        <w:ind w:left="709"/>
        <w:rPr>
          <w:rFonts w:ascii="Verdana" w:hAnsi="Verdana"/>
        </w:rPr>
      </w:pPr>
      <w:r>
        <w:rPr>
          <w:rFonts w:ascii="Verdana" w:hAnsi="Verdana"/>
        </w:rPr>
        <w:t xml:space="preserve">In </w:t>
      </w:r>
      <w:r>
        <w:rPr>
          <w:rFonts w:ascii="Verdana" w:hAnsi="Verdana"/>
          <w:i/>
          <w:iCs/>
        </w:rPr>
        <w:t>Kjartan Á</w:t>
      </w:r>
      <w:r w:rsidR="00943228">
        <w:rPr>
          <w:rFonts w:ascii="Verdana" w:hAnsi="Verdana"/>
          <w:i/>
          <w:iCs/>
        </w:rPr>
        <w:t>smundsson v Iceland</w:t>
      </w:r>
      <w:r w:rsidR="00943228">
        <w:rPr>
          <w:rFonts w:ascii="Verdana" w:hAnsi="Verdana"/>
        </w:rPr>
        <w:t xml:space="preserve">, </w:t>
      </w:r>
      <w:r w:rsidR="00492C8D">
        <w:rPr>
          <w:rFonts w:ascii="Verdana" w:hAnsi="Verdana"/>
        </w:rPr>
        <w:t xml:space="preserve">the applicant had sustained </w:t>
      </w:r>
      <w:r w:rsidR="00B54BFD">
        <w:rPr>
          <w:rFonts w:ascii="Verdana" w:hAnsi="Verdana"/>
        </w:rPr>
        <w:t>a serious work</w:t>
      </w:r>
      <w:r w:rsidR="00EA0D4A">
        <w:rPr>
          <w:rFonts w:ascii="Verdana" w:hAnsi="Verdana"/>
        </w:rPr>
        <w:t xml:space="preserve">-related injury, </w:t>
      </w:r>
      <w:r w:rsidR="00B54BFD">
        <w:rPr>
          <w:rFonts w:ascii="Verdana" w:hAnsi="Verdana"/>
        </w:rPr>
        <w:t xml:space="preserve">leaving him with a disability </w:t>
      </w:r>
      <w:r w:rsidR="008C21F1">
        <w:rPr>
          <w:rFonts w:ascii="Verdana" w:hAnsi="Verdana"/>
        </w:rPr>
        <w:t xml:space="preserve">which was assessed at 100 per cent </w:t>
      </w:r>
      <w:r w:rsidR="00B54BFD">
        <w:rPr>
          <w:rFonts w:ascii="Verdana" w:hAnsi="Verdana"/>
        </w:rPr>
        <w:t xml:space="preserve">and </w:t>
      </w:r>
      <w:r w:rsidR="008C21F1">
        <w:rPr>
          <w:rFonts w:ascii="Verdana" w:hAnsi="Verdana"/>
        </w:rPr>
        <w:t xml:space="preserve">made him </w:t>
      </w:r>
      <w:r w:rsidR="00B54BFD">
        <w:rPr>
          <w:rFonts w:ascii="Verdana" w:hAnsi="Verdana"/>
        </w:rPr>
        <w:t>eligible for a disability pension</w:t>
      </w:r>
      <w:r w:rsidR="00E21151">
        <w:rPr>
          <w:rFonts w:ascii="Verdana" w:hAnsi="Verdana"/>
        </w:rPr>
        <w:t>.</w:t>
      </w:r>
      <w:r w:rsidR="003B3BE2">
        <w:rPr>
          <w:rStyle w:val="FootnoteReference"/>
          <w:rFonts w:ascii="Verdana" w:hAnsi="Verdana"/>
        </w:rPr>
        <w:footnoteReference w:id="83"/>
      </w:r>
      <w:r w:rsidR="00E21151">
        <w:rPr>
          <w:rFonts w:ascii="Verdana" w:hAnsi="Verdana"/>
        </w:rPr>
        <w:t xml:space="preserve"> </w:t>
      </w:r>
      <w:r w:rsidR="008C21F1">
        <w:rPr>
          <w:rFonts w:ascii="Verdana" w:hAnsi="Verdana"/>
        </w:rPr>
        <w:t xml:space="preserve">The State introduced legislative reforms </w:t>
      </w:r>
      <w:r w:rsidR="00EA0D4A">
        <w:rPr>
          <w:rFonts w:ascii="Verdana" w:hAnsi="Verdana"/>
        </w:rPr>
        <w:t xml:space="preserve">which meant that </w:t>
      </w:r>
      <w:r w:rsidR="00B75D7A">
        <w:rPr>
          <w:rFonts w:ascii="Verdana" w:hAnsi="Verdana"/>
        </w:rPr>
        <w:t xml:space="preserve">the applicant was reassessed </w:t>
      </w:r>
      <w:r w:rsidR="001A77EC">
        <w:rPr>
          <w:rFonts w:ascii="Verdana" w:hAnsi="Verdana"/>
        </w:rPr>
        <w:t>on his capacity for work, which did not meet the required threshold for the pension.</w:t>
      </w:r>
      <w:r w:rsidR="003B3BE2">
        <w:rPr>
          <w:rStyle w:val="FootnoteReference"/>
          <w:rFonts w:ascii="Verdana" w:hAnsi="Verdana"/>
        </w:rPr>
        <w:footnoteReference w:id="84"/>
      </w:r>
      <w:r w:rsidR="001A77EC">
        <w:rPr>
          <w:rFonts w:ascii="Verdana" w:hAnsi="Verdana"/>
        </w:rPr>
        <w:t xml:space="preserve"> T</w:t>
      </w:r>
      <w:r w:rsidR="00943228">
        <w:rPr>
          <w:rFonts w:ascii="Verdana" w:hAnsi="Verdana"/>
        </w:rPr>
        <w:t xml:space="preserve">he ECtHR found </w:t>
      </w:r>
      <w:r w:rsidR="006A5364">
        <w:rPr>
          <w:rFonts w:ascii="Verdana" w:hAnsi="Verdana"/>
        </w:rPr>
        <w:t>a breach of Article 1 of Protocol 1</w:t>
      </w:r>
      <w:r w:rsidR="007861AD">
        <w:rPr>
          <w:rFonts w:ascii="Verdana" w:hAnsi="Verdana"/>
        </w:rPr>
        <w:t>.</w:t>
      </w:r>
      <w:r w:rsidR="003B3BE2">
        <w:rPr>
          <w:rStyle w:val="FootnoteReference"/>
          <w:rFonts w:ascii="Verdana" w:hAnsi="Verdana"/>
        </w:rPr>
        <w:footnoteReference w:id="85"/>
      </w:r>
      <w:r w:rsidR="007861AD">
        <w:rPr>
          <w:rFonts w:ascii="Verdana" w:hAnsi="Verdana"/>
        </w:rPr>
        <w:t xml:space="preserve"> The ECtHR </w:t>
      </w:r>
      <w:r w:rsidR="00E14574">
        <w:rPr>
          <w:rFonts w:ascii="Verdana" w:hAnsi="Verdana"/>
        </w:rPr>
        <w:t>noted that the</w:t>
      </w:r>
      <w:r w:rsidR="00CB0EDF">
        <w:rPr>
          <w:rFonts w:ascii="Verdana" w:hAnsi="Verdana"/>
        </w:rPr>
        <w:t xml:space="preserve"> </w:t>
      </w:r>
      <w:r w:rsidR="00E14574">
        <w:rPr>
          <w:rFonts w:ascii="Verdana" w:hAnsi="Verdana"/>
        </w:rPr>
        <w:t>A</w:t>
      </w:r>
      <w:r w:rsidR="00CB0EDF">
        <w:rPr>
          <w:rFonts w:ascii="Verdana" w:hAnsi="Verdana"/>
        </w:rPr>
        <w:t>pplicant was made to bear an excessive burden by legislative changes</w:t>
      </w:r>
      <w:r w:rsidR="006A5364">
        <w:rPr>
          <w:rFonts w:ascii="Verdana" w:hAnsi="Verdana"/>
        </w:rPr>
        <w:t xml:space="preserve"> which, “</w:t>
      </w:r>
      <w:r w:rsidR="006A5364" w:rsidRPr="006A5364">
        <w:rPr>
          <w:rFonts w:ascii="Verdana" w:hAnsi="Verdana"/>
        </w:rPr>
        <w:t>even having regard to the wide margin of appreciation to be enjoyed by the State in the area of social legislation, cannot be justified by the legitimate community interests relied on by the authorities</w:t>
      </w:r>
      <w:r w:rsidR="006A5364">
        <w:rPr>
          <w:rFonts w:ascii="Verdana" w:hAnsi="Verdana"/>
        </w:rPr>
        <w:t>”.</w:t>
      </w:r>
      <w:r w:rsidR="006A5364">
        <w:rPr>
          <w:rStyle w:val="FootnoteReference"/>
          <w:rFonts w:ascii="Verdana" w:hAnsi="Verdana"/>
        </w:rPr>
        <w:footnoteReference w:id="86"/>
      </w:r>
    </w:p>
    <w:p w14:paraId="599B097D" w14:textId="77777777" w:rsidR="006638D8" w:rsidRPr="005574E3" w:rsidRDefault="006638D8" w:rsidP="00A361AB">
      <w:pPr>
        <w:pStyle w:val="ListParagraph"/>
        <w:spacing w:line="360" w:lineRule="auto"/>
        <w:rPr>
          <w:rFonts w:ascii="Verdana" w:hAnsi="Verdana"/>
        </w:rPr>
      </w:pPr>
    </w:p>
    <w:p w14:paraId="2BC7DD06" w14:textId="0B2D9B86" w:rsidR="006638D8" w:rsidRDefault="00E14574" w:rsidP="006464FC">
      <w:pPr>
        <w:pStyle w:val="ListParagraph"/>
        <w:numPr>
          <w:ilvl w:val="1"/>
          <w:numId w:val="28"/>
        </w:numPr>
        <w:spacing w:line="360" w:lineRule="auto"/>
        <w:ind w:left="709"/>
        <w:rPr>
          <w:rFonts w:ascii="Verdana" w:hAnsi="Verdana"/>
        </w:rPr>
      </w:pPr>
      <w:r>
        <w:rPr>
          <w:rFonts w:ascii="Verdana" w:hAnsi="Verdana"/>
        </w:rPr>
        <w:t>Moreover, s</w:t>
      </w:r>
      <w:r w:rsidR="006638D8">
        <w:rPr>
          <w:rFonts w:ascii="Verdana" w:hAnsi="Verdana"/>
        </w:rPr>
        <w:t>ocial security has been read into Articles 8 and 14 of the ECHR if the subject matter “</w:t>
      </w:r>
      <w:r w:rsidR="006638D8" w:rsidRPr="001322E5">
        <w:rPr>
          <w:rFonts w:ascii="Verdana" w:hAnsi="Verdana"/>
        </w:rPr>
        <w:t>constitute</w:t>
      </w:r>
      <w:r w:rsidR="006638D8">
        <w:rPr>
          <w:rFonts w:ascii="Verdana" w:hAnsi="Verdana"/>
        </w:rPr>
        <w:t>s</w:t>
      </w:r>
      <w:r w:rsidR="006638D8" w:rsidRPr="001322E5">
        <w:rPr>
          <w:rFonts w:ascii="Verdana" w:hAnsi="Verdana"/>
        </w:rPr>
        <w:t xml:space="preserve"> one of the modalities of exercising the right to respect for family life as guaranteed by Article 8 of the Convention</w:t>
      </w:r>
      <w:r w:rsidR="009B024C">
        <w:rPr>
          <w:rFonts w:ascii="Verdana" w:hAnsi="Verdana"/>
        </w:rPr>
        <w:t>”</w:t>
      </w:r>
      <w:r w:rsidR="002F68F0">
        <w:rPr>
          <w:rFonts w:ascii="Verdana" w:hAnsi="Verdana"/>
        </w:rPr>
        <w:t>.</w:t>
      </w:r>
      <w:r w:rsidR="006638D8">
        <w:rPr>
          <w:rStyle w:val="FootnoteReference"/>
          <w:rFonts w:ascii="Verdana" w:hAnsi="Verdana"/>
        </w:rPr>
        <w:footnoteReference w:id="87"/>
      </w:r>
      <w:r w:rsidR="006638D8">
        <w:rPr>
          <w:rFonts w:ascii="Verdana" w:hAnsi="Verdana"/>
        </w:rPr>
        <w:t xml:space="preserve"> </w:t>
      </w:r>
      <w:r w:rsidR="009B024C">
        <w:rPr>
          <w:rFonts w:ascii="Verdana" w:hAnsi="Verdana"/>
        </w:rPr>
        <w:t xml:space="preserve">This means that social security </w:t>
      </w:r>
      <w:r w:rsidR="004F0155">
        <w:rPr>
          <w:rFonts w:ascii="Verdana" w:hAnsi="Verdana"/>
        </w:rPr>
        <w:t>can be read into Article 8 if it seeks to promote family life and is necessary to the way in which family life is structured.</w:t>
      </w:r>
      <w:r w:rsidR="004F0155">
        <w:rPr>
          <w:rStyle w:val="FootnoteReference"/>
          <w:rFonts w:ascii="Verdana" w:hAnsi="Verdana"/>
        </w:rPr>
        <w:footnoteReference w:id="88"/>
      </w:r>
      <w:r w:rsidR="004F0155">
        <w:rPr>
          <w:rFonts w:ascii="Verdana" w:hAnsi="Verdana"/>
        </w:rPr>
        <w:t xml:space="preserve"> </w:t>
      </w:r>
      <w:r w:rsidR="006638D8">
        <w:rPr>
          <w:rFonts w:ascii="Verdana" w:hAnsi="Verdana"/>
        </w:rPr>
        <w:t>The ECtHR considered a range of factors</w:t>
      </w:r>
      <w:r>
        <w:rPr>
          <w:rFonts w:ascii="Verdana" w:hAnsi="Verdana"/>
        </w:rPr>
        <w:t xml:space="preserve"> that were relevant</w:t>
      </w:r>
      <w:r w:rsidR="006638D8">
        <w:rPr>
          <w:rFonts w:ascii="Verdana" w:hAnsi="Verdana"/>
        </w:rPr>
        <w:t xml:space="preserve"> </w:t>
      </w:r>
      <w:r>
        <w:rPr>
          <w:rFonts w:ascii="Verdana" w:hAnsi="Verdana"/>
        </w:rPr>
        <w:t xml:space="preserve">when </w:t>
      </w:r>
      <w:r w:rsidR="006638D8">
        <w:rPr>
          <w:rFonts w:ascii="Verdana" w:hAnsi="Verdana"/>
        </w:rPr>
        <w:t>determining the nature of the benefit, including the aim of the benefit, the criteria for awarding, calculating and terminating the benefit, the effect on the way family life is organised and the practical repercussions of the benefit.</w:t>
      </w:r>
      <w:r w:rsidR="006638D8">
        <w:rPr>
          <w:rStyle w:val="FootnoteReference"/>
          <w:rFonts w:ascii="Verdana" w:hAnsi="Verdana"/>
        </w:rPr>
        <w:footnoteReference w:id="89"/>
      </w:r>
      <w:r w:rsidR="006638D8">
        <w:rPr>
          <w:rFonts w:ascii="Verdana" w:hAnsi="Verdana"/>
        </w:rPr>
        <w:t xml:space="preserve"> These must be examined as a whole.</w:t>
      </w:r>
    </w:p>
    <w:p w14:paraId="516ED0C1" w14:textId="77777777" w:rsidR="00F362B9" w:rsidRDefault="00F362B9" w:rsidP="00A361AB">
      <w:pPr>
        <w:pStyle w:val="ListParagraph"/>
        <w:spacing w:line="360" w:lineRule="auto"/>
        <w:ind w:left="709"/>
        <w:rPr>
          <w:rFonts w:ascii="Verdana" w:hAnsi="Verdana"/>
        </w:rPr>
      </w:pPr>
    </w:p>
    <w:p w14:paraId="611C550C" w14:textId="18F5DFA1" w:rsidR="00F563CF" w:rsidRDefault="00F563CF" w:rsidP="006464FC">
      <w:pPr>
        <w:pStyle w:val="ListParagraph"/>
        <w:numPr>
          <w:ilvl w:val="1"/>
          <w:numId w:val="28"/>
        </w:numPr>
        <w:spacing w:line="360" w:lineRule="auto"/>
        <w:ind w:left="709"/>
        <w:rPr>
          <w:rFonts w:ascii="Verdana" w:hAnsi="Verdana"/>
        </w:rPr>
      </w:pPr>
      <w:r>
        <w:rPr>
          <w:rFonts w:ascii="Verdana" w:hAnsi="Verdana"/>
        </w:rPr>
        <w:t xml:space="preserve">The NIHRC notes that </w:t>
      </w:r>
      <w:r w:rsidR="008210CC">
        <w:rPr>
          <w:rFonts w:ascii="Verdana" w:hAnsi="Verdana"/>
        </w:rPr>
        <w:t>the impact of previous welfare reform is stil</w:t>
      </w:r>
      <w:r w:rsidR="008F6115">
        <w:rPr>
          <w:rFonts w:ascii="Verdana" w:hAnsi="Verdana"/>
        </w:rPr>
        <w:t xml:space="preserve">l </w:t>
      </w:r>
      <w:r w:rsidR="00E14574">
        <w:rPr>
          <w:rFonts w:ascii="Verdana" w:hAnsi="Verdana"/>
        </w:rPr>
        <w:t xml:space="preserve">felt </w:t>
      </w:r>
      <w:r w:rsidR="008F6115">
        <w:rPr>
          <w:rFonts w:ascii="Verdana" w:hAnsi="Verdana"/>
        </w:rPr>
        <w:t xml:space="preserve">in NI, with </w:t>
      </w:r>
      <w:r w:rsidR="00E14574">
        <w:rPr>
          <w:rFonts w:ascii="Verdana" w:hAnsi="Verdana"/>
        </w:rPr>
        <w:t xml:space="preserve">the </w:t>
      </w:r>
      <w:r w:rsidR="008F6115">
        <w:rPr>
          <w:rFonts w:ascii="Verdana" w:hAnsi="Verdana"/>
        </w:rPr>
        <w:t>use of food banks and warm banks continuing to rise</w:t>
      </w:r>
      <w:r w:rsidR="34153D9C">
        <w:rPr>
          <w:rFonts w:ascii="Verdana" w:hAnsi="Verdana"/>
        </w:rPr>
        <w:t>.</w:t>
      </w:r>
      <w:r w:rsidR="004F3919">
        <w:rPr>
          <w:rStyle w:val="FootnoteReference"/>
          <w:rFonts w:ascii="Verdana" w:hAnsi="Verdana"/>
        </w:rPr>
        <w:footnoteReference w:id="90"/>
      </w:r>
      <w:r w:rsidR="009D5C1B">
        <w:rPr>
          <w:rFonts w:ascii="Verdana" w:hAnsi="Verdana"/>
        </w:rPr>
        <w:t xml:space="preserve"> </w:t>
      </w:r>
      <w:r w:rsidR="7FD3D6CC" w:rsidRPr="407E9047">
        <w:rPr>
          <w:rFonts w:ascii="Verdana" w:hAnsi="Verdana"/>
        </w:rPr>
        <w:t xml:space="preserve">Furthermore the implementation of welfare reform continues to </w:t>
      </w:r>
      <w:r w:rsidR="00BC42B4">
        <w:rPr>
          <w:rFonts w:ascii="Verdana" w:hAnsi="Verdana"/>
        </w:rPr>
        <w:t xml:space="preserve">impact </w:t>
      </w:r>
      <w:r w:rsidR="00E14574">
        <w:rPr>
          <w:rFonts w:ascii="Verdana" w:hAnsi="Verdana"/>
        </w:rPr>
        <w:lastRenderedPageBreak/>
        <w:t xml:space="preserve">disproportionately </w:t>
      </w:r>
      <w:r w:rsidR="00BC42B4">
        <w:rPr>
          <w:rFonts w:ascii="Verdana" w:hAnsi="Verdana"/>
        </w:rPr>
        <w:t>on marginalised groups.</w:t>
      </w:r>
      <w:r w:rsidR="00183AC1">
        <w:rPr>
          <w:rStyle w:val="FootnoteReference"/>
          <w:rFonts w:ascii="Verdana" w:hAnsi="Verdana"/>
        </w:rPr>
        <w:footnoteReference w:id="91"/>
      </w:r>
      <w:r w:rsidR="00BC42B4">
        <w:rPr>
          <w:rFonts w:ascii="Verdana" w:hAnsi="Verdana"/>
        </w:rPr>
        <w:t xml:space="preserve"> </w:t>
      </w:r>
      <w:r w:rsidR="00E14574">
        <w:rPr>
          <w:rFonts w:ascii="Verdana" w:hAnsi="Verdana"/>
        </w:rPr>
        <w:t xml:space="preserve">To introduce </w:t>
      </w:r>
      <w:r w:rsidR="00BC42B4">
        <w:rPr>
          <w:rFonts w:ascii="Verdana" w:hAnsi="Verdana"/>
        </w:rPr>
        <w:t xml:space="preserve">additional measures to </w:t>
      </w:r>
      <w:r w:rsidR="00E14574">
        <w:rPr>
          <w:rFonts w:ascii="Verdana" w:hAnsi="Verdana"/>
        </w:rPr>
        <w:t xml:space="preserve">limit </w:t>
      </w:r>
      <w:r w:rsidR="00BC42B4">
        <w:rPr>
          <w:rFonts w:ascii="Verdana" w:hAnsi="Verdana"/>
        </w:rPr>
        <w:t xml:space="preserve">access to benefits </w:t>
      </w:r>
      <w:r w:rsidR="009D5C1B">
        <w:rPr>
          <w:rFonts w:ascii="Verdana" w:hAnsi="Verdana"/>
        </w:rPr>
        <w:t xml:space="preserve">is </w:t>
      </w:r>
      <w:r w:rsidR="00E14574">
        <w:rPr>
          <w:rFonts w:ascii="Verdana" w:hAnsi="Verdana"/>
        </w:rPr>
        <w:t xml:space="preserve">most </w:t>
      </w:r>
      <w:r w:rsidR="009D5C1B">
        <w:rPr>
          <w:rFonts w:ascii="Verdana" w:hAnsi="Verdana"/>
        </w:rPr>
        <w:t xml:space="preserve">likely to </w:t>
      </w:r>
      <w:r w:rsidR="00BC42B4">
        <w:rPr>
          <w:rFonts w:ascii="Verdana" w:hAnsi="Verdana"/>
        </w:rPr>
        <w:t xml:space="preserve">compound </w:t>
      </w:r>
      <w:r w:rsidR="00E14574">
        <w:rPr>
          <w:rFonts w:ascii="Verdana" w:hAnsi="Verdana"/>
        </w:rPr>
        <w:t xml:space="preserve">that </w:t>
      </w:r>
      <w:r w:rsidR="00BC42B4">
        <w:rPr>
          <w:rFonts w:ascii="Verdana" w:hAnsi="Verdana"/>
        </w:rPr>
        <w:t>harm.</w:t>
      </w:r>
      <w:r w:rsidR="00524E9C">
        <w:rPr>
          <w:rFonts w:ascii="Verdana" w:hAnsi="Verdana"/>
        </w:rPr>
        <w:t xml:space="preserve"> </w:t>
      </w:r>
    </w:p>
    <w:p w14:paraId="056DE8F5" w14:textId="77777777" w:rsidR="0084291F" w:rsidRDefault="0084291F" w:rsidP="00A361AB">
      <w:pPr>
        <w:pStyle w:val="ListParagraph"/>
        <w:spacing w:line="360" w:lineRule="auto"/>
        <w:ind w:left="709"/>
        <w:rPr>
          <w:rFonts w:ascii="Verdana" w:hAnsi="Verdana"/>
        </w:rPr>
      </w:pPr>
    </w:p>
    <w:p w14:paraId="3BEC740C" w14:textId="3BB209FC" w:rsidR="00B64434" w:rsidRPr="00AE47C5" w:rsidRDefault="0084291F" w:rsidP="006464FC">
      <w:pPr>
        <w:pStyle w:val="ListParagraph"/>
        <w:numPr>
          <w:ilvl w:val="1"/>
          <w:numId w:val="28"/>
        </w:numPr>
        <w:spacing w:line="360" w:lineRule="auto"/>
        <w:ind w:left="709"/>
        <w:rPr>
          <w:rFonts w:ascii="Verdana" w:hAnsi="Verdana"/>
        </w:rPr>
      </w:pPr>
      <w:r>
        <w:rPr>
          <w:rFonts w:ascii="Verdana" w:hAnsi="Verdana"/>
          <w:b/>
          <w:bCs/>
        </w:rPr>
        <w:t xml:space="preserve">The NIHRC recommends that the Department for Work and Pensions </w:t>
      </w:r>
      <w:r w:rsidR="00ED62B9">
        <w:rPr>
          <w:rFonts w:ascii="Verdana" w:hAnsi="Verdana"/>
          <w:b/>
          <w:bCs/>
        </w:rPr>
        <w:t xml:space="preserve">should </w:t>
      </w:r>
      <w:r w:rsidR="00E50597">
        <w:rPr>
          <w:rFonts w:ascii="Verdana" w:hAnsi="Verdana"/>
          <w:b/>
          <w:bCs/>
        </w:rPr>
        <w:t xml:space="preserve">demonstrate how provisions set out in the Pathways to Work </w:t>
      </w:r>
      <w:r w:rsidR="00817D8D">
        <w:rPr>
          <w:rFonts w:ascii="Verdana" w:hAnsi="Verdana"/>
          <w:b/>
          <w:bCs/>
        </w:rPr>
        <w:t>G</w:t>
      </w:r>
      <w:r w:rsidR="00E50597">
        <w:rPr>
          <w:rFonts w:ascii="Verdana" w:hAnsi="Verdana"/>
          <w:b/>
          <w:bCs/>
        </w:rPr>
        <w:t xml:space="preserve">reen </w:t>
      </w:r>
      <w:r w:rsidR="00817D8D">
        <w:rPr>
          <w:rFonts w:ascii="Verdana" w:hAnsi="Verdana"/>
          <w:b/>
          <w:bCs/>
        </w:rPr>
        <w:t>P</w:t>
      </w:r>
      <w:r w:rsidR="00E50597">
        <w:rPr>
          <w:rFonts w:ascii="Verdana" w:hAnsi="Verdana"/>
          <w:b/>
          <w:bCs/>
        </w:rPr>
        <w:t xml:space="preserve">aper </w:t>
      </w:r>
      <w:r w:rsidR="0082083A">
        <w:rPr>
          <w:rFonts w:ascii="Verdana" w:hAnsi="Verdana"/>
          <w:b/>
          <w:bCs/>
        </w:rPr>
        <w:t>reflect the best use of the maximum available resources and uphold the principle of non-retrogression.</w:t>
      </w:r>
    </w:p>
    <w:p w14:paraId="246238B2" w14:textId="77777777" w:rsidR="00AE47C5" w:rsidRPr="00AE47C5" w:rsidRDefault="00AE47C5" w:rsidP="00A361AB">
      <w:pPr>
        <w:pStyle w:val="ListParagraph"/>
        <w:spacing w:line="360" w:lineRule="auto"/>
        <w:rPr>
          <w:rFonts w:ascii="Verdana" w:hAnsi="Verdana"/>
        </w:rPr>
      </w:pPr>
    </w:p>
    <w:p w14:paraId="44ED2FC8" w14:textId="77777777" w:rsidR="00AE47C5" w:rsidRPr="00994CDA" w:rsidRDefault="00AE47C5" w:rsidP="006464FC">
      <w:pPr>
        <w:pStyle w:val="ListParagraph"/>
        <w:numPr>
          <w:ilvl w:val="1"/>
          <w:numId w:val="28"/>
        </w:numPr>
        <w:spacing w:line="360" w:lineRule="auto"/>
        <w:ind w:left="709"/>
        <w:rPr>
          <w:rFonts w:ascii="Verdana" w:hAnsi="Verdana"/>
        </w:rPr>
      </w:pPr>
      <w:r w:rsidRPr="00994CDA">
        <w:rPr>
          <w:rFonts w:ascii="Verdana" w:hAnsi="Verdana"/>
          <w:b/>
          <w:bCs/>
        </w:rPr>
        <w:t xml:space="preserve">The NIHRC recommends that the Department for Work and Pensions implements social security policy in line with the human rights model of disability, </w:t>
      </w:r>
      <w:proofErr w:type="gramStart"/>
      <w:r w:rsidRPr="00994CDA">
        <w:rPr>
          <w:rFonts w:ascii="Verdana" w:hAnsi="Verdana"/>
          <w:b/>
          <w:bCs/>
        </w:rPr>
        <w:t>taking into account</w:t>
      </w:r>
      <w:proofErr w:type="gramEnd"/>
      <w:r w:rsidRPr="00994CDA">
        <w:rPr>
          <w:rFonts w:ascii="Verdana" w:hAnsi="Verdana"/>
          <w:b/>
          <w:bCs/>
        </w:rPr>
        <w:t xml:space="preserve"> the recommendations of the Committee on the Rights of Persons with Disabilities.</w:t>
      </w:r>
    </w:p>
    <w:p w14:paraId="04C17C95" w14:textId="77777777" w:rsidR="006F6FCD" w:rsidRDefault="006F6FCD" w:rsidP="00A361AB">
      <w:pPr>
        <w:spacing w:line="360" w:lineRule="auto"/>
        <w:ind w:left="-11"/>
        <w:rPr>
          <w:rFonts w:ascii="Verdana" w:hAnsi="Verdana"/>
        </w:rPr>
      </w:pPr>
    </w:p>
    <w:p w14:paraId="44EEE83C" w14:textId="717915B7" w:rsidR="00561D5A" w:rsidRDefault="00561D5A" w:rsidP="00A361AB">
      <w:pPr>
        <w:pStyle w:val="Heading2"/>
        <w:spacing w:line="360" w:lineRule="auto"/>
      </w:pPr>
      <w:bookmarkStart w:id="13" w:name="_Toc201648664"/>
      <w:r>
        <w:t>Human Rights-Based Approach</w:t>
      </w:r>
      <w:bookmarkEnd w:id="13"/>
    </w:p>
    <w:p w14:paraId="6EF5CF67" w14:textId="592B862A" w:rsidR="00B4204F" w:rsidRDefault="00970AA0" w:rsidP="006464FC">
      <w:pPr>
        <w:pStyle w:val="ListParagraph"/>
        <w:numPr>
          <w:ilvl w:val="1"/>
          <w:numId w:val="28"/>
        </w:numPr>
        <w:spacing w:line="360" w:lineRule="auto"/>
        <w:ind w:left="709"/>
        <w:rPr>
          <w:rFonts w:ascii="Verdana" w:hAnsi="Verdana"/>
        </w:rPr>
      </w:pPr>
      <w:r>
        <w:rPr>
          <w:rFonts w:ascii="Verdana" w:hAnsi="Verdana"/>
        </w:rPr>
        <w:t>H</w:t>
      </w:r>
      <w:r w:rsidRPr="00970AA0">
        <w:rPr>
          <w:rFonts w:ascii="Verdana" w:hAnsi="Verdana"/>
        </w:rPr>
        <w:t xml:space="preserve">uman rights standards </w:t>
      </w:r>
      <w:r w:rsidR="00E14574">
        <w:rPr>
          <w:rFonts w:ascii="Verdana" w:hAnsi="Verdana"/>
        </w:rPr>
        <w:t>are the</w:t>
      </w:r>
      <w:r w:rsidR="00E14574" w:rsidRPr="00970AA0">
        <w:rPr>
          <w:rFonts w:ascii="Verdana" w:hAnsi="Verdana"/>
        </w:rPr>
        <w:t xml:space="preserve"> </w:t>
      </w:r>
      <w:r w:rsidRPr="00970AA0">
        <w:rPr>
          <w:rFonts w:ascii="Verdana" w:hAnsi="Verdana"/>
        </w:rPr>
        <w:t>baseline</w:t>
      </w:r>
      <w:r w:rsidR="00E14574">
        <w:rPr>
          <w:rFonts w:ascii="Verdana" w:hAnsi="Verdana"/>
        </w:rPr>
        <w:t xml:space="preserve">; they </w:t>
      </w:r>
      <w:r w:rsidRPr="00970AA0">
        <w:rPr>
          <w:rFonts w:ascii="Verdana" w:hAnsi="Verdana"/>
        </w:rPr>
        <w:t xml:space="preserve">set the minimum standards, which can be </w:t>
      </w:r>
      <w:r w:rsidR="008A1B96">
        <w:rPr>
          <w:rFonts w:ascii="Verdana" w:hAnsi="Verdana"/>
        </w:rPr>
        <w:t>built upon</w:t>
      </w:r>
      <w:r w:rsidRPr="00970AA0">
        <w:rPr>
          <w:rFonts w:ascii="Verdana" w:hAnsi="Verdana"/>
        </w:rPr>
        <w:t>.</w:t>
      </w:r>
      <w:r w:rsidR="00387D72">
        <w:rPr>
          <w:rFonts w:ascii="Verdana" w:hAnsi="Verdana"/>
        </w:rPr>
        <w:t xml:space="preserve"> A </w:t>
      </w:r>
      <w:r w:rsidR="00387D72" w:rsidRPr="00387D72">
        <w:rPr>
          <w:rFonts w:ascii="Verdana" w:hAnsi="Verdana"/>
        </w:rPr>
        <w:t>human rights-based approach ensur</w:t>
      </w:r>
      <w:r w:rsidR="00E14574">
        <w:rPr>
          <w:rFonts w:ascii="Verdana" w:hAnsi="Verdana"/>
        </w:rPr>
        <w:t>es</w:t>
      </w:r>
      <w:r w:rsidR="00387D72" w:rsidRPr="00387D72">
        <w:rPr>
          <w:rFonts w:ascii="Verdana" w:hAnsi="Verdana"/>
        </w:rPr>
        <w:t xml:space="preserve"> that law</w:t>
      </w:r>
      <w:r w:rsidR="008F5169">
        <w:rPr>
          <w:rFonts w:ascii="Verdana" w:hAnsi="Verdana"/>
        </w:rPr>
        <w:t xml:space="preserve"> and </w:t>
      </w:r>
      <w:r w:rsidR="00387D72" w:rsidRPr="00387D72">
        <w:rPr>
          <w:rFonts w:ascii="Verdana" w:hAnsi="Verdana"/>
        </w:rPr>
        <w:t xml:space="preserve">policy is as effective as possible in </w:t>
      </w:r>
      <w:r w:rsidR="00E14574">
        <w:rPr>
          <w:rFonts w:ascii="Verdana" w:hAnsi="Verdana"/>
        </w:rPr>
        <w:t xml:space="preserve">making the realisation of rights in </w:t>
      </w:r>
      <w:r w:rsidR="00387D72" w:rsidRPr="00387D72">
        <w:rPr>
          <w:rFonts w:ascii="Verdana" w:hAnsi="Verdana"/>
        </w:rPr>
        <w:t>practice.</w:t>
      </w:r>
      <w:r w:rsidR="008F5169">
        <w:rPr>
          <w:rFonts w:ascii="Verdana" w:hAnsi="Verdana"/>
        </w:rPr>
        <w:t xml:space="preserve"> </w:t>
      </w:r>
      <w:r w:rsidR="00E14574">
        <w:rPr>
          <w:rFonts w:ascii="Verdana" w:hAnsi="Verdana"/>
        </w:rPr>
        <w:t xml:space="preserve">This is critical in </w:t>
      </w:r>
      <w:r w:rsidR="00014249">
        <w:rPr>
          <w:rFonts w:ascii="Verdana" w:hAnsi="Verdana"/>
        </w:rPr>
        <w:t>relation to matters of social security</w:t>
      </w:r>
      <w:r w:rsidR="00C01F8E">
        <w:rPr>
          <w:rFonts w:ascii="Verdana" w:hAnsi="Verdana"/>
        </w:rPr>
        <w:t>,</w:t>
      </w:r>
      <w:r w:rsidR="00014249">
        <w:rPr>
          <w:rFonts w:ascii="Verdana" w:hAnsi="Verdana"/>
        </w:rPr>
        <w:t xml:space="preserve"> given </w:t>
      </w:r>
      <w:r w:rsidR="00150BEB">
        <w:rPr>
          <w:rFonts w:ascii="Verdana" w:hAnsi="Verdana"/>
        </w:rPr>
        <w:t xml:space="preserve">that the right to social security </w:t>
      </w:r>
      <w:r w:rsidR="00E14574">
        <w:rPr>
          <w:rFonts w:ascii="Verdana" w:hAnsi="Verdana"/>
        </w:rPr>
        <w:t xml:space="preserve">effects </w:t>
      </w:r>
      <w:r w:rsidR="00150BEB">
        <w:rPr>
          <w:rFonts w:ascii="Verdana" w:hAnsi="Verdana"/>
        </w:rPr>
        <w:t xml:space="preserve">the enjoyment of </w:t>
      </w:r>
      <w:r w:rsidR="00E14574">
        <w:rPr>
          <w:rFonts w:ascii="Verdana" w:hAnsi="Verdana"/>
        </w:rPr>
        <w:t xml:space="preserve">many </w:t>
      </w:r>
      <w:r w:rsidR="00150BEB">
        <w:rPr>
          <w:rFonts w:ascii="Verdana" w:hAnsi="Verdana"/>
        </w:rPr>
        <w:t>other rights, such as</w:t>
      </w:r>
      <w:r w:rsidR="00F73DBD">
        <w:rPr>
          <w:rFonts w:ascii="Verdana" w:hAnsi="Verdana"/>
        </w:rPr>
        <w:t xml:space="preserve"> the right to an</w:t>
      </w:r>
      <w:r w:rsidR="00150BEB">
        <w:rPr>
          <w:rFonts w:ascii="Verdana" w:hAnsi="Verdana"/>
        </w:rPr>
        <w:t xml:space="preserve"> adequate standard of living</w:t>
      </w:r>
      <w:r w:rsidR="00275B50">
        <w:rPr>
          <w:rFonts w:ascii="Verdana" w:hAnsi="Verdana"/>
        </w:rPr>
        <w:t>,</w:t>
      </w:r>
      <w:r w:rsidR="00B4204F">
        <w:rPr>
          <w:rFonts w:ascii="Verdana" w:hAnsi="Verdana"/>
        </w:rPr>
        <w:t xml:space="preserve"> the right to</w:t>
      </w:r>
      <w:r w:rsidR="00150BEB">
        <w:rPr>
          <w:rFonts w:ascii="Verdana" w:hAnsi="Verdana"/>
        </w:rPr>
        <w:t xml:space="preserve"> health</w:t>
      </w:r>
      <w:r w:rsidR="00275B50">
        <w:rPr>
          <w:rFonts w:ascii="Verdana" w:hAnsi="Verdana"/>
        </w:rPr>
        <w:t xml:space="preserve"> and the right to be free from discrimination</w:t>
      </w:r>
      <w:r w:rsidR="00B4204F">
        <w:rPr>
          <w:rFonts w:ascii="Verdana" w:hAnsi="Verdana"/>
        </w:rPr>
        <w:t xml:space="preserve">. </w:t>
      </w:r>
    </w:p>
    <w:p w14:paraId="4B8FD334" w14:textId="77777777" w:rsidR="006C70A7" w:rsidRPr="006C70A7" w:rsidRDefault="006C70A7" w:rsidP="00A361AB">
      <w:pPr>
        <w:pStyle w:val="ListParagraph"/>
        <w:spacing w:line="360" w:lineRule="auto"/>
        <w:rPr>
          <w:rFonts w:ascii="Verdana" w:hAnsi="Verdana"/>
        </w:rPr>
      </w:pPr>
    </w:p>
    <w:p w14:paraId="4F54172B" w14:textId="77777777" w:rsidR="00E07F8C" w:rsidRDefault="000E0D06" w:rsidP="006464FC">
      <w:pPr>
        <w:pStyle w:val="ListParagraph"/>
        <w:numPr>
          <w:ilvl w:val="1"/>
          <w:numId w:val="28"/>
        </w:numPr>
        <w:spacing w:line="360" w:lineRule="auto"/>
        <w:ind w:left="709"/>
        <w:rPr>
          <w:rFonts w:ascii="Verdana" w:hAnsi="Verdana"/>
        </w:rPr>
      </w:pPr>
      <w:r w:rsidRPr="000E0D06">
        <w:rPr>
          <w:rFonts w:ascii="Verdana" w:hAnsi="Verdana"/>
        </w:rPr>
        <w:t>A human rights-based approach is a conceptual framework informed by international human rights standards, which aims to put “human rights and corresponding State obligations at the heart of policy making”.</w:t>
      </w:r>
      <w:r>
        <w:rPr>
          <w:rStyle w:val="FootnoteReference"/>
          <w:rFonts w:ascii="Verdana" w:hAnsi="Verdana"/>
        </w:rPr>
        <w:footnoteReference w:id="92"/>
      </w:r>
      <w:r w:rsidRPr="000E0D06">
        <w:rPr>
          <w:rFonts w:ascii="Verdana" w:hAnsi="Verdana"/>
        </w:rPr>
        <w:t xml:space="preserve"> Thus, applying a human rights-based framework is important to safeguard rights for rights-holders, who can be individuals or social groups that have </w:t>
      </w:r>
      <w:r w:rsidRPr="000E0D06">
        <w:rPr>
          <w:rFonts w:ascii="Verdana" w:hAnsi="Verdana"/>
        </w:rPr>
        <w:lastRenderedPageBreak/>
        <w:t>entitlements in relation to duty bearers. Duty bearers are State, or delegated non-State actors, that have an obligation to ensure that the human rights of rights-holders are respected, protected and fulfilled</w:t>
      </w:r>
      <w:r w:rsidR="00A2055D">
        <w:rPr>
          <w:rFonts w:ascii="Verdana" w:hAnsi="Verdana"/>
        </w:rPr>
        <w:t>.</w:t>
      </w:r>
      <w:r w:rsidR="00607620">
        <w:rPr>
          <w:rFonts w:ascii="Verdana" w:hAnsi="Verdana"/>
        </w:rPr>
        <w:t xml:space="preserve"> </w:t>
      </w:r>
      <w:r w:rsidR="00607620" w:rsidRPr="00607620">
        <w:rPr>
          <w:rFonts w:ascii="Verdana" w:hAnsi="Verdana"/>
        </w:rPr>
        <w:t xml:space="preserve">The PANEL principles offer guidance on how to achieve </w:t>
      </w:r>
      <w:r w:rsidR="00607620">
        <w:rPr>
          <w:rFonts w:ascii="Verdana" w:hAnsi="Verdana"/>
        </w:rPr>
        <w:t>a human rights-based approach</w:t>
      </w:r>
      <w:r w:rsidR="00607620" w:rsidRPr="00607620">
        <w:rPr>
          <w:rFonts w:ascii="Verdana" w:hAnsi="Verdana"/>
        </w:rPr>
        <w:t xml:space="preserve">. These are: </w:t>
      </w:r>
    </w:p>
    <w:p w14:paraId="438A7B32" w14:textId="77777777" w:rsidR="00E07F8C" w:rsidRPr="00E07F8C" w:rsidRDefault="00E07F8C" w:rsidP="00A361AB">
      <w:pPr>
        <w:pStyle w:val="ListParagraph"/>
        <w:spacing w:line="360" w:lineRule="auto"/>
        <w:rPr>
          <w:rFonts w:ascii="Verdana" w:hAnsi="Verdana"/>
        </w:rPr>
      </w:pPr>
    </w:p>
    <w:p w14:paraId="10D76D44" w14:textId="6E85E8CF" w:rsidR="00E07F8C" w:rsidRDefault="00E07F8C" w:rsidP="00A361AB">
      <w:pPr>
        <w:pStyle w:val="ListParagraph"/>
        <w:numPr>
          <w:ilvl w:val="0"/>
          <w:numId w:val="12"/>
        </w:numPr>
        <w:spacing w:line="360" w:lineRule="auto"/>
        <w:rPr>
          <w:rFonts w:ascii="Verdana" w:hAnsi="Verdana"/>
        </w:rPr>
      </w:pPr>
      <w:r w:rsidRPr="00607620">
        <w:rPr>
          <w:rFonts w:ascii="Verdana" w:hAnsi="Verdana"/>
          <w:b/>
          <w:bCs/>
        </w:rPr>
        <w:t>Participation</w:t>
      </w:r>
      <w:r w:rsidRPr="00607620">
        <w:rPr>
          <w:rFonts w:ascii="Verdana" w:hAnsi="Verdana"/>
        </w:rPr>
        <w:t xml:space="preserve"> – everyone is entitled to active participation in decision-making processes which affect the enjoyment of their rights</w:t>
      </w:r>
      <w:r w:rsidR="00E14574">
        <w:rPr>
          <w:rFonts w:ascii="Verdana" w:hAnsi="Verdana"/>
        </w:rPr>
        <w:t>.</w:t>
      </w:r>
    </w:p>
    <w:p w14:paraId="338783D9" w14:textId="5CAC9A4D" w:rsidR="00E07F8C" w:rsidRDefault="00E07F8C" w:rsidP="00A361AB">
      <w:pPr>
        <w:pStyle w:val="ListParagraph"/>
        <w:numPr>
          <w:ilvl w:val="0"/>
          <w:numId w:val="12"/>
        </w:numPr>
        <w:spacing w:line="360" w:lineRule="auto"/>
        <w:rPr>
          <w:rFonts w:ascii="Verdana" w:hAnsi="Verdana"/>
        </w:rPr>
      </w:pPr>
      <w:r w:rsidRPr="00607620">
        <w:rPr>
          <w:rFonts w:ascii="Verdana" w:hAnsi="Verdana"/>
          <w:b/>
          <w:bCs/>
        </w:rPr>
        <w:t>Accountability</w:t>
      </w:r>
      <w:r w:rsidRPr="00607620">
        <w:rPr>
          <w:rFonts w:ascii="Verdana" w:hAnsi="Verdana"/>
        </w:rPr>
        <w:t xml:space="preserve"> – duty-bearers are held accountable for failing to fulfil their obligations towards rights-holders. There should be effective remedies in place when human rights breaches occur</w:t>
      </w:r>
      <w:r w:rsidR="00E14574">
        <w:rPr>
          <w:rFonts w:ascii="Verdana" w:hAnsi="Verdana"/>
        </w:rPr>
        <w:t>.</w:t>
      </w:r>
      <w:r w:rsidRPr="00607620">
        <w:rPr>
          <w:rFonts w:ascii="Verdana" w:hAnsi="Verdana"/>
        </w:rPr>
        <w:t xml:space="preserve"> </w:t>
      </w:r>
    </w:p>
    <w:p w14:paraId="70D9F3DF" w14:textId="08A49E0E" w:rsidR="00E07F8C" w:rsidRDefault="00E07F8C" w:rsidP="00A361AB">
      <w:pPr>
        <w:pStyle w:val="ListParagraph"/>
        <w:numPr>
          <w:ilvl w:val="0"/>
          <w:numId w:val="12"/>
        </w:numPr>
        <w:spacing w:line="360" w:lineRule="auto"/>
        <w:rPr>
          <w:rFonts w:ascii="Verdana" w:hAnsi="Verdana"/>
        </w:rPr>
      </w:pPr>
      <w:r w:rsidRPr="00607620">
        <w:rPr>
          <w:rFonts w:ascii="Verdana" w:hAnsi="Verdana"/>
          <w:b/>
          <w:bCs/>
        </w:rPr>
        <w:t>Non-discrimination and equality</w:t>
      </w:r>
      <w:r w:rsidRPr="00607620">
        <w:rPr>
          <w:rFonts w:ascii="Verdana" w:hAnsi="Verdana"/>
        </w:rPr>
        <w:t xml:space="preserve"> – all individuals are entitled to their rights without discrimination of any kind. All types of discrimination should be prohibited, prevented and eliminated</w:t>
      </w:r>
      <w:r w:rsidR="00E14574">
        <w:rPr>
          <w:rFonts w:ascii="Verdana" w:hAnsi="Verdana"/>
        </w:rPr>
        <w:t>.</w:t>
      </w:r>
      <w:r w:rsidRPr="00607620">
        <w:rPr>
          <w:rFonts w:ascii="Verdana" w:hAnsi="Verdana"/>
        </w:rPr>
        <w:t xml:space="preserve"> </w:t>
      </w:r>
    </w:p>
    <w:p w14:paraId="746D9C42" w14:textId="476FB156" w:rsidR="00E07F8C" w:rsidRDefault="00E07F8C" w:rsidP="00A361AB">
      <w:pPr>
        <w:pStyle w:val="ListParagraph"/>
        <w:numPr>
          <w:ilvl w:val="0"/>
          <w:numId w:val="12"/>
        </w:numPr>
        <w:spacing w:line="360" w:lineRule="auto"/>
        <w:rPr>
          <w:rFonts w:ascii="Verdana" w:hAnsi="Verdana"/>
        </w:rPr>
      </w:pPr>
      <w:r w:rsidRPr="00607620">
        <w:rPr>
          <w:rFonts w:ascii="Verdana" w:hAnsi="Verdana"/>
          <w:b/>
          <w:bCs/>
        </w:rPr>
        <w:t>Empowerment</w:t>
      </w:r>
      <w:r w:rsidRPr="00607620">
        <w:rPr>
          <w:rFonts w:ascii="Verdana" w:hAnsi="Verdana"/>
        </w:rPr>
        <w:t xml:space="preserve"> – everyone is entitled to claim and exercise their rights. Individuals and communities need to understand their rights and participate in the development of policies which affect their lives</w:t>
      </w:r>
      <w:r w:rsidR="00E14574">
        <w:rPr>
          <w:rFonts w:ascii="Verdana" w:hAnsi="Verdana"/>
        </w:rPr>
        <w:t>.</w:t>
      </w:r>
      <w:r w:rsidRPr="00607620">
        <w:rPr>
          <w:rFonts w:ascii="Verdana" w:hAnsi="Verdana"/>
        </w:rPr>
        <w:t xml:space="preserve"> </w:t>
      </w:r>
    </w:p>
    <w:p w14:paraId="2C107FB2" w14:textId="77777777" w:rsidR="00E07F8C" w:rsidRDefault="00E07F8C" w:rsidP="00A361AB">
      <w:pPr>
        <w:pStyle w:val="ListParagraph"/>
        <w:numPr>
          <w:ilvl w:val="0"/>
          <w:numId w:val="12"/>
        </w:numPr>
        <w:spacing w:line="360" w:lineRule="auto"/>
        <w:rPr>
          <w:rFonts w:ascii="Verdana" w:hAnsi="Verdana"/>
        </w:rPr>
      </w:pPr>
      <w:r w:rsidRPr="00607620">
        <w:rPr>
          <w:rFonts w:ascii="Verdana" w:hAnsi="Verdana"/>
          <w:b/>
          <w:bCs/>
        </w:rPr>
        <w:t xml:space="preserve">Legality </w:t>
      </w:r>
      <w:r w:rsidRPr="00607620">
        <w:rPr>
          <w:rFonts w:ascii="Verdana" w:hAnsi="Verdana"/>
        </w:rPr>
        <w:t>– approaches should be in line with the legal rights set out in domestic and international laws.</w:t>
      </w:r>
    </w:p>
    <w:p w14:paraId="6809BD9C" w14:textId="77777777" w:rsidR="00E07F8C" w:rsidRPr="00E07F8C" w:rsidRDefault="00E07F8C" w:rsidP="00A361AB">
      <w:pPr>
        <w:pStyle w:val="ListParagraph"/>
        <w:spacing w:line="360" w:lineRule="auto"/>
        <w:rPr>
          <w:rFonts w:ascii="Verdana" w:hAnsi="Verdana"/>
        </w:rPr>
      </w:pPr>
    </w:p>
    <w:p w14:paraId="0612AA6E" w14:textId="18522425" w:rsidR="00DD1A16" w:rsidRPr="0026273C" w:rsidRDefault="005E7B32" w:rsidP="006464FC">
      <w:pPr>
        <w:pStyle w:val="ListParagraph"/>
        <w:numPr>
          <w:ilvl w:val="1"/>
          <w:numId w:val="28"/>
        </w:numPr>
        <w:spacing w:line="360" w:lineRule="auto"/>
        <w:ind w:left="709"/>
        <w:rPr>
          <w:rFonts w:ascii="Verdana" w:hAnsi="Verdana"/>
        </w:rPr>
      </w:pPr>
      <w:r w:rsidRPr="00E07F8C">
        <w:rPr>
          <w:rFonts w:ascii="Verdana" w:hAnsi="Verdana"/>
        </w:rPr>
        <w:t>The NIHRC notes that the Department for Work and Pensions has not produced a human rights impact assessment on the measures</w:t>
      </w:r>
      <w:r w:rsidR="008860D0">
        <w:rPr>
          <w:rFonts w:ascii="Verdana" w:hAnsi="Verdana"/>
        </w:rPr>
        <w:t xml:space="preserve"> proposed within the Green Paper</w:t>
      </w:r>
      <w:r w:rsidRPr="00E07F8C">
        <w:rPr>
          <w:rFonts w:ascii="Verdana" w:hAnsi="Verdana"/>
        </w:rPr>
        <w:t xml:space="preserve">. </w:t>
      </w:r>
      <w:r w:rsidR="00702733">
        <w:rPr>
          <w:rFonts w:ascii="Verdana" w:hAnsi="Verdana"/>
        </w:rPr>
        <w:t>G</w:t>
      </w:r>
      <w:r w:rsidR="00AA5BFC" w:rsidRPr="00E07F8C">
        <w:rPr>
          <w:rFonts w:ascii="Verdana" w:hAnsi="Verdana"/>
        </w:rPr>
        <w:t xml:space="preserve">iven the impact </w:t>
      </w:r>
      <w:r w:rsidR="00166F7B" w:rsidRPr="00E07F8C">
        <w:rPr>
          <w:rFonts w:ascii="Verdana" w:hAnsi="Verdana"/>
        </w:rPr>
        <w:t xml:space="preserve">that </w:t>
      </w:r>
      <w:r w:rsidR="00AA5BFC" w:rsidRPr="00E07F8C">
        <w:rPr>
          <w:rFonts w:ascii="Verdana" w:hAnsi="Verdana"/>
        </w:rPr>
        <w:t xml:space="preserve">previous welfare reforms </w:t>
      </w:r>
      <w:proofErr w:type="gramStart"/>
      <w:r w:rsidR="00E14574">
        <w:rPr>
          <w:rFonts w:ascii="Verdana" w:hAnsi="Verdana"/>
        </w:rPr>
        <w:t>has</w:t>
      </w:r>
      <w:proofErr w:type="gramEnd"/>
      <w:r w:rsidR="00E14574" w:rsidRPr="00E07F8C">
        <w:rPr>
          <w:rFonts w:ascii="Verdana" w:hAnsi="Verdana"/>
        </w:rPr>
        <w:t xml:space="preserve"> </w:t>
      </w:r>
      <w:r w:rsidR="00AA5BFC" w:rsidRPr="00E07F8C">
        <w:rPr>
          <w:rFonts w:ascii="Verdana" w:hAnsi="Verdana"/>
        </w:rPr>
        <w:t xml:space="preserve">had on </w:t>
      </w:r>
      <w:r w:rsidR="00A5429A" w:rsidRPr="00E07F8C">
        <w:rPr>
          <w:rFonts w:ascii="Verdana" w:hAnsi="Verdana"/>
        </w:rPr>
        <w:t>human rights</w:t>
      </w:r>
      <w:r w:rsidR="00E14574">
        <w:rPr>
          <w:rFonts w:ascii="Verdana" w:hAnsi="Verdana"/>
        </w:rPr>
        <w:t xml:space="preserve"> protection</w:t>
      </w:r>
      <w:r w:rsidR="00A5429A" w:rsidRPr="00E07F8C">
        <w:rPr>
          <w:rFonts w:ascii="Verdana" w:hAnsi="Verdana"/>
        </w:rPr>
        <w:t>,</w:t>
      </w:r>
      <w:r w:rsidR="00411D70">
        <w:rPr>
          <w:rFonts w:ascii="Verdana" w:hAnsi="Verdana"/>
        </w:rPr>
        <w:t xml:space="preserve"> as highlighted particularly by the UN CRPD Committee’s </w:t>
      </w:r>
      <w:r w:rsidR="00E14574">
        <w:rPr>
          <w:rFonts w:ascii="Verdana" w:hAnsi="Verdana"/>
        </w:rPr>
        <w:t>I</w:t>
      </w:r>
      <w:r w:rsidR="00411D70">
        <w:rPr>
          <w:rFonts w:ascii="Verdana" w:hAnsi="Verdana"/>
        </w:rPr>
        <w:t>nquiry in 2016 and its follow up in 2024,</w:t>
      </w:r>
      <w:r w:rsidR="00645C83">
        <w:rPr>
          <w:rStyle w:val="FootnoteReference"/>
          <w:rFonts w:ascii="Verdana" w:hAnsi="Verdana"/>
        </w:rPr>
        <w:footnoteReference w:id="93"/>
      </w:r>
      <w:r w:rsidR="00A5429A" w:rsidRPr="00E07F8C">
        <w:rPr>
          <w:rFonts w:ascii="Verdana" w:hAnsi="Verdana"/>
        </w:rPr>
        <w:t xml:space="preserve"> it is </w:t>
      </w:r>
      <w:r w:rsidR="00E14574">
        <w:rPr>
          <w:rFonts w:ascii="Verdana" w:hAnsi="Verdana"/>
        </w:rPr>
        <w:t>particularly important</w:t>
      </w:r>
      <w:r w:rsidR="00E14574" w:rsidRPr="0026273C">
        <w:rPr>
          <w:rFonts w:ascii="Verdana" w:hAnsi="Verdana"/>
        </w:rPr>
        <w:t xml:space="preserve"> </w:t>
      </w:r>
      <w:r w:rsidR="00A5429A" w:rsidRPr="0026273C">
        <w:rPr>
          <w:rFonts w:ascii="Verdana" w:hAnsi="Verdana"/>
        </w:rPr>
        <w:t xml:space="preserve">that the Department </w:t>
      </w:r>
      <w:r w:rsidR="00E14574">
        <w:rPr>
          <w:rFonts w:ascii="Verdana" w:hAnsi="Verdana"/>
        </w:rPr>
        <w:t xml:space="preserve">urgently </w:t>
      </w:r>
      <w:r w:rsidR="002518CD" w:rsidRPr="0026273C">
        <w:rPr>
          <w:rFonts w:ascii="Verdana" w:hAnsi="Verdana"/>
        </w:rPr>
        <w:t xml:space="preserve">considers </w:t>
      </w:r>
      <w:r w:rsidR="00166F7B" w:rsidRPr="0026273C">
        <w:rPr>
          <w:rFonts w:ascii="Verdana" w:hAnsi="Verdana"/>
        </w:rPr>
        <w:t xml:space="preserve">the impact of its </w:t>
      </w:r>
      <w:r w:rsidR="000A2204">
        <w:rPr>
          <w:rFonts w:ascii="Verdana" w:hAnsi="Verdana"/>
        </w:rPr>
        <w:t>current</w:t>
      </w:r>
      <w:r w:rsidR="000A2204" w:rsidRPr="0026273C">
        <w:rPr>
          <w:rFonts w:ascii="Verdana" w:hAnsi="Verdana"/>
        </w:rPr>
        <w:t xml:space="preserve"> </w:t>
      </w:r>
      <w:r w:rsidR="00166F7B" w:rsidRPr="0026273C">
        <w:rPr>
          <w:rFonts w:ascii="Verdana" w:hAnsi="Verdana"/>
        </w:rPr>
        <w:t>proposals</w:t>
      </w:r>
      <w:r w:rsidR="006754BE" w:rsidRPr="0026273C">
        <w:rPr>
          <w:rFonts w:ascii="Verdana" w:hAnsi="Verdana"/>
        </w:rPr>
        <w:t xml:space="preserve"> on disabled people’s</w:t>
      </w:r>
      <w:r w:rsidR="008605B6" w:rsidRPr="0026273C">
        <w:rPr>
          <w:rFonts w:ascii="Verdana" w:hAnsi="Verdana"/>
        </w:rPr>
        <w:t xml:space="preserve"> human rights</w:t>
      </w:r>
      <w:r w:rsidR="00166F7B" w:rsidRPr="0026273C">
        <w:rPr>
          <w:rFonts w:ascii="Verdana" w:hAnsi="Verdana"/>
        </w:rPr>
        <w:t xml:space="preserve">. </w:t>
      </w:r>
    </w:p>
    <w:p w14:paraId="565830E4" w14:textId="77777777" w:rsidR="00E07F8C" w:rsidRDefault="00E07F8C" w:rsidP="00A361AB">
      <w:pPr>
        <w:pStyle w:val="ListParagraph"/>
        <w:spacing w:line="360" w:lineRule="auto"/>
        <w:ind w:left="709"/>
        <w:rPr>
          <w:rFonts w:ascii="Verdana" w:hAnsi="Verdana"/>
        </w:rPr>
      </w:pPr>
    </w:p>
    <w:p w14:paraId="7F70BBA3" w14:textId="778E589E" w:rsidR="00E07F8C" w:rsidRPr="003E23A2" w:rsidRDefault="00E07F8C" w:rsidP="006464FC">
      <w:pPr>
        <w:pStyle w:val="ListParagraph"/>
        <w:numPr>
          <w:ilvl w:val="1"/>
          <w:numId w:val="28"/>
        </w:numPr>
        <w:spacing w:line="360" w:lineRule="auto"/>
        <w:ind w:left="709"/>
        <w:rPr>
          <w:rFonts w:ascii="Verdana" w:hAnsi="Verdana"/>
        </w:rPr>
      </w:pPr>
      <w:r>
        <w:rPr>
          <w:rFonts w:ascii="Verdana" w:hAnsi="Verdana"/>
          <w:b/>
          <w:bCs/>
        </w:rPr>
        <w:lastRenderedPageBreak/>
        <w:t xml:space="preserve">The NIHRC recommends that the </w:t>
      </w:r>
      <w:r w:rsidR="00E04082">
        <w:rPr>
          <w:rFonts w:ascii="Verdana" w:hAnsi="Verdana"/>
          <w:b/>
          <w:bCs/>
        </w:rPr>
        <w:t xml:space="preserve">Department for Work and Pensions produces a human rights impact assessment in respect of the measures set out in its Pathways to Work </w:t>
      </w:r>
      <w:r w:rsidR="004A4EAF">
        <w:rPr>
          <w:rFonts w:ascii="Verdana" w:hAnsi="Verdana"/>
          <w:b/>
          <w:bCs/>
        </w:rPr>
        <w:t>G</w:t>
      </w:r>
      <w:r w:rsidR="00E04082">
        <w:rPr>
          <w:rFonts w:ascii="Verdana" w:hAnsi="Verdana"/>
          <w:b/>
          <w:bCs/>
        </w:rPr>
        <w:t xml:space="preserve">reen </w:t>
      </w:r>
      <w:r w:rsidR="004A4EAF">
        <w:rPr>
          <w:rFonts w:ascii="Verdana" w:hAnsi="Verdana"/>
          <w:b/>
          <w:bCs/>
        </w:rPr>
        <w:t>P</w:t>
      </w:r>
      <w:r w:rsidR="00E04082">
        <w:rPr>
          <w:rFonts w:ascii="Verdana" w:hAnsi="Verdana"/>
          <w:b/>
          <w:bCs/>
        </w:rPr>
        <w:t>aper</w:t>
      </w:r>
      <w:r w:rsidR="00E71645">
        <w:rPr>
          <w:rFonts w:ascii="Verdana" w:hAnsi="Verdana"/>
          <w:b/>
          <w:bCs/>
        </w:rPr>
        <w:t xml:space="preserve">. This assessment should consider the full range of human rights instruments to which the UK Government is party. The NIHRC further recommends that this human rights impact assessment is produced in close consultation with the </w:t>
      </w:r>
      <w:r w:rsidR="000C35D0">
        <w:rPr>
          <w:rFonts w:ascii="Verdana" w:hAnsi="Verdana"/>
          <w:b/>
          <w:bCs/>
        </w:rPr>
        <w:t xml:space="preserve">NI Executive </w:t>
      </w:r>
      <w:r w:rsidR="00E71645">
        <w:rPr>
          <w:rFonts w:ascii="Verdana" w:hAnsi="Verdana"/>
          <w:b/>
          <w:bCs/>
        </w:rPr>
        <w:t xml:space="preserve">and takes account </w:t>
      </w:r>
      <w:r w:rsidR="000C35D0">
        <w:rPr>
          <w:rFonts w:ascii="Verdana" w:hAnsi="Verdana"/>
          <w:b/>
          <w:bCs/>
        </w:rPr>
        <w:t>of the impact o</w:t>
      </w:r>
      <w:r w:rsidR="004472A7">
        <w:rPr>
          <w:rFonts w:ascii="Verdana" w:hAnsi="Verdana"/>
          <w:b/>
          <w:bCs/>
        </w:rPr>
        <w:t>n</w:t>
      </w:r>
      <w:r w:rsidR="000C35D0">
        <w:rPr>
          <w:rFonts w:ascii="Verdana" w:hAnsi="Verdana"/>
          <w:b/>
          <w:bCs/>
        </w:rPr>
        <w:t xml:space="preserve"> the human rights of people living in NI.</w:t>
      </w:r>
    </w:p>
    <w:p w14:paraId="57766F3B" w14:textId="77777777" w:rsidR="003E23A2" w:rsidRDefault="003E23A2" w:rsidP="00A361AB">
      <w:pPr>
        <w:spacing w:line="360" w:lineRule="auto"/>
        <w:rPr>
          <w:rFonts w:ascii="Verdana" w:hAnsi="Verdana"/>
        </w:rPr>
      </w:pPr>
    </w:p>
    <w:p w14:paraId="1881F9DD" w14:textId="3E1150D6" w:rsidR="00474680" w:rsidRDefault="00BA32BF" w:rsidP="006464FC">
      <w:pPr>
        <w:pStyle w:val="Heading1"/>
        <w:numPr>
          <w:ilvl w:val="0"/>
          <w:numId w:val="28"/>
        </w:numPr>
        <w:spacing w:line="360" w:lineRule="auto"/>
      </w:pPr>
      <w:bookmarkStart w:id="14" w:name="_Toc201648665"/>
      <w:r>
        <w:t>Impact of Proposals</w:t>
      </w:r>
      <w:bookmarkEnd w:id="14"/>
    </w:p>
    <w:p w14:paraId="565DAB49" w14:textId="77777777" w:rsidR="006A28AC" w:rsidRDefault="006A28AC" w:rsidP="00A361AB">
      <w:pPr>
        <w:spacing w:line="360" w:lineRule="auto"/>
      </w:pPr>
    </w:p>
    <w:p w14:paraId="06404334" w14:textId="374317FF" w:rsidR="006A28AC" w:rsidRPr="006A28AC" w:rsidRDefault="00EF3784" w:rsidP="00A361AB">
      <w:pPr>
        <w:pStyle w:val="Heading2"/>
        <w:spacing w:line="360" w:lineRule="auto"/>
      </w:pPr>
      <w:bookmarkStart w:id="15" w:name="_Toc201648666"/>
      <w:r>
        <w:t>C</w:t>
      </w:r>
      <w:r w:rsidR="007E654D">
        <w:t>hanges</w:t>
      </w:r>
      <w:r>
        <w:t xml:space="preserve"> to </w:t>
      </w:r>
      <w:r w:rsidR="0082328F">
        <w:t xml:space="preserve">the Personal Independence Payment </w:t>
      </w:r>
      <w:r w:rsidR="004B4307">
        <w:t xml:space="preserve">and the </w:t>
      </w:r>
      <w:r w:rsidR="0077466F">
        <w:t>Health Element of Universal Credit</w:t>
      </w:r>
      <w:bookmarkEnd w:id="15"/>
    </w:p>
    <w:p w14:paraId="29EF2BF7" w14:textId="3F779C48" w:rsidR="003E23A2" w:rsidRPr="00B46AC0" w:rsidRDefault="006E15AB" w:rsidP="006464FC">
      <w:pPr>
        <w:pStyle w:val="ListParagraph"/>
        <w:numPr>
          <w:ilvl w:val="1"/>
          <w:numId w:val="28"/>
        </w:numPr>
        <w:spacing w:line="360" w:lineRule="auto"/>
        <w:ind w:left="709"/>
        <w:rPr>
          <w:rFonts w:ascii="Verdana" w:hAnsi="Verdana"/>
        </w:rPr>
      </w:pPr>
      <w:r w:rsidRPr="00B46AC0">
        <w:rPr>
          <w:rFonts w:ascii="Verdana" w:hAnsi="Verdana"/>
        </w:rPr>
        <w:t xml:space="preserve">The </w:t>
      </w:r>
      <w:r w:rsidR="005251EA" w:rsidRPr="00B46AC0">
        <w:rPr>
          <w:rFonts w:ascii="Verdana" w:hAnsi="Verdana"/>
        </w:rPr>
        <w:t>Department for Work and Pensions’</w:t>
      </w:r>
      <w:r w:rsidRPr="00B46AC0">
        <w:rPr>
          <w:rFonts w:ascii="Verdana" w:hAnsi="Verdana"/>
        </w:rPr>
        <w:t xml:space="preserve"> </w:t>
      </w:r>
      <w:r w:rsidR="00F77171">
        <w:rPr>
          <w:rFonts w:ascii="Verdana" w:hAnsi="Verdana"/>
        </w:rPr>
        <w:t>G</w:t>
      </w:r>
      <w:r w:rsidRPr="00B46AC0">
        <w:rPr>
          <w:rFonts w:ascii="Verdana" w:hAnsi="Verdana"/>
        </w:rPr>
        <w:t xml:space="preserve">reen </w:t>
      </w:r>
      <w:r w:rsidR="00F77171">
        <w:rPr>
          <w:rFonts w:ascii="Verdana" w:hAnsi="Verdana"/>
        </w:rPr>
        <w:t>P</w:t>
      </w:r>
      <w:r w:rsidRPr="00B46AC0">
        <w:rPr>
          <w:rFonts w:ascii="Verdana" w:hAnsi="Verdana"/>
        </w:rPr>
        <w:t xml:space="preserve">aper </w:t>
      </w:r>
      <w:r w:rsidR="00C20336">
        <w:rPr>
          <w:rFonts w:ascii="Verdana" w:hAnsi="Verdana"/>
        </w:rPr>
        <w:t>outlines</w:t>
      </w:r>
      <w:r w:rsidR="00F97B04">
        <w:rPr>
          <w:rFonts w:ascii="Verdana" w:hAnsi="Verdana"/>
        </w:rPr>
        <w:t xml:space="preserve"> </w:t>
      </w:r>
      <w:r w:rsidR="00E14574" w:rsidRPr="00B46AC0">
        <w:rPr>
          <w:rFonts w:ascii="Verdana" w:hAnsi="Verdana"/>
        </w:rPr>
        <w:t>several</w:t>
      </w:r>
      <w:r w:rsidR="005251EA" w:rsidRPr="00B46AC0">
        <w:rPr>
          <w:rFonts w:ascii="Verdana" w:hAnsi="Verdana"/>
        </w:rPr>
        <w:t xml:space="preserve"> </w:t>
      </w:r>
      <w:r w:rsidR="00A00A2C" w:rsidRPr="00B46AC0">
        <w:rPr>
          <w:rFonts w:ascii="Verdana" w:hAnsi="Verdana"/>
        </w:rPr>
        <w:t xml:space="preserve">changes to the Personal Independence Payment. </w:t>
      </w:r>
      <w:r w:rsidR="00F32D6F" w:rsidRPr="00B46AC0">
        <w:rPr>
          <w:rFonts w:ascii="Verdana" w:hAnsi="Verdana"/>
        </w:rPr>
        <w:t xml:space="preserve">Currently, an individual must score </w:t>
      </w:r>
      <w:r w:rsidR="004609A4" w:rsidRPr="00B46AC0">
        <w:rPr>
          <w:rFonts w:ascii="Verdana" w:hAnsi="Verdana"/>
        </w:rPr>
        <w:t xml:space="preserve">eight points in a functional capabilities assessment to receive the daily living component of the personal independence payment. </w:t>
      </w:r>
      <w:r w:rsidR="00A00A2C" w:rsidRPr="00B46AC0">
        <w:rPr>
          <w:rFonts w:ascii="Verdana" w:hAnsi="Verdana"/>
        </w:rPr>
        <w:t xml:space="preserve">The </w:t>
      </w:r>
      <w:r w:rsidR="00DB4219">
        <w:rPr>
          <w:rFonts w:ascii="Verdana" w:hAnsi="Verdana"/>
        </w:rPr>
        <w:t>G</w:t>
      </w:r>
      <w:r w:rsidR="00A00A2C" w:rsidRPr="00B46AC0">
        <w:rPr>
          <w:rFonts w:ascii="Verdana" w:hAnsi="Verdana"/>
        </w:rPr>
        <w:t xml:space="preserve">reen </w:t>
      </w:r>
      <w:r w:rsidR="00DB4219">
        <w:rPr>
          <w:rFonts w:ascii="Verdana" w:hAnsi="Verdana"/>
        </w:rPr>
        <w:t>P</w:t>
      </w:r>
      <w:r w:rsidR="00A00A2C" w:rsidRPr="00B46AC0">
        <w:rPr>
          <w:rFonts w:ascii="Verdana" w:hAnsi="Verdana"/>
        </w:rPr>
        <w:t xml:space="preserve">aper </w:t>
      </w:r>
      <w:r w:rsidR="00B46AC0">
        <w:rPr>
          <w:rFonts w:ascii="Verdana" w:hAnsi="Verdana"/>
        </w:rPr>
        <w:t>plans</w:t>
      </w:r>
      <w:r w:rsidR="00A00A2C" w:rsidRPr="00B46AC0">
        <w:rPr>
          <w:rFonts w:ascii="Verdana" w:hAnsi="Verdana"/>
        </w:rPr>
        <w:t xml:space="preserve"> to </w:t>
      </w:r>
      <w:r w:rsidR="00284FD8" w:rsidRPr="00B46AC0">
        <w:rPr>
          <w:rFonts w:ascii="Verdana" w:hAnsi="Verdana"/>
        </w:rPr>
        <w:t xml:space="preserve">introduce new eligibility requirements to </w:t>
      </w:r>
      <w:r w:rsidR="00292DEC" w:rsidRPr="00B46AC0">
        <w:rPr>
          <w:rFonts w:ascii="Verdana" w:hAnsi="Verdana"/>
        </w:rPr>
        <w:t>ensure that “</w:t>
      </w:r>
      <w:r w:rsidR="008E576D" w:rsidRPr="00B46AC0">
        <w:rPr>
          <w:rFonts w:ascii="Verdana" w:hAnsi="Verdana"/>
        </w:rPr>
        <w:t>only those who score a minimum of four points in at least one daily living activity will be eligible for the daily living component of PIP. This requirement will need to be met in addition to the existing PIP eligibility criteria”.</w:t>
      </w:r>
      <w:r w:rsidR="008E576D">
        <w:rPr>
          <w:rStyle w:val="FootnoteReference"/>
          <w:rFonts w:ascii="Verdana" w:hAnsi="Verdana"/>
        </w:rPr>
        <w:footnoteReference w:id="94"/>
      </w:r>
      <w:r w:rsidR="001477E8" w:rsidRPr="00B46AC0">
        <w:rPr>
          <w:rFonts w:ascii="Verdana" w:hAnsi="Verdana"/>
        </w:rPr>
        <w:t xml:space="preserve"> This means that individuals who score three or less on the</w:t>
      </w:r>
      <w:r w:rsidR="00280776" w:rsidRPr="00B46AC0">
        <w:rPr>
          <w:rFonts w:ascii="Verdana" w:hAnsi="Verdana"/>
        </w:rPr>
        <w:t xml:space="preserve"> daily living activities will be </w:t>
      </w:r>
      <w:r w:rsidR="00887EF0">
        <w:rPr>
          <w:rFonts w:ascii="Verdana" w:hAnsi="Verdana"/>
        </w:rPr>
        <w:t>in</w:t>
      </w:r>
      <w:r w:rsidR="00280776" w:rsidRPr="00B46AC0">
        <w:rPr>
          <w:rFonts w:ascii="Verdana" w:hAnsi="Verdana"/>
        </w:rPr>
        <w:t xml:space="preserve">eligible for the </w:t>
      </w:r>
      <w:r w:rsidR="004A7C3B">
        <w:rPr>
          <w:rFonts w:ascii="Verdana" w:hAnsi="Verdana"/>
        </w:rPr>
        <w:t xml:space="preserve">daily </w:t>
      </w:r>
      <w:r w:rsidR="00280776" w:rsidRPr="00B46AC0">
        <w:rPr>
          <w:rFonts w:ascii="Verdana" w:hAnsi="Verdana"/>
        </w:rPr>
        <w:t>living component of the personal independence payment</w:t>
      </w:r>
      <w:r w:rsidR="0019395F" w:rsidRPr="00B46AC0">
        <w:rPr>
          <w:rFonts w:ascii="Verdana" w:hAnsi="Verdana"/>
        </w:rPr>
        <w:t>.</w:t>
      </w:r>
      <w:r w:rsidR="00A82EF4">
        <w:rPr>
          <w:rStyle w:val="FootnoteReference"/>
          <w:rFonts w:ascii="Verdana" w:hAnsi="Verdana"/>
        </w:rPr>
        <w:footnoteReference w:id="95"/>
      </w:r>
      <w:r w:rsidR="00FE0945">
        <w:rPr>
          <w:rFonts w:ascii="Verdana" w:hAnsi="Verdana"/>
        </w:rPr>
        <w:t xml:space="preserve"> </w:t>
      </w:r>
      <w:r w:rsidR="0075410D">
        <w:rPr>
          <w:rFonts w:ascii="Verdana" w:hAnsi="Verdana"/>
        </w:rPr>
        <w:t>Using the 2025-26 rate, individuals who are no longer eligible for the daily living component will lose</w:t>
      </w:r>
      <w:r w:rsidR="00776882">
        <w:rPr>
          <w:rFonts w:ascii="Verdana" w:hAnsi="Verdana"/>
        </w:rPr>
        <w:t xml:space="preserve"> either</w:t>
      </w:r>
      <w:r w:rsidR="0062072D">
        <w:rPr>
          <w:rFonts w:ascii="Verdana" w:hAnsi="Verdana"/>
        </w:rPr>
        <w:t xml:space="preserve"> £73.90</w:t>
      </w:r>
      <w:r w:rsidR="001A185B">
        <w:rPr>
          <w:rFonts w:ascii="Verdana" w:hAnsi="Verdana"/>
        </w:rPr>
        <w:t xml:space="preserve"> </w:t>
      </w:r>
      <w:r w:rsidR="008A162F">
        <w:rPr>
          <w:rFonts w:ascii="Verdana" w:hAnsi="Verdana"/>
        </w:rPr>
        <w:t xml:space="preserve">or </w:t>
      </w:r>
      <w:r w:rsidR="0062072D">
        <w:rPr>
          <w:rFonts w:ascii="Verdana" w:hAnsi="Verdana"/>
        </w:rPr>
        <w:t>£110.40</w:t>
      </w:r>
      <w:r w:rsidR="001A185B">
        <w:rPr>
          <w:rFonts w:ascii="Verdana" w:hAnsi="Verdana"/>
        </w:rPr>
        <w:t xml:space="preserve"> a week.</w:t>
      </w:r>
      <w:r w:rsidR="001A185B">
        <w:rPr>
          <w:rStyle w:val="FootnoteReference"/>
          <w:rFonts w:ascii="Verdana" w:hAnsi="Verdana"/>
        </w:rPr>
        <w:footnoteReference w:id="96"/>
      </w:r>
    </w:p>
    <w:p w14:paraId="3D8D9ADA" w14:textId="77777777" w:rsidR="002305AE" w:rsidRDefault="002305AE" w:rsidP="00A361AB">
      <w:pPr>
        <w:pStyle w:val="ListParagraph"/>
        <w:spacing w:line="360" w:lineRule="auto"/>
        <w:ind w:left="709"/>
        <w:rPr>
          <w:rFonts w:ascii="Verdana" w:hAnsi="Verdana"/>
        </w:rPr>
      </w:pPr>
    </w:p>
    <w:p w14:paraId="54F6CF2E" w14:textId="19A969BE" w:rsidR="002305AE" w:rsidRDefault="002305AE" w:rsidP="006464FC">
      <w:pPr>
        <w:pStyle w:val="ListParagraph"/>
        <w:numPr>
          <w:ilvl w:val="1"/>
          <w:numId w:val="28"/>
        </w:numPr>
        <w:spacing w:line="360" w:lineRule="auto"/>
        <w:ind w:left="709"/>
        <w:rPr>
          <w:rFonts w:ascii="Verdana" w:hAnsi="Verdana"/>
        </w:rPr>
      </w:pPr>
      <w:r>
        <w:rPr>
          <w:rFonts w:ascii="Verdana" w:hAnsi="Verdana"/>
        </w:rPr>
        <w:lastRenderedPageBreak/>
        <w:t xml:space="preserve">The </w:t>
      </w:r>
      <w:r w:rsidR="004632FA">
        <w:rPr>
          <w:rFonts w:ascii="Verdana" w:hAnsi="Verdana"/>
        </w:rPr>
        <w:t xml:space="preserve">Department for Work and Pensions has </w:t>
      </w:r>
      <w:r w:rsidR="00284C8E">
        <w:rPr>
          <w:rFonts w:ascii="Verdana" w:hAnsi="Verdana"/>
        </w:rPr>
        <w:t>stated</w:t>
      </w:r>
      <w:r w:rsidR="004632FA">
        <w:rPr>
          <w:rFonts w:ascii="Verdana" w:hAnsi="Verdana"/>
        </w:rPr>
        <w:t xml:space="preserve"> that it </w:t>
      </w:r>
      <w:r w:rsidR="00284C8E">
        <w:rPr>
          <w:rFonts w:ascii="Verdana" w:hAnsi="Verdana"/>
        </w:rPr>
        <w:t>is</w:t>
      </w:r>
      <w:r w:rsidR="004F3D89">
        <w:rPr>
          <w:rFonts w:ascii="Verdana" w:hAnsi="Verdana"/>
        </w:rPr>
        <w:t xml:space="preserve"> only </w:t>
      </w:r>
      <w:r w:rsidR="00C44CA8" w:rsidRPr="00C44CA8">
        <w:rPr>
          <w:rFonts w:ascii="Verdana" w:hAnsi="Verdana"/>
        </w:rPr>
        <w:t>consulting on whether those who lose entitlement need any support and</w:t>
      </w:r>
      <w:r w:rsidR="00C44CA8">
        <w:rPr>
          <w:rFonts w:ascii="Verdana" w:hAnsi="Verdana"/>
        </w:rPr>
        <w:t xml:space="preserve"> what that support </w:t>
      </w:r>
      <w:r w:rsidR="7C7592A4">
        <w:rPr>
          <w:rFonts w:ascii="Verdana" w:hAnsi="Verdana"/>
        </w:rPr>
        <w:t>should be</w:t>
      </w:r>
      <w:r w:rsidR="00C44CA8">
        <w:rPr>
          <w:rFonts w:ascii="Verdana" w:hAnsi="Verdana"/>
        </w:rPr>
        <w:t>,</w:t>
      </w:r>
      <w:r w:rsidR="00042422">
        <w:rPr>
          <w:rFonts w:ascii="Verdana" w:hAnsi="Verdana"/>
        </w:rPr>
        <w:t xml:space="preserve"> not </w:t>
      </w:r>
      <w:r w:rsidR="00E14574">
        <w:rPr>
          <w:rFonts w:ascii="Verdana" w:hAnsi="Verdana"/>
        </w:rPr>
        <w:t xml:space="preserve">on </w:t>
      </w:r>
      <w:r w:rsidR="00042422">
        <w:rPr>
          <w:rFonts w:ascii="Verdana" w:hAnsi="Verdana"/>
        </w:rPr>
        <w:t>the proposal itself.</w:t>
      </w:r>
      <w:r w:rsidR="00042422">
        <w:rPr>
          <w:rStyle w:val="FootnoteReference"/>
          <w:rFonts w:ascii="Verdana" w:hAnsi="Verdana"/>
        </w:rPr>
        <w:footnoteReference w:id="97"/>
      </w:r>
    </w:p>
    <w:p w14:paraId="4E9146C1" w14:textId="77777777" w:rsidR="00060355" w:rsidRPr="00060355" w:rsidRDefault="00060355" w:rsidP="00A361AB">
      <w:pPr>
        <w:pStyle w:val="ListParagraph"/>
        <w:spacing w:line="360" w:lineRule="auto"/>
        <w:rPr>
          <w:rFonts w:ascii="Verdana" w:hAnsi="Verdana"/>
        </w:rPr>
      </w:pPr>
    </w:p>
    <w:p w14:paraId="2EEBEC5A" w14:textId="3D6852AE" w:rsidR="0039486F" w:rsidRDefault="00F1228D" w:rsidP="006464FC">
      <w:pPr>
        <w:pStyle w:val="ListParagraph"/>
        <w:numPr>
          <w:ilvl w:val="1"/>
          <w:numId w:val="28"/>
        </w:numPr>
        <w:spacing w:line="360" w:lineRule="auto"/>
        <w:ind w:left="709"/>
        <w:rPr>
          <w:rFonts w:ascii="Verdana" w:hAnsi="Verdana"/>
        </w:rPr>
      </w:pPr>
      <w:r>
        <w:rPr>
          <w:rFonts w:ascii="Verdana" w:hAnsi="Verdana"/>
        </w:rPr>
        <w:t xml:space="preserve">For people already in receipt of the health element of Universal Credit, the </w:t>
      </w:r>
      <w:r w:rsidR="0047131B">
        <w:rPr>
          <w:rFonts w:ascii="Verdana" w:hAnsi="Verdana"/>
        </w:rPr>
        <w:t>G</w:t>
      </w:r>
      <w:r>
        <w:rPr>
          <w:rFonts w:ascii="Verdana" w:hAnsi="Verdana"/>
        </w:rPr>
        <w:t xml:space="preserve">reen </w:t>
      </w:r>
      <w:r w:rsidR="0047131B">
        <w:rPr>
          <w:rFonts w:ascii="Verdana" w:hAnsi="Verdana"/>
        </w:rPr>
        <w:t>P</w:t>
      </w:r>
      <w:r>
        <w:rPr>
          <w:rFonts w:ascii="Verdana" w:hAnsi="Verdana"/>
        </w:rPr>
        <w:t xml:space="preserve">aper stipulates that this </w:t>
      </w:r>
      <w:r w:rsidR="6571597E">
        <w:rPr>
          <w:rFonts w:ascii="Verdana" w:hAnsi="Verdana"/>
        </w:rPr>
        <w:t xml:space="preserve">entitlement </w:t>
      </w:r>
      <w:r>
        <w:rPr>
          <w:rFonts w:ascii="Verdana" w:hAnsi="Verdana"/>
        </w:rPr>
        <w:t>will be frozen until 202</w:t>
      </w:r>
      <w:r w:rsidR="00F91DAB">
        <w:rPr>
          <w:rFonts w:ascii="Verdana" w:hAnsi="Verdana"/>
        </w:rPr>
        <w:t>9/30 at £97 per week, meaning that it will not keep pace with inflation.</w:t>
      </w:r>
      <w:r w:rsidR="00F91DAB">
        <w:rPr>
          <w:rStyle w:val="FootnoteReference"/>
          <w:rFonts w:ascii="Verdana" w:hAnsi="Verdana"/>
        </w:rPr>
        <w:footnoteReference w:id="98"/>
      </w:r>
      <w:r w:rsidR="00F91DAB">
        <w:rPr>
          <w:rFonts w:ascii="Verdana" w:hAnsi="Verdana"/>
        </w:rPr>
        <w:t xml:space="preserve"> The Department has identified that </w:t>
      </w:r>
      <w:r w:rsidR="0035073F">
        <w:rPr>
          <w:rFonts w:ascii="Verdana" w:hAnsi="Verdana"/>
        </w:rPr>
        <w:t>this cohort will receive an increased universal credit entitlement in cash terms which may help to offset this.</w:t>
      </w:r>
      <w:r w:rsidR="000615D5">
        <w:rPr>
          <w:rStyle w:val="FootnoteReference"/>
          <w:rFonts w:ascii="Verdana" w:hAnsi="Verdana"/>
        </w:rPr>
        <w:footnoteReference w:id="99"/>
      </w:r>
      <w:r w:rsidR="000615D5">
        <w:rPr>
          <w:rFonts w:ascii="Verdana" w:hAnsi="Verdana"/>
        </w:rPr>
        <w:t xml:space="preserve"> However, for new claimants</w:t>
      </w:r>
      <w:r w:rsidR="00130D4F">
        <w:rPr>
          <w:rFonts w:ascii="Verdana" w:hAnsi="Verdana"/>
        </w:rPr>
        <w:t xml:space="preserve">, </w:t>
      </w:r>
      <w:r w:rsidR="000615D5">
        <w:rPr>
          <w:rFonts w:ascii="Verdana" w:hAnsi="Verdana"/>
        </w:rPr>
        <w:t>the health element of universal credit</w:t>
      </w:r>
      <w:r w:rsidR="00130D4F">
        <w:rPr>
          <w:rFonts w:ascii="Verdana" w:hAnsi="Verdana"/>
        </w:rPr>
        <w:t xml:space="preserve"> will be reduced by £47 per week</w:t>
      </w:r>
      <w:r w:rsidR="000874A6">
        <w:rPr>
          <w:rFonts w:ascii="Verdana" w:hAnsi="Verdana"/>
        </w:rPr>
        <w:t>, moving from £97 per week in 2024/25 to £50 per week in 2027/26.</w:t>
      </w:r>
      <w:r w:rsidR="00D2782C">
        <w:rPr>
          <w:rFonts w:ascii="Verdana" w:hAnsi="Verdana"/>
        </w:rPr>
        <w:t xml:space="preserve"> The </w:t>
      </w:r>
      <w:r w:rsidR="003B1D06">
        <w:rPr>
          <w:rFonts w:ascii="Verdana" w:hAnsi="Verdana"/>
        </w:rPr>
        <w:t>Department note</w:t>
      </w:r>
      <w:r w:rsidR="00334005">
        <w:rPr>
          <w:rFonts w:ascii="Verdana" w:hAnsi="Verdana"/>
        </w:rPr>
        <w:t>s</w:t>
      </w:r>
      <w:r w:rsidR="003B1D06">
        <w:rPr>
          <w:rFonts w:ascii="Verdana" w:hAnsi="Verdana"/>
        </w:rPr>
        <w:t xml:space="preserve"> that for </w:t>
      </w:r>
      <w:r w:rsidR="00DB57E0">
        <w:rPr>
          <w:rFonts w:ascii="Verdana" w:hAnsi="Verdana"/>
        </w:rPr>
        <w:t xml:space="preserve">new claimants, the health element will be combined with “much more active engagement and support so that </w:t>
      </w:r>
      <w:r w:rsidR="00E70B1A">
        <w:rPr>
          <w:rFonts w:ascii="Verdana" w:hAnsi="Verdana"/>
        </w:rPr>
        <w:t>entry onto the universal credit health element is not a one-way street”.</w:t>
      </w:r>
      <w:r w:rsidR="00E70B1A">
        <w:rPr>
          <w:rStyle w:val="FootnoteReference"/>
          <w:rFonts w:ascii="Verdana" w:hAnsi="Verdana"/>
        </w:rPr>
        <w:footnoteReference w:id="100"/>
      </w:r>
      <w:r w:rsidR="008D3E20">
        <w:rPr>
          <w:rFonts w:ascii="Verdana" w:hAnsi="Verdana"/>
        </w:rPr>
        <w:t xml:space="preserve"> </w:t>
      </w:r>
    </w:p>
    <w:p w14:paraId="5FB0B8FE" w14:textId="77777777" w:rsidR="00D95F70" w:rsidRPr="00D95F70" w:rsidRDefault="00D95F70" w:rsidP="00A361AB">
      <w:pPr>
        <w:pStyle w:val="ListParagraph"/>
        <w:spacing w:line="360" w:lineRule="auto"/>
        <w:rPr>
          <w:rFonts w:ascii="Verdana" w:hAnsi="Verdana"/>
        </w:rPr>
      </w:pPr>
    </w:p>
    <w:p w14:paraId="0EB503E2" w14:textId="0F2FBC70" w:rsidR="00D95F70" w:rsidRDefault="00D95F70" w:rsidP="006464FC">
      <w:pPr>
        <w:pStyle w:val="ListParagraph"/>
        <w:numPr>
          <w:ilvl w:val="1"/>
          <w:numId w:val="28"/>
        </w:numPr>
        <w:spacing w:line="360" w:lineRule="auto"/>
        <w:ind w:left="709"/>
        <w:rPr>
          <w:rFonts w:ascii="Verdana" w:hAnsi="Verdana"/>
        </w:rPr>
      </w:pPr>
      <w:r>
        <w:rPr>
          <w:rFonts w:ascii="Verdana" w:hAnsi="Verdana"/>
        </w:rPr>
        <w:t xml:space="preserve">The Department for Work and </w:t>
      </w:r>
      <w:proofErr w:type="gramStart"/>
      <w:r>
        <w:rPr>
          <w:rFonts w:ascii="Verdana" w:hAnsi="Verdana"/>
        </w:rPr>
        <w:t>Pensions’</w:t>
      </w:r>
      <w:proofErr w:type="gramEnd"/>
      <w:r>
        <w:rPr>
          <w:rFonts w:ascii="Verdana" w:hAnsi="Verdana"/>
        </w:rPr>
        <w:t xml:space="preserve"> </w:t>
      </w:r>
      <w:r w:rsidR="00E14574">
        <w:rPr>
          <w:rFonts w:ascii="Verdana" w:hAnsi="Verdana"/>
        </w:rPr>
        <w:t xml:space="preserve">stated </w:t>
      </w:r>
      <w:r w:rsidR="00134032">
        <w:rPr>
          <w:rFonts w:ascii="Verdana" w:hAnsi="Verdana"/>
        </w:rPr>
        <w:t xml:space="preserve">rationale </w:t>
      </w:r>
      <w:r w:rsidR="00E14574">
        <w:rPr>
          <w:rFonts w:ascii="Verdana" w:hAnsi="Verdana"/>
        </w:rPr>
        <w:t>is that</w:t>
      </w:r>
      <w:r>
        <w:rPr>
          <w:rFonts w:ascii="Verdana" w:hAnsi="Verdana"/>
        </w:rPr>
        <w:t xml:space="preserve"> </w:t>
      </w:r>
      <w:r w:rsidR="00E14574">
        <w:rPr>
          <w:rFonts w:ascii="Verdana" w:hAnsi="Verdana"/>
        </w:rPr>
        <w:t xml:space="preserve">society must move from </w:t>
      </w:r>
      <w:r>
        <w:rPr>
          <w:rFonts w:ascii="Verdana" w:hAnsi="Verdana"/>
        </w:rPr>
        <w:t xml:space="preserve">high dependency on benefits to </w:t>
      </w:r>
      <w:r w:rsidR="00E14574">
        <w:rPr>
          <w:rFonts w:ascii="Verdana" w:hAnsi="Verdana"/>
        </w:rPr>
        <w:t xml:space="preserve">income received as a member of the </w:t>
      </w:r>
      <w:r>
        <w:rPr>
          <w:rFonts w:ascii="Verdana" w:hAnsi="Verdana"/>
        </w:rPr>
        <w:t>workforce.</w:t>
      </w:r>
      <w:r w:rsidR="00914BFD">
        <w:rPr>
          <w:rStyle w:val="FootnoteReference"/>
          <w:rFonts w:ascii="Verdana" w:hAnsi="Verdana"/>
        </w:rPr>
        <w:footnoteReference w:id="101"/>
      </w:r>
      <w:r>
        <w:rPr>
          <w:rFonts w:ascii="Verdana" w:hAnsi="Verdana"/>
        </w:rPr>
        <w:t xml:space="preserve"> </w:t>
      </w:r>
      <w:r w:rsidR="33110ED7">
        <w:rPr>
          <w:rFonts w:ascii="Verdana" w:hAnsi="Verdana"/>
        </w:rPr>
        <w:t xml:space="preserve">The paper </w:t>
      </w:r>
      <w:r>
        <w:rPr>
          <w:rFonts w:ascii="Verdana" w:hAnsi="Verdana"/>
        </w:rPr>
        <w:t xml:space="preserve">does not </w:t>
      </w:r>
      <w:r w:rsidR="00E14574">
        <w:rPr>
          <w:rFonts w:ascii="Verdana" w:hAnsi="Verdana"/>
        </w:rPr>
        <w:t xml:space="preserve">however </w:t>
      </w:r>
      <w:r>
        <w:rPr>
          <w:rFonts w:ascii="Verdana" w:hAnsi="Verdana"/>
        </w:rPr>
        <w:t xml:space="preserve">consider the systemic barriers that </w:t>
      </w:r>
      <w:r w:rsidR="634C071A">
        <w:rPr>
          <w:rFonts w:ascii="Verdana" w:hAnsi="Verdana"/>
        </w:rPr>
        <w:t>restrict</w:t>
      </w:r>
      <w:r>
        <w:rPr>
          <w:rFonts w:ascii="Verdana" w:hAnsi="Verdana"/>
        </w:rPr>
        <w:t xml:space="preserve"> disabled people</w:t>
      </w:r>
      <w:r w:rsidR="00D81071">
        <w:rPr>
          <w:rFonts w:ascii="Verdana" w:hAnsi="Verdana"/>
        </w:rPr>
        <w:t>’</w:t>
      </w:r>
      <w:r w:rsidR="5C978958">
        <w:rPr>
          <w:rFonts w:ascii="Verdana" w:hAnsi="Verdana"/>
        </w:rPr>
        <w:t>s</w:t>
      </w:r>
      <w:r>
        <w:rPr>
          <w:rFonts w:ascii="Verdana" w:hAnsi="Verdana"/>
        </w:rPr>
        <w:t xml:space="preserve"> </w:t>
      </w:r>
      <w:r w:rsidR="592D71E2">
        <w:rPr>
          <w:rFonts w:ascii="Verdana" w:hAnsi="Verdana"/>
        </w:rPr>
        <w:t>access to meaningful employment</w:t>
      </w:r>
      <w:r>
        <w:rPr>
          <w:rFonts w:ascii="Verdana" w:hAnsi="Verdana"/>
        </w:rPr>
        <w:t xml:space="preserve">. </w:t>
      </w:r>
    </w:p>
    <w:p w14:paraId="00F7DF40" w14:textId="77777777" w:rsidR="007C0B39" w:rsidRPr="007C0B39" w:rsidRDefault="007C0B39" w:rsidP="007C0B39">
      <w:pPr>
        <w:pStyle w:val="ListParagraph"/>
        <w:rPr>
          <w:rFonts w:ascii="Verdana" w:hAnsi="Verdana"/>
        </w:rPr>
      </w:pPr>
    </w:p>
    <w:p w14:paraId="142B6D75" w14:textId="7EDE39FC" w:rsidR="00D47E90" w:rsidRDefault="00D47E90" w:rsidP="006464FC">
      <w:pPr>
        <w:pStyle w:val="ListParagraph"/>
        <w:numPr>
          <w:ilvl w:val="1"/>
          <w:numId w:val="28"/>
        </w:numPr>
        <w:spacing w:line="360" w:lineRule="auto"/>
        <w:ind w:left="709"/>
        <w:rPr>
          <w:rFonts w:ascii="Verdana" w:hAnsi="Verdana"/>
        </w:rPr>
      </w:pPr>
      <w:r>
        <w:rPr>
          <w:rFonts w:ascii="Verdana" w:hAnsi="Verdana"/>
        </w:rPr>
        <w:t xml:space="preserve">In 2019, the NIHRC published research </w:t>
      </w:r>
      <w:r w:rsidR="00E14574">
        <w:rPr>
          <w:rFonts w:ascii="Verdana" w:hAnsi="Verdana"/>
        </w:rPr>
        <w:t xml:space="preserve">which demonstrated </w:t>
      </w:r>
      <w:r>
        <w:rPr>
          <w:rFonts w:ascii="Verdana" w:hAnsi="Verdana"/>
        </w:rPr>
        <w:t xml:space="preserve">that disabled people were disproportionately </w:t>
      </w:r>
      <w:r w:rsidR="00E14574">
        <w:rPr>
          <w:rFonts w:ascii="Verdana" w:hAnsi="Verdana"/>
        </w:rPr>
        <w:t>affected</w:t>
      </w:r>
      <w:r>
        <w:rPr>
          <w:rFonts w:ascii="Verdana" w:hAnsi="Verdana"/>
        </w:rPr>
        <w:t xml:space="preserve"> by </w:t>
      </w:r>
      <w:r w:rsidR="009E18E4">
        <w:rPr>
          <w:rFonts w:ascii="Verdana" w:hAnsi="Verdana"/>
        </w:rPr>
        <w:t xml:space="preserve">previous </w:t>
      </w:r>
      <w:r>
        <w:rPr>
          <w:rFonts w:ascii="Verdana" w:hAnsi="Verdana"/>
        </w:rPr>
        <w:t>welfare reforms. Households in NI with at least one disabled adult and at least one disabled child experienced an average loss of £1</w:t>
      </w:r>
      <w:r w:rsidR="372D0F8F">
        <w:rPr>
          <w:rFonts w:ascii="Verdana" w:hAnsi="Verdana"/>
        </w:rPr>
        <w:t>,</w:t>
      </w:r>
      <w:r>
        <w:rPr>
          <w:rFonts w:ascii="Verdana" w:hAnsi="Verdana"/>
        </w:rPr>
        <w:t>800 per year</w:t>
      </w:r>
      <w:r w:rsidR="00EB5D3F">
        <w:rPr>
          <w:rFonts w:ascii="Verdana" w:hAnsi="Verdana"/>
        </w:rPr>
        <w:t>,</w:t>
      </w:r>
      <w:r>
        <w:rPr>
          <w:rFonts w:ascii="Verdana" w:hAnsi="Verdana"/>
        </w:rPr>
        <w:t xml:space="preserve"> while households with no disabled adults or </w:t>
      </w:r>
      <w:r w:rsidR="00920311">
        <w:rPr>
          <w:rFonts w:ascii="Verdana" w:hAnsi="Verdana"/>
        </w:rPr>
        <w:t xml:space="preserve">disabled </w:t>
      </w:r>
      <w:r>
        <w:rPr>
          <w:rFonts w:ascii="Verdana" w:hAnsi="Verdana"/>
        </w:rPr>
        <w:t xml:space="preserve">children experienced an average loss of </w:t>
      </w:r>
      <w:r>
        <w:rPr>
          <w:rFonts w:ascii="Verdana" w:hAnsi="Verdana"/>
        </w:rPr>
        <w:lastRenderedPageBreak/>
        <w:t>£50 per year.</w:t>
      </w:r>
      <w:r>
        <w:rPr>
          <w:rStyle w:val="FootnoteReference"/>
          <w:rFonts w:ascii="Verdana" w:hAnsi="Verdana"/>
        </w:rPr>
        <w:footnoteReference w:id="102"/>
      </w:r>
      <w:r>
        <w:rPr>
          <w:rFonts w:ascii="Verdana" w:hAnsi="Verdana"/>
        </w:rPr>
        <w:t xml:space="preserve"> However, since the Covid-19 pandemic, research has identified that disabled claimants in the UK have found their financial situation worsen by 78 per cent, with 67 per cent of respondents identifying that they are struggling to eat a balanced diet and 46 per cent noting that they had fallen behind on rent or mortgage payments.</w:t>
      </w:r>
      <w:r>
        <w:rPr>
          <w:rStyle w:val="FootnoteReference"/>
          <w:rFonts w:ascii="Verdana" w:hAnsi="Verdana"/>
        </w:rPr>
        <w:footnoteReference w:id="103"/>
      </w:r>
      <w:r>
        <w:rPr>
          <w:rFonts w:ascii="Verdana" w:hAnsi="Verdana"/>
        </w:rPr>
        <w:t xml:space="preserve"> </w:t>
      </w:r>
    </w:p>
    <w:p w14:paraId="74B9FC94" w14:textId="77777777" w:rsidR="009E18E4" w:rsidRPr="009E18E4" w:rsidRDefault="009E18E4" w:rsidP="00A361AB">
      <w:pPr>
        <w:pStyle w:val="ListParagraph"/>
        <w:spacing w:line="360" w:lineRule="auto"/>
        <w:rPr>
          <w:rFonts w:ascii="Verdana" w:hAnsi="Verdana"/>
        </w:rPr>
      </w:pPr>
    </w:p>
    <w:p w14:paraId="745FD942" w14:textId="721C5885" w:rsidR="00DA0707" w:rsidRDefault="008D16D1" w:rsidP="006464FC">
      <w:pPr>
        <w:pStyle w:val="ListParagraph"/>
        <w:numPr>
          <w:ilvl w:val="1"/>
          <w:numId w:val="28"/>
        </w:numPr>
        <w:spacing w:line="360" w:lineRule="auto"/>
        <w:ind w:left="709"/>
        <w:rPr>
          <w:rFonts w:ascii="Verdana" w:hAnsi="Verdana"/>
        </w:rPr>
      </w:pPr>
      <w:r>
        <w:rPr>
          <w:rFonts w:ascii="Verdana" w:hAnsi="Verdana"/>
        </w:rPr>
        <w:t>In its</w:t>
      </w:r>
      <w:r w:rsidR="00EB0A39">
        <w:rPr>
          <w:rFonts w:ascii="Verdana" w:hAnsi="Verdana"/>
        </w:rPr>
        <w:t xml:space="preserve"> 2016</w:t>
      </w:r>
      <w:r>
        <w:rPr>
          <w:rFonts w:ascii="Verdana" w:hAnsi="Verdana"/>
        </w:rPr>
        <w:t xml:space="preserve"> </w:t>
      </w:r>
      <w:r w:rsidR="00EB0A39">
        <w:rPr>
          <w:rFonts w:ascii="Verdana" w:hAnsi="Verdana"/>
        </w:rPr>
        <w:t>I</w:t>
      </w:r>
      <w:r>
        <w:rPr>
          <w:rFonts w:ascii="Verdana" w:hAnsi="Verdana"/>
        </w:rPr>
        <w:t xml:space="preserve">nquiry into </w:t>
      </w:r>
      <w:r w:rsidR="0039752A">
        <w:rPr>
          <w:rFonts w:ascii="Verdana" w:hAnsi="Verdana"/>
        </w:rPr>
        <w:t xml:space="preserve">the </w:t>
      </w:r>
      <w:r w:rsidR="00920311">
        <w:rPr>
          <w:rFonts w:ascii="Verdana" w:hAnsi="Verdana"/>
        </w:rPr>
        <w:t xml:space="preserve">effect </w:t>
      </w:r>
      <w:r w:rsidR="0039752A">
        <w:rPr>
          <w:rFonts w:ascii="Verdana" w:hAnsi="Verdana"/>
        </w:rPr>
        <w:t xml:space="preserve">of </w:t>
      </w:r>
      <w:r>
        <w:rPr>
          <w:rFonts w:ascii="Verdana" w:hAnsi="Verdana"/>
        </w:rPr>
        <w:t xml:space="preserve">welfare reforms </w:t>
      </w:r>
      <w:r w:rsidR="00922729">
        <w:rPr>
          <w:rFonts w:ascii="Verdana" w:hAnsi="Verdana"/>
        </w:rPr>
        <w:t xml:space="preserve">introduced by previous </w:t>
      </w:r>
      <w:r w:rsidR="00451066">
        <w:rPr>
          <w:rFonts w:ascii="Verdana" w:hAnsi="Verdana"/>
        </w:rPr>
        <w:t xml:space="preserve">UK </w:t>
      </w:r>
      <w:r w:rsidR="00922729">
        <w:rPr>
          <w:rFonts w:ascii="Verdana" w:hAnsi="Verdana"/>
        </w:rPr>
        <w:t>governments</w:t>
      </w:r>
      <w:r>
        <w:rPr>
          <w:rFonts w:ascii="Verdana" w:hAnsi="Verdana"/>
        </w:rPr>
        <w:t xml:space="preserve">, the UN CRPD Committee identified </w:t>
      </w:r>
      <w:r w:rsidR="00B40855">
        <w:rPr>
          <w:rFonts w:ascii="Verdana" w:hAnsi="Verdana"/>
        </w:rPr>
        <w:t>that it had received information on the adverse impact of these reforms</w:t>
      </w:r>
      <w:r w:rsidR="00BA40E4">
        <w:rPr>
          <w:rFonts w:ascii="Verdana" w:hAnsi="Verdana"/>
        </w:rPr>
        <w:t xml:space="preserve">, noting that this evidence </w:t>
      </w:r>
      <w:r w:rsidR="001A1E8C">
        <w:rPr>
          <w:rFonts w:ascii="Verdana" w:hAnsi="Verdana"/>
        </w:rPr>
        <w:t xml:space="preserve">crossed the threshold of “grave </w:t>
      </w:r>
      <w:r w:rsidR="000D2FA2">
        <w:rPr>
          <w:rFonts w:ascii="Verdana" w:hAnsi="Verdana"/>
        </w:rPr>
        <w:t xml:space="preserve">or </w:t>
      </w:r>
      <w:r w:rsidR="001A1E8C">
        <w:rPr>
          <w:rFonts w:ascii="Verdana" w:hAnsi="Verdana"/>
        </w:rPr>
        <w:t xml:space="preserve">systematic violations of the human rights of </w:t>
      </w:r>
      <w:r w:rsidR="001529E2">
        <w:rPr>
          <w:rFonts w:ascii="Verdana" w:hAnsi="Verdana"/>
        </w:rPr>
        <w:t>persons with disabilities</w:t>
      </w:r>
      <w:r w:rsidR="00593DF5">
        <w:rPr>
          <w:rFonts w:ascii="Verdana" w:hAnsi="Verdana"/>
        </w:rPr>
        <w:t>” in the UK</w:t>
      </w:r>
      <w:r w:rsidR="00B40855">
        <w:rPr>
          <w:rFonts w:ascii="Verdana" w:hAnsi="Verdana"/>
        </w:rPr>
        <w:t>.</w:t>
      </w:r>
      <w:r w:rsidR="007E048E">
        <w:rPr>
          <w:rStyle w:val="FootnoteReference"/>
          <w:rFonts w:ascii="Verdana" w:hAnsi="Verdana"/>
        </w:rPr>
        <w:footnoteReference w:id="104"/>
      </w:r>
      <w:r w:rsidR="00D7522E">
        <w:rPr>
          <w:rFonts w:ascii="Verdana" w:hAnsi="Verdana"/>
        </w:rPr>
        <w:t xml:space="preserve"> </w:t>
      </w:r>
      <w:r w:rsidR="00C275B2">
        <w:rPr>
          <w:rFonts w:ascii="Verdana" w:hAnsi="Verdana"/>
        </w:rPr>
        <w:t xml:space="preserve">The UN CRPD Committee </w:t>
      </w:r>
      <w:r w:rsidR="0096663F">
        <w:rPr>
          <w:rFonts w:ascii="Verdana" w:hAnsi="Verdana"/>
        </w:rPr>
        <w:t>identified</w:t>
      </w:r>
      <w:r w:rsidR="00E31F89">
        <w:rPr>
          <w:rFonts w:ascii="Verdana" w:hAnsi="Verdana"/>
        </w:rPr>
        <w:t xml:space="preserve"> that social protection systems should not rely on “narrowly defined medical criteria or medical assessments”, but rather </w:t>
      </w:r>
      <w:r w:rsidR="007E0273">
        <w:rPr>
          <w:rFonts w:ascii="Verdana" w:hAnsi="Verdana"/>
        </w:rPr>
        <w:t xml:space="preserve">take into account a human rights model of disability to address the multiple barriers that limit </w:t>
      </w:r>
      <w:r w:rsidR="004C6FD2">
        <w:rPr>
          <w:rFonts w:ascii="Verdana" w:hAnsi="Verdana"/>
        </w:rPr>
        <w:t>disabled</w:t>
      </w:r>
      <w:r w:rsidR="007E0273">
        <w:rPr>
          <w:rFonts w:ascii="Verdana" w:hAnsi="Verdana"/>
        </w:rPr>
        <w:t xml:space="preserve"> people’s participation in </w:t>
      </w:r>
      <w:r w:rsidR="004C6FD2">
        <w:rPr>
          <w:rFonts w:ascii="Verdana" w:hAnsi="Verdana"/>
        </w:rPr>
        <w:t>society.</w:t>
      </w:r>
      <w:r w:rsidR="004C6FD2">
        <w:rPr>
          <w:rStyle w:val="FootnoteReference"/>
          <w:rFonts w:ascii="Verdana" w:hAnsi="Verdana"/>
        </w:rPr>
        <w:footnoteReference w:id="105"/>
      </w:r>
      <w:r w:rsidR="00AE69C0">
        <w:rPr>
          <w:rFonts w:ascii="Verdana" w:hAnsi="Verdana"/>
        </w:rPr>
        <w:t xml:space="preserve"> The UN CRPD Committee inquiry found that </w:t>
      </w:r>
      <w:r w:rsidR="00E06667">
        <w:rPr>
          <w:rFonts w:ascii="Verdana" w:hAnsi="Verdana"/>
        </w:rPr>
        <w:t>welfare reforms had</w:t>
      </w:r>
      <w:r w:rsidR="000368CB">
        <w:rPr>
          <w:rFonts w:ascii="Verdana" w:hAnsi="Verdana"/>
        </w:rPr>
        <w:t xml:space="preserve"> “disproportionately and adversely” affected the rights of disabled people and </w:t>
      </w:r>
      <w:r w:rsidR="00D10F69">
        <w:rPr>
          <w:rFonts w:ascii="Verdana" w:hAnsi="Verdana"/>
        </w:rPr>
        <w:t>“</w:t>
      </w:r>
      <w:r w:rsidR="00D10F69" w:rsidRPr="00D10F69">
        <w:rPr>
          <w:rFonts w:ascii="Verdana" w:hAnsi="Verdana"/>
        </w:rPr>
        <w:t>a reduction in the support provided to meet the extra cost of disability and denial of reasonable accommodation in assessment procedures and in the realization of the right to employment have had a discriminatory effect on persons with disabilities</w:t>
      </w:r>
      <w:r w:rsidR="00D10F69">
        <w:rPr>
          <w:rFonts w:ascii="Verdana" w:hAnsi="Verdana"/>
        </w:rPr>
        <w:t>”.</w:t>
      </w:r>
      <w:r w:rsidR="00D10F69">
        <w:rPr>
          <w:rStyle w:val="FootnoteReference"/>
          <w:rFonts w:ascii="Verdana" w:hAnsi="Verdana"/>
        </w:rPr>
        <w:footnoteReference w:id="106"/>
      </w:r>
    </w:p>
    <w:p w14:paraId="510C84FE" w14:textId="77777777" w:rsidR="004551EE" w:rsidRPr="004551EE" w:rsidRDefault="004551EE" w:rsidP="00A361AB">
      <w:pPr>
        <w:pStyle w:val="ListParagraph"/>
        <w:spacing w:line="360" w:lineRule="auto"/>
        <w:rPr>
          <w:rFonts w:ascii="Verdana" w:hAnsi="Verdana"/>
        </w:rPr>
      </w:pPr>
    </w:p>
    <w:p w14:paraId="6D120B23" w14:textId="3B6776A5" w:rsidR="00B63D97" w:rsidRDefault="00EB0A39" w:rsidP="006464FC">
      <w:pPr>
        <w:pStyle w:val="ListParagraph"/>
        <w:numPr>
          <w:ilvl w:val="1"/>
          <w:numId w:val="28"/>
        </w:numPr>
        <w:spacing w:line="360" w:lineRule="auto"/>
        <w:ind w:left="709"/>
        <w:rPr>
          <w:rFonts w:ascii="Verdana" w:hAnsi="Verdana"/>
        </w:rPr>
      </w:pPr>
      <w:r>
        <w:rPr>
          <w:rFonts w:ascii="Verdana" w:hAnsi="Verdana"/>
        </w:rPr>
        <w:t>In</w:t>
      </w:r>
      <w:r w:rsidRPr="00844D4E">
        <w:rPr>
          <w:rFonts w:ascii="Verdana" w:hAnsi="Verdana"/>
        </w:rPr>
        <w:t xml:space="preserve"> </w:t>
      </w:r>
      <w:r w:rsidR="004551EE" w:rsidRPr="00844D4E">
        <w:rPr>
          <w:rFonts w:ascii="Verdana" w:hAnsi="Verdana"/>
        </w:rPr>
        <w:t xml:space="preserve">its own </w:t>
      </w:r>
      <w:r w:rsidR="005C4236" w:rsidRPr="00844D4E">
        <w:rPr>
          <w:rFonts w:ascii="Verdana" w:hAnsi="Verdana"/>
        </w:rPr>
        <w:t>baseline assessment</w:t>
      </w:r>
      <w:r w:rsidR="004551EE" w:rsidRPr="00844D4E">
        <w:rPr>
          <w:rFonts w:ascii="Verdana" w:hAnsi="Verdana"/>
        </w:rPr>
        <w:t xml:space="preserve">, the </w:t>
      </w:r>
      <w:r w:rsidR="00505B6E" w:rsidRPr="00844D4E">
        <w:rPr>
          <w:rFonts w:ascii="Verdana" w:hAnsi="Verdana"/>
        </w:rPr>
        <w:t>Department for Work and Pensions</w:t>
      </w:r>
      <w:r w:rsidR="004551EE" w:rsidRPr="00844D4E">
        <w:rPr>
          <w:rFonts w:ascii="Verdana" w:hAnsi="Verdana"/>
        </w:rPr>
        <w:t xml:space="preserve"> has identified </w:t>
      </w:r>
      <w:r w:rsidR="005A62B2" w:rsidRPr="00844D4E">
        <w:rPr>
          <w:rFonts w:ascii="Verdana" w:hAnsi="Verdana"/>
        </w:rPr>
        <w:t xml:space="preserve">around 3.2 million families </w:t>
      </w:r>
      <w:r>
        <w:rPr>
          <w:rFonts w:ascii="Verdana" w:hAnsi="Verdana"/>
        </w:rPr>
        <w:t xml:space="preserve">that will </w:t>
      </w:r>
      <w:r w:rsidR="00875DB4" w:rsidRPr="00844D4E">
        <w:rPr>
          <w:rFonts w:ascii="Verdana" w:hAnsi="Verdana"/>
        </w:rPr>
        <w:t xml:space="preserve">be at a financial loss </w:t>
      </w:r>
      <w:r>
        <w:rPr>
          <w:rFonts w:ascii="Verdana" w:hAnsi="Verdana"/>
        </w:rPr>
        <w:t>as a result of</w:t>
      </w:r>
      <w:r w:rsidR="00875DB4" w:rsidRPr="00844D4E">
        <w:rPr>
          <w:rFonts w:ascii="Verdana" w:hAnsi="Verdana"/>
        </w:rPr>
        <w:t xml:space="preserve"> these </w:t>
      </w:r>
      <w:r w:rsidR="00E01C7E">
        <w:rPr>
          <w:rFonts w:ascii="Verdana" w:hAnsi="Verdana"/>
        </w:rPr>
        <w:t xml:space="preserve">proposed </w:t>
      </w:r>
      <w:r w:rsidR="00875DB4" w:rsidRPr="00844D4E">
        <w:rPr>
          <w:rFonts w:ascii="Verdana" w:hAnsi="Verdana"/>
        </w:rPr>
        <w:t>policies</w:t>
      </w:r>
      <w:r w:rsidR="00546D05" w:rsidRPr="00844D4E">
        <w:rPr>
          <w:rFonts w:ascii="Verdana" w:hAnsi="Verdana"/>
        </w:rPr>
        <w:t>.</w:t>
      </w:r>
      <w:r w:rsidR="00546D05">
        <w:rPr>
          <w:rStyle w:val="FootnoteReference"/>
          <w:rFonts w:ascii="Verdana" w:hAnsi="Verdana"/>
        </w:rPr>
        <w:footnoteReference w:id="107"/>
      </w:r>
      <w:r w:rsidR="00505B6E" w:rsidRPr="00844D4E">
        <w:rPr>
          <w:rFonts w:ascii="Verdana" w:hAnsi="Verdana"/>
        </w:rPr>
        <w:t xml:space="preserve"> The Department for Work and Pensions has projected that this will push 250,000 </w:t>
      </w:r>
      <w:r w:rsidR="009A070F" w:rsidRPr="00844D4E">
        <w:rPr>
          <w:rFonts w:ascii="Verdana" w:hAnsi="Verdana"/>
        </w:rPr>
        <w:t xml:space="preserve">people, including 50,000 </w:t>
      </w:r>
      <w:r w:rsidR="009A070F" w:rsidRPr="00844D4E">
        <w:rPr>
          <w:rFonts w:ascii="Verdana" w:hAnsi="Verdana"/>
        </w:rPr>
        <w:lastRenderedPageBreak/>
        <w:t>children</w:t>
      </w:r>
      <w:r w:rsidR="00124791">
        <w:rPr>
          <w:rFonts w:ascii="Verdana" w:hAnsi="Verdana"/>
        </w:rPr>
        <w:t>,</w:t>
      </w:r>
      <w:r w:rsidR="009A070F" w:rsidRPr="00844D4E">
        <w:rPr>
          <w:rFonts w:ascii="Verdana" w:hAnsi="Verdana"/>
        </w:rPr>
        <w:t xml:space="preserve"> into relative poverty after housing costs by 2029/30</w:t>
      </w:r>
      <w:r w:rsidR="007C3BC4" w:rsidRPr="00844D4E">
        <w:rPr>
          <w:rFonts w:ascii="Verdana" w:hAnsi="Verdana"/>
        </w:rPr>
        <w:t>.</w:t>
      </w:r>
      <w:r w:rsidR="007C3BC4">
        <w:rPr>
          <w:rStyle w:val="FootnoteReference"/>
          <w:rFonts w:ascii="Verdana" w:hAnsi="Verdana"/>
        </w:rPr>
        <w:footnoteReference w:id="108"/>
      </w:r>
      <w:r w:rsidR="006D2415" w:rsidRPr="00844D4E">
        <w:rPr>
          <w:rFonts w:ascii="Verdana" w:hAnsi="Verdana"/>
        </w:rPr>
        <w:t xml:space="preserve"> However, research </w:t>
      </w:r>
      <w:r>
        <w:rPr>
          <w:rFonts w:ascii="Verdana" w:hAnsi="Verdana"/>
        </w:rPr>
        <w:t>has offered the view that</w:t>
      </w:r>
      <w:r w:rsidRPr="00844D4E">
        <w:rPr>
          <w:rFonts w:ascii="Verdana" w:hAnsi="Verdana"/>
        </w:rPr>
        <w:t xml:space="preserve"> </w:t>
      </w:r>
      <w:r w:rsidR="006D2415" w:rsidRPr="00844D4E">
        <w:rPr>
          <w:rFonts w:ascii="Verdana" w:hAnsi="Verdana"/>
        </w:rPr>
        <w:t>that</w:t>
      </w:r>
      <w:r w:rsidR="4D74F85E" w:rsidRPr="00844D4E">
        <w:rPr>
          <w:rFonts w:ascii="Verdana" w:hAnsi="Verdana"/>
        </w:rPr>
        <w:t xml:space="preserve"> these projections</w:t>
      </w:r>
      <w:r w:rsidR="006D2415" w:rsidRPr="00844D4E">
        <w:rPr>
          <w:rFonts w:ascii="Verdana" w:hAnsi="Verdana"/>
        </w:rPr>
        <w:t xml:space="preserve"> </w:t>
      </w:r>
      <w:r w:rsidR="00135EED" w:rsidRPr="00844D4E">
        <w:rPr>
          <w:rFonts w:ascii="Verdana" w:hAnsi="Verdana"/>
        </w:rPr>
        <w:t xml:space="preserve">do not give a full picture as many of the proposed cuts will not </w:t>
      </w:r>
      <w:r w:rsidR="00DC42A5" w:rsidRPr="00844D4E">
        <w:rPr>
          <w:rFonts w:ascii="Verdana" w:hAnsi="Verdana"/>
        </w:rPr>
        <w:t xml:space="preserve">have come into force by 2029/30, and an additional 100,000 children </w:t>
      </w:r>
      <w:r w:rsidR="00844D4E" w:rsidRPr="00844D4E">
        <w:rPr>
          <w:rFonts w:ascii="Verdana" w:hAnsi="Verdana"/>
        </w:rPr>
        <w:t>could</w:t>
      </w:r>
      <w:r w:rsidR="00183ED5">
        <w:rPr>
          <w:rFonts w:ascii="Verdana" w:hAnsi="Verdana"/>
        </w:rPr>
        <w:t xml:space="preserve"> subsequently</w:t>
      </w:r>
      <w:r w:rsidR="00844D4E" w:rsidRPr="00844D4E">
        <w:rPr>
          <w:rFonts w:ascii="Verdana" w:hAnsi="Verdana"/>
        </w:rPr>
        <w:t xml:space="preserve"> be pushed into poverty.</w:t>
      </w:r>
      <w:r w:rsidR="008939A5">
        <w:rPr>
          <w:rStyle w:val="FootnoteReference"/>
          <w:rFonts w:ascii="Verdana" w:hAnsi="Verdana"/>
        </w:rPr>
        <w:footnoteReference w:id="109"/>
      </w:r>
      <w:r w:rsidR="00844D4E">
        <w:rPr>
          <w:rFonts w:ascii="Verdana" w:hAnsi="Verdana"/>
        </w:rPr>
        <w:t xml:space="preserve"> The UK Government’s analysis does not account for levels of poverty in NI. </w:t>
      </w:r>
      <w:r w:rsidR="004551EE" w:rsidRPr="00844D4E">
        <w:rPr>
          <w:rFonts w:ascii="Verdana" w:hAnsi="Verdana"/>
        </w:rPr>
        <w:t>In NI, 23 per cent of disabled people live in relative poverty and 38 per cent of households experiencing poverty include a person living with a disability.</w:t>
      </w:r>
      <w:r w:rsidR="004551EE">
        <w:rPr>
          <w:rStyle w:val="FootnoteReference"/>
          <w:rFonts w:ascii="Verdana" w:hAnsi="Verdana"/>
        </w:rPr>
        <w:footnoteReference w:id="110"/>
      </w:r>
      <w:r w:rsidR="002078CA" w:rsidRPr="00844D4E">
        <w:rPr>
          <w:rFonts w:ascii="Verdana" w:hAnsi="Verdana"/>
        </w:rPr>
        <w:t xml:space="preserve"> </w:t>
      </w:r>
    </w:p>
    <w:p w14:paraId="684238E5" w14:textId="77777777" w:rsidR="00B63D97" w:rsidRPr="00B63D97" w:rsidRDefault="00B63D97" w:rsidP="00A361AB">
      <w:pPr>
        <w:pStyle w:val="ListParagraph"/>
        <w:spacing w:line="360" w:lineRule="auto"/>
        <w:rPr>
          <w:rFonts w:ascii="Verdana" w:hAnsi="Verdana"/>
        </w:rPr>
      </w:pPr>
    </w:p>
    <w:p w14:paraId="5FAF53D9" w14:textId="0A1EF994" w:rsidR="004551EE" w:rsidRDefault="0007257E" w:rsidP="006464FC">
      <w:pPr>
        <w:pStyle w:val="ListParagraph"/>
        <w:numPr>
          <w:ilvl w:val="1"/>
          <w:numId w:val="28"/>
        </w:numPr>
        <w:spacing w:line="360" w:lineRule="auto"/>
        <w:ind w:left="709"/>
        <w:rPr>
          <w:rFonts w:ascii="Verdana" w:hAnsi="Verdana"/>
        </w:rPr>
      </w:pPr>
      <w:r>
        <w:rPr>
          <w:rFonts w:ascii="Verdana" w:hAnsi="Verdana"/>
        </w:rPr>
        <w:t>Data from 202</w:t>
      </w:r>
      <w:r w:rsidR="000D7617">
        <w:rPr>
          <w:rFonts w:ascii="Verdana" w:hAnsi="Verdana"/>
        </w:rPr>
        <w:t>3</w:t>
      </w:r>
      <w:r w:rsidR="00CA4BDD">
        <w:rPr>
          <w:rFonts w:ascii="Verdana" w:hAnsi="Verdana"/>
        </w:rPr>
        <w:t>/2</w:t>
      </w:r>
      <w:r w:rsidR="000D7617">
        <w:rPr>
          <w:rFonts w:ascii="Verdana" w:hAnsi="Verdana"/>
        </w:rPr>
        <w:t>4</w:t>
      </w:r>
      <w:r w:rsidR="00CA4BDD">
        <w:rPr>
          <w:rFonts w:ascii="Verdana" w:hAnsi="Verdana"/>
        </w:rPr>
        <w:t xml:space="preserve"> suggests that a</w:t>
      </w:r>
      <w:r>
        <w:rPr>
          <w:rFonts w:ascii="Verdana" w:hAnsi="Verdana"/>
        </w:rPr>
        <w:t>round 104,000</w:t>
      </w:r>
      <w:r w:rsidR="00CA4BDD">
        <w:rPr>
          <w:rFonts w:ascii="Verdana" w:hAnsi="Verdana"/>
        </w:rPr>
        <w:t xml:space="preserve"> </w:t>
      </w:r>
      <w:r>
        <w:rPr>
          <w:rFonts w:ascii="Verdana" w:hAnsi="Verdana"/>
        </w:rPr>
        <w:t>children in NI live in relative poverty</w:t>
      </w:r>
      <w:r w:rsidR="00CA4BDD">
        <w:rPr>
          <w:rFonts w:ascii="Verdana" w:hAnsi="Verdana"/>
        </w:rPr>
        <w:t>, accounting for 23 per cent of children in NI</w:t>
      </w:r>
      <w:r w:rsidR="000D7617">
        <w:rPr>
          <w:rFonts w:ascii="Verdana" w:hAnsi="Verdana"/>
        </w:rPr>
        <w:t>, with 90,000 children living in absolute poverty</w:t>
      </w:r>
      <w:r w:rsidR="001241E4">
        <w:rPr>
          <w:rFonts w:ascii="Verdana" w:hAnsi="Verdana"/>
        </w:rPr>
        <w:t>, accounting for 20 per cent of children in NI.</w:t>
      </w:r>
      <w:r w:rsidR="001241E4">
        <w:rPr>
          <w:rStyle w:val="FootnoteReference"/>
          <w:rFonts w:ascii="Verdana" w:hAnsi="Verdana"/>
        </w:rPr>
        <w:footnoteReference w:id="111"/>
      </w:r>
      <w:r w:rsidR="001241E4">
        <w:rPr>
          <w:rFonts w:ascii="Verdana" w:hAnsi="Verdana"/>
        </w:rPr>
        <w:t xml:space="preserve"> </w:t>
      </w:r>
      <w:r w:rsidR="003A7C4D">
        <w:rPr>
          <w:rFonts w:ascii="Verdana" w:hAnsi="Verdana"/>
        </w:rPr>
        <w:t xml:space="preserve">It is imperative that data on the </w:t>
      </w:r>
      <w:r w:rsidR="00C00087">
        <w:rPr>
          <w:rFonts w:ascii="Verdana" w:hAnsi="Verdana"/>
        </w:rPr>
        <w:t xml:space="preserve">projected </w:t>
      </w:r>
      <w:r w:rsidR="003A7C4D">
        <w:rPr>
          <w:rFonts w:ascii="Verdana" w:hAnsi="Verdana"/>
        </w:rPr>
        <w:t>impact of these measures on poverty levels in NI is collated and pu</w:t>
      </w:r>
      <w:r w:rsidR="00C00087">
        <w:rPr>
          <w:rFonts w:ascii="Verdana" w:hAnsi="Verdana"/>
        </w:rPr>
        <w:t xml:space="preserve">blished </w:t>
      </w:r>
      <w:r w:rsidR="00246FF9">
        <w:rPr>
          <w:rFonts w:ascii="Verdana" w:hAnsi="Verdana"/>
        </w:rPr>
        <w:t xml:space="preserve">in advance of </w:t>
      </w:r>
      <w:r w:rsidR="00571D5C">
        <w:rPr>
          <w:rFonts w:ascii="Verdana" w:hAnsi="Verdana"/>
        </w:rPr>
        <w:t>proposals being implemented</w:t>
      </w:r>
      <w:r w:rsidR="00B63D97">
        <w:rPr>
          <w:rFonts w:ascii="Verdana" w:hAnsi="Verdana"/>
        </w:rPr>
        <w:t xml:space="preserve"> to ascertain </w:t>
      </w:r>
      <w:r w:rsidR="00642D04">
        <w:rPr>
          <w:rFonts w:ascii="Verdana" w:hAnsi="Verdana"/>
        </w:rPr>
        <w:t>the</w:t>
      </w:r>
      <w:r w:rsidR="00B63D97">
        <w:rPr>
          <w:rFonts w:ascii="Verdana" w:hAnsi="Verdana"/>
        </w:rPr>
        <w:t xml:space="preserve"> full picture of the impact on people living</w:t>
      </w:r>
      <w:r w:rsidR="00415DB5">
        <w:rPr>
          <w:rFonts w:ascii="Verdana" w:hAnsi="Verdana"/>
        </w:rPr>
        <w:t xml:space="preserve"> in,</w:t>
      </w:r>
      <w:r w:rsidR="00B63D97">
        <w:rPr>
          <w:rFonts w:ascii="Verdana" w:hAnsi="Verdana"/>
        </w:rPr>
        <w:t xml:space="preserve"> </w:t>
      </w:r>
      <w:r w:rsidR="00415DB5">
        <w:rPr>
          <w:rFonts w:ascii="Verdana" w:hAnsi="Verdana"/>
        </w:rPr>
        <w:t>or</w:t>
      </w:r>
      <w:r w:rsidR="00B63D97">
        <w:rPr>
          <w:rFonts w:ascii="Verdana" w:hAnsi="Verdana"/>
        </w:rPr>
        <w:t xml:space="preserve"> at risk of falling into</w:t>
      </w:r>
      <w:r w:rsidR="00415DB5">
        <w:rPr>
          <w:rFonts w:ascii="Verdana" w:hAnsi="Verdana"/>
        </w:rPr>
        <w:t>,</w:t>
      </w:r>
      <w:r w:rsidR="00B63D97">
        <w:rPr>
          <w:rFonts w:ascii="Verdana" w:hAnsi="Verdana"/>
        </w:rPr>
        <w:t xml:space="preserve"> poverty.</w:t>
      </w:r>
    </w:p>
    <w:p w14:paraId="03966468" w14:textId="77777777" w:rsidR="00B63D97" w:rsidRPr="00B63D97" w:rsidRDefault="00B63D97" w:rsidP="00A361AB">
      <w:pPr>
        <w:pStyle w:val="ListParagraph"/>
        <w:spacing w:line="360" w:lineRule="auto"/>
        <w:rPr>
          <w:rFonts w:ascii="Verdana" w:hAnsi="Verdana"/>
        </w:rPr>
      </w:pPr>
    </w:p>
    <w:p w14:paraId="2797BF66" w14:textId="2AA9AF73" w:rsidR="00B63D97" w:rsidRDefault="002B0055" w:rsidP="006464FC">
      <w:pPr>
        <w:pStyle w:val="ListParagraph"/>
        <w:numPr>
          <w:ilvl w:val="1"/>
          <w:numId w:val="28"/>
        </w:numPr>
        <w:spacing w:line="360" w:lineRule="auto"/>
        <w:ind w:left="709"/>
        <w:rPr>
          <w:rFonts w:ascii="Verdana" w:hAnsi="Verdana"/>
        </w:rPr>
      </w:pPr>
      <w:r>
        <w:rPr>
          <w:rFonts w:ascii="Verdana" w:hAnsi="Verdana"/>
        </w:rPr>
        <w:t>The Department for Work and Pensions asserts that the</w:t>
      </w:r>
      <w:r w:rsidR="00005D2A">
        <w:rPr>
          <w:rFonts w:ascii="Verdana" w:hAnsi="Verdana"/>
        </w:rPr>
        <w:t xml:space="preserve"> welfare reforms </w:t>
      </w:r>
      <w:r w:rsidR="00EB0A39">
        <w:rPr>
          <w:rFonts w:ascii="Verdana" w:hAnsi="Verdana"/>
        </w:rPr>
        <w:t xml:space="preserve">will </w:t>
      </w:r>
      <w:r w:rsidR="00005D2A">
        <w:rPr>
          <w:rFonts w:ascii="Verdana" w:hAnsi="Verdana"/>
        </w:rPr>
        <w:t>encourage people into paid work, stop an over</w:t>
      </w:r>
      <w:r w:rsidR="00300886">
        <w:rPr>
          <w:rFonts w:ascii="Verdana" w:hAnsi="Verdana"/>
        </w:rPr>
        <w:t>reliance on benefits</w:t>
      </w:r>
      <w:r w:rsidR="00C21871">
        <w:rPr>
          <w:rFonts w:ascii="Verdana" w:hAnsi="Verdana"/>
        </w:rPr>
        <w:t>, alleviate poverty</w:t>
      </w:r>
      <w:r w:rsidR="0055015E">
        <w:rPr>
          <w:rFonts w:ascii="Verdana" w:hAnsi="Verdana"/>
        </w:rPr>
        <w:t xml:space="preserve"> and improve </w:t>
      </w:r>
      <w:r w:rsidR="0091109B">
        <w:rPr>
          <w:rFonts w:ascii="Verdana" w:hAnsi="Verdana"/>
        </w:rPr>
        <w:t xml:space="preserve">both </w:t>
      </w:r>
      <w:r w:rsidR="0055015E">
        <w:rPr>
          <w:rFonts w:ascii="Verdana" w:hAnsi="Verdana"/>
        </w:rPr>
        <w:t>living standards</w:t>
      </w:r>
      <w:r w:rsidR="00300886">
        <w:rPr>
          <w:rFonts w:ascii="Verdana" w:hAnsi="Verdana"/>
        </w:rPr>
        <w:t xml:space="preserve"> and mental health.</w:t>
      </w:r>
      <w:r w:rsidR="00300886">
        <w:rPr>
          <w:rStyle w:val="FootnoteReference"/>
          <w:rFonts w:ascii="Verdana" w:hAnsi="Verdana"/>
        </w:rPr>
        <w:footnoteReference w:id="112"/>
      </w:r>
      <w:r w:rsidR="0031771B">
        <w:rPr>
          <w:rFonts w:ascii="Verdana" w:hAnsi="Verdana"/>
        </w:rPr>
        <w:t xml:space="preserve"> However, research </w:t>
      </w:r>
      <w:r w:rsidR="00EB0A39">
        <w:rPr>
          <w:rFonts w:ascii="Verdana" w:hAnsi="Verdana"/>
        </w:rPr>
        <w:t xml:space="preserve">suggests </w:t>
      </w:r>
      <w:r w:rsidR="0031771B">
        <w:rPr>
          <w:rFonts w:ascii="Verdana" w:hAnsi="Verdana"/>
        </w:rPr>
        <w:t xml:space="preserve">that cutting benefits </w:t>
      </w:r>
      <w:r w:rsidR="004A36AA">
        <w:rPr>
          <w:rFonts w:ascii="Verdana" w:hAnsi="Verdana"/>
        </w:rPr>
        <w:t xml:space="preserve">for disabled people will have the opposite </w:t>
      </w:r>
      <w:r w:rsidR="00AF3E33">
        <w:rPr>
          <w:rFonts w:ascii="Verdana" w:hAnsi="Verdana"/>
        </w:rPr>
        <w:t xml:space="preserve">effect. The Joseph Roundtree Foundation estimates that only around 3 per cent </w:t>
      </w:r>
      <w:r w:rsidR="00436CA4">
        <w:rPr>
          <w:rFonts w:ascii="Verdana" w:hAnsi="Verdana"/>
        </w:rPr>
        <w:t xml:space="preserve">of </w:t>
      </w:r>
      <w:r w:rsidR="00B61A70">
        <w:rPr>
          <w:rFonts w:ascii="Verdana" w:hAnsi="Verdana"/>
        </w:rPr>
        <w:t xml:space="preserve">individuals impacted by these </w:t>
      </w:r>
      <w:r w:rsidR="00103882">
        <w:rPr>
          <w:rFonts w:ascii="Verdana" w:hAnsi="Verdana"/>
        </w:rPr>
        <w:t xml:space="preserve">measures </w:t>
      </w:r>
      <w:r w:rsidR="00B61A70">
        <w:rPr>
          <w:rFonts w:ascii="Verdana" w:hAnsi="Verdana"/>
        </w:rPr>
        <w:t>will become employed as a result.</w:t>
      </w:r>
      <w:r w:rsidR="00B61A70">
        <w:rPr>
          <w:rStyle w:val="FootnoteReference"/>
          <w:rFonts w:ascii="Verdana" w:hAnsi="Verdana"/>
        </w:rPr>
        <w:footnoteReference w:id="113"/>
      </w:r>
      <w:r w:rsidR="00B61A70">
        <w:rPr>
          <w:rFonts w:ascii="Verdana" w:hAnsi="Verdana"/>
        </w:rPr>
        <w:t xml:space="preserve"> Citizens Advice </w:t>
      </w:r>
      <w:r w:rsidR="00434CC3">
        <w:rPr>
          <w:rFonts w:ascii="Verdana" w:hAnsi="Verdana"/>
        </w:rPr>
        <w:t>note</w:t>
      </w:r>
      <w:r w:rsidR="0002397A">
        <w:rPr>
          <w:rFonts w:ascii="Verdana" w:hAnsi="Verdana"/>
        </w:rPr>
        <w:t>s</w:t>
      </w:r>
      <w:r w:rsidR="00434CC3">
        <w:rPr>
          <w:rFonts w:ascii="Verdana" w:hAnsi="Verdana"/>
        </w:rPr>
        <w:t xml:space="preserve"> that, even where </w:t>
      </w:r>
      <w:r w:rsidR="00434CC3">
        <w:rPr>
          <w:rFonts w:ascii="Verdana" w:hAnsi="Verdana"/>
        </w:rPr>
        <w:lastRenderedPageBreak/>
        <w:t xml:space="preserve">people do find work, it will be difficult to make back the income </w:t>
      </w:r>
      <w:r w:rsidR="00152D06">
        <w:rPr>
          <w:rFonts w:ascii="Verdana" w:hAnsi="Verdana"/>
        </w:rPr>
        <w:t xml:space="preserve">lost </w:t>
      </w:r>
      <w:proofErr w:type="gramStart"/>
      <w:r w:rsidR="00344DC6">
        <w:rPr>
          <w:rFonts w:ascii="Verdana" w:hAnsi="Verdana"/>
        </w:rPr>
        <w:t>as a result of</w:t>
      </w:r>
      <w:proofErr w:type="gramEnd"/>
      <w:r w:rsidR="00434CC3">
        <w:rPr>
          <w:rFonts w:ascii="Verdana" w:hAnsi="Verdana"/>
        </w:rPr>
        <w:t xml:space="preserve"> these cuts</w:t>
      </w:r>
      <w:r w:rsidR="0054205C">
        <w:rPr>
          <w:rFonts w:ascii="Verdana" w:hAnsi="Verdana"/>
        </w:rPr>
        <w:t>, increasing their vulnerability to poverty.</w:t>
      </w:r>
      <w:r w:rsidR="00103882">
        <w:rPr>
          <w:rStyle w:val="FootnoteReference"/>
          <w:rFonts w:ascii="Verdana" w:hAnsi="Verdana"/>
        </w:rPr>
        <w:footnoteReference w:id="114"/>
      </w:r>
    </w:p>
    <w:p w14:paraId="6705B892" w14:textId="77777777" w:rsidR="006546EB" w:rsidRPr="006546EB" w:rsidRDefault="006546EB" w:rsidP="00A361AB">
      <w:pPr>
        <w:pStyle w:val="ListParagraph"/>
        <w:spacing w:line="360" w:lineRule="auto"/>
        <w:rPr>
          <w:rFonts w:ascii="Verdana" w:hAnsi="Verdana"/>
        </w:rPr>
      </w:pPr>
    </w:p>
    <w:p w14:paraId="4A638582" w14:textId="5921499A" w:rsidR="006546EB" w:rsidRDefault="006546EB" w:rsidP="006464FC">
      <w:pPr>
        <w:pStyle w:val="ListParagraph"/>
        <w:numPr>
          <w:ilvl w:val="1"/>
          <w:numId w:val="28"/>
        </w:numPr>
        <w:spacing w:line="360" w:lineRule="auto"/>
        <w:ind w:left="709"/>
        <w:rPr>
          <w:rFonts w:ascii="Verdana" w:hAnsi="Verdana"/>
        </w:rPr>
      </w:pPr>
      <w:r>
        <w:rPr>
          <w:rFonts w:ascii="Verdana" w:hAnsi="Verdana"/>
        </w:rPr>
        <w:t xml:space="preserve">The UN ICESCR Committee </w:t>
      </w:r>
      <w:r w:rsidR="00E1033B">
        <w:rPr>
          <w:rFonts w:ascii="Verdana" w:hAnsi="Verdana"/>
        </w:rPr>
        <w:t>has registered its concern at the increased rates of poverty in the UK</w:t>
      </w:r>
      <w:r w:rsidR="00C9024D">
        <w:rPr>
          <w:rFonts w:ascii="Verdana" w:hAnsi="Verdana"/>
        </w:rPr>
        <w:t xml:space="preserve">, which disproportionately affects </w:t>
      </w:r>
      <w:r w:rsidR="00EB0A39">
        <w:rPr>
          <w:rFonts w:ascii="Verdana" w:hAnsi="Verdana"/>
        </w:rPr>
        <w:t xml:space="preserve">minority </w:t>
      </w:r>
      <w:r w:rsidR="00C9024D">
        <w:rPr>
          <w:rFonts w:ascii="Verdana" w:hAnsi="Verdana"/>
        </w:rPr>
        <w:t>groups, including people with disabilities.</w:t>
      </w:r>
      <w:r w:rsidR="00436CA4">
        <w:rPr>
          <w:rStyle w:val="FootnoteReference"/>
          <w:rFonts w:ascii="Verdana" w:hAnsi="Verdana"/>
        </w:rPr>
        <w:footnoteReference w:id="115"/>
      </w:r>
      <w:r w:rsidR="00C9024D">
        <w:rPr>
          <w:rFonts w:ascii="Verdana" w:hAnsi="Verdana"/>
        </w:rPr>
        <w:t xml:space="preserve"> The UN ICESCR Committee further notes </w:t>
      </w:r>
      <w:r w:rsidR="00DB530C">
        <w:rPr>
          <w:rFonts w:ascii="Verdana" w:hAnsi="Verdana"/>
        </w:rPr>
        <w:t>with</w:t>
      </w:r>
      <w:r w:rsidR="00C9024D">
        <w:rPr>
          <w:rFonts w:ascii="Verdana" w:hAnsi="Verdana"/>
        </w:rPr>
        <w:t xml:space="preserve"> concern </w:t>
      </w:r>
      <w:r w:rsidR="00DB530C">
        <w:rPr>
          <w:rFonts w:ascii="Verdana" w:hAnsi="Verdana"/>
        </w:rPr>
        <w:t xml:space="preserve">the </w:t>
      </w:r>
      <w:r w:rsidR="008D7909">
        <w:rPr>
          <w:rFonts w:ascii="Verdana" w:hAnsi="Verdana"/>
        </w:rPr>
        <w:t>“insufficient social security support in current anti-poverty measures</w:t>
      </w:r>
      <w:r w:rsidR="005F60BA">
        <w:rPr>
          <w:rFonts w:ascii="Verdana" w:hAnsi="Verdana"/>
        </w:rPr>
        <w:t>,</w:t>
      </w:r>
      <w:r w:rsidR="008D7909">
        <w:rPr>
          <w:rFonts w:ascii="Verdana" w:hAnsi="Verdana"/>
        </w:rPr>
        <w:t xml:space="preserve"> </w:t>
      </w:r>
      <w:r w:rsidR="00A14ED9" w:rsidRPr="00A14ED9">
        <w:rPr>
          <w:rFonts w:ascii="Verdana" w:hAnsi="Verdana"/>
        </w:rPr>
        <w:t>the lack of a comprehensive child poverty eradication strategy and the growing number of households unable to afford electricity, gas, water, sanitation, heating and clothing</w:t>
      </w:r>
      <w:r w:rsidR="00C04918">
        <w:rPr>
          <w:rFonts w:ascii="Verdana" w:hAnsi="Verdana"/>
        </w:rPr>
        <w:t>”.</w:t>
      </w:r>
      <w:r w:rsidR="00C04918">
        <w:rPr>
          <w:rStyle w:val="FootnoteReference"/>
          <w:rFonts w:ascii="Verdana" w:hAnsi="Verdana"/>
        </w:rPr>
        <w:footnoteReference w:id="116"/>
      </w:r>
      <w:r w:rsidR="00EC050E">
        <w:rPr>
          <w:rFonts w:ascii="Verdana" w:hAnsi="Verdana"/>
        </w:rPr>
        <w:t xml:space="preserve"> The UN ICESCR committee has recommended </w:t>
      </w:r>
      <w:r w:rsidR="0040097B">
        <w:rPr>
          <w:rFonts w:ascii="Verdana" w:hAnsi="Verdana"/>
        </w:rPr>
        <w:t xml:space="preserve">that </w:t>
      </w:r>
      <w:r w:rsidR="00EC050E">
        <w:rPr>
          <w:rFonts w:ascii="Verdana" w:hAnsi="Verdana"/>
        </w:rPr>
        <w:t xml:space="preserve">the UK Government </w:t>
      </w:r>
      <w:r w:rsidR="004F6816">
        <w:rPr>
          <w:rFonts w:ascii="Verdana" w:hAnsi="Verdana"/>
        </w:rPr>
        <w:t>“enhance measures to address the multidimensional determ</w:t>
      </w:r>
      <w:r w:rsidR="00195323">
        <w:rPr>
          <w:rFonts w:ascii="Verdana" w:hAnsi="Verdana"/>
        </w:rPr>
        <w:t>inants of poverty, particularly in NI”.</w:t>
      </w:r>
      <w:r w:rsidR="00195323">
        <w:rPr>
          <w:rStyle w:val="FootnoteReference"/>
          <w:rFonts w:ascii="Verdana" w:hAnsi="Verdana"/>
        </w:rPr>
        <w:footnoteReference w:id="117"/>
      </w:r>
    </w:p>
    <w:p w14:paraId="1EA7535C" w14:textId="77777777" w:rsidR="00730BB0" w:rsidRPr="00730BB0" w:rsidRDefault="00730BB0" w:rsidP="00A361AB">
      <w:pPr>
        <w:pStyle w:val="ListParagraph"/>
        <w:spacing w:line="360" w:lineRule="auto"/>
        <w:rPr>
          <w:rFonts w:ascii="Verdana" w:hAnsi="Verdana"/>
        </w:rPr>
      </w:pPr>
    </w:p>
    <w:p w14:paraId="1AC12C27" w14:textId="1FF646C4" w:rsidR="00AD0F76" w:rsidRDefault="00731B32" w:rsidP="006464FC">
      <w:pPr>
        <w:pStyle w:val="ListParagraph"/>
        <w:numPr>
          <w:ilvl w:val="1"/>
          <w:numId w:val="28"/>
        </w:numPr>
        <w:spacing w:line="360" w:lineRule="auto"/>
        <w:ind w:left="709"/>
        <w:rPr>
          <w:rFonts w:ascii="Verdana" w:hAnsi="Verdana"/>
        </w:rPr>
      </w:pPr>
      <w:r>
        <w:rPr>
          <w:rFonts w:ascii="Verdana" w:hAnsi="Verdana"/>
        </w:rPr>
        <w:t>Further, t</w:t>
      </w:r>
      <w:r w:rsidR="00730BB0">
        <w:rPr>
          <w:rFonts w:ascii="Verdana" w:hAnsi="Verdana"/>
        </w:rPr>
        <w:t xml:space="preserve">he UN CRC Committee </w:t>
      </w:r>
      <w:r w:rsidR="00871522">
        <w:rPr>
          <w:rFonts w:ascii="Verdana" w:hAnsi="Verdana"/>
        </w:rPr>
        <w:t xml:space="preserve">has noted its concern at the large number of children living in poverty </w:t>
      </w:r>
      <w:r w:rsidR="008434C7">
        <w:rPr>
          <w:rFonts w:ascii="Verdana" w:hAnsi="Verdana"/>
        </w:rPr>
        <w:t xml:space="preserve">in </w:t>
      </w:r>
      <w:r w:rsidR="00EB0A39">
        <w:rPr>
          <w:rFonts w:ascii="Verdana" w:hAnsi="Verdana"/>
        </w:rPr>
        <w:t>G</w:t>
      </w:r>
      <w:r w:rsidR="00651CFC">
        <w:rPr>
          <w:rFonts w:ascii="Verdana" w:hAnsi="Verdana"/>
        </w:rPr>
        <w:t xml:space="preserve">reat </w:t>
      </w:r>
      <w:r w:rsidR="00EB0A39">
        <w:rPr>
          <w:rFonts w:ascii="Verdana" w:hAnsi="Verdana"/>
        </w:rPr>
        <w:t>B</w:t>
      </w:r>
      <w:r w:rsidR="00651CFC">
        <w:rPr>
          <w:rFonts w:ascii="Verdana" w:hAnsi="Verdana"/>
        </w:rPr>
        <w:t>ritain</w:t>
      </w:r>
      <w:r w:rsidR="008434C7">
        <w:rPr>
          <w:rFonts w:ascii="Verdana" w:hAnsi="Verdana"/>
        </w:rPr>
        <w:t xml:space="preserve"> and NI, recommending that </w:t>
      </w:r>
      <w:r w:rsidR="00AD0F76">
        <w:rPr>
          <w:rFonts w:ascii="Verdana" w:hAnsi="Verdana"/>
        </w:rPr>
        <w:t>the state:</w:t>
      </w:r>
    </w:p>
    <w:p w14:paraId="3B2234DD" w14:textId="77777777" w:rsidR="00F71F5D" w:rsidRDefault="00F71F5D" w:rsidP="00A361AB">
      <w:pPr>
        <w:pStyle w:val="ListParagraph"/>
        <w:spacing w:line="360" w:lineRule="auto"/>
        <w:rPr>
          <w:rFonts w:ascii="Verdana" w:hAnsi="Verdana"/>
        </w:rPr>
      </w:pPr>
    </w:p>
    <w:p w14:paraId="209ACC56" w14:textId="0E10F20A" w:rsidR="00F71F5D" w:rsidRPr="00844D4E" w:rsidRDefault="00F71F5D" w:rsidP="00A361AB">
      <w:pPr>
        <w:pStyle w:val="ListParagraph"/>
        <w:spacing w:line="360" w:lineRule="auto"/>
        <w:ind w:left="993"/>
        <w:rPr>
          <w:rFonts w:ascii="Verdana" w:hAnsi="Verdana"/>
        </w:rPr>
      </w:pPr>
      <w:r>
        <w:rPr>
          <w:rFonts w:ascii="Verdana" w:hAnsi="Verdana"/>
        </w:rPr>
        <w:t>d</w:t>
      </w:r>
      <w:r w:rsidRPr="00AD0F76">
        <w:rPr>
          <w:rFonts w:ascii="Verdana" w:hAnsi="Verdana"/>
        </w:rPr>
        <w:t>evelop or strengthen existing policies, with clear targets, measurable indicators and robust monitoring and accountability mechanisms, to end child poverty and ensure that all children have an adequate standard of living, including by increasing social benefits to reflect the rising cost of living and abolishing the two-child limit and benefit cap for social security benefits</w:t>
      </w:r>
      <w:r>
        <w:rPr>
          <w:rFonts w:ascii="Verdana" w:hAnsi="Verdana"/>
        </w:rPr>
        <w:t>.</w:t>
      </w:r>
      <w:r>
        <w:rPr>
          <w:rStyle w:val="FootnoteReference"/>
          <w:rFonts w:ascii="Verdana" w:hAnsi="Verdana"/>
        </w:rPr>
        <w:footnoteReference w:id="118"/>
      </w:r>
    </w:p>
    <w:p w14:paraId="44432A9C" w14:textId="77777777" w:rsidR="00F71F5D" w:rsidRPr="00F71F5D" w:rsidRDefault="00F71F5D" w:rsidP="00A361AB">
      <w:pPr>
        <w:pStyle w:val="ListParagraph"/>
        <w:spacing w:line="360" w:lineRule="auto"/>
        <w:rPr>
          <w:rFonts w:ascii="Verdana" w:hAnsi="Verdana"/>
        </w:rPr>
      </w:pPr>
    </w:p>
    <w:p w14:paraId="25763E5D" w14:textId="35ECC4E9" w:rsidR="00F71F5D" w:rsidRDefault="00B57509" w:rsidP="006464FC">
      <w:pPr>
        <w:pStyle w:val="ListParagraph"/>
        <w:numPr>
          <w:ilvl w:val="1"/>
          <w:numId w:val="28"/>
        </w:numPr>
        <w:spacing w:line="360" w:lineRule="auto"/>
        <w:ind w:left="709"/>
        <w:rPr>
          <w:rFonts w:ascii="Verdana" w:hAnsi="Verdana"/>
        </w:rPr>
      </w:pPr>
      <w:r>
        <w:rPr>
          <w:rFonts w:ascii="Verdana" w:hAnsi="Verdana"/>
        </w:rPr>
        <w:t xml:space="preserve">Concern about levels of poverty in the UK were shared by the UN CERD Committee, which </w:t>
      </w:r>
      <w:r w:rsidR="00C9529F">
        <w:rPr>
          <w:rFonts w:ascii="Verdana" w:hAnsi="Verdana"/>
        </w:rPr>
        <w:t xml:space="preserve">recommended that the </w:t>
      </w:r>
      <w:r w:rsidR="00CF218F">
        <w:rPr>
          <w:rFonts w:ascii="Verdana" w:hAnsi="Verdana"/>
        </w:rPr>
        <w:t>S</w:t>
      </w:r>
      <w:r w:rsidR="00C9529F">
        <w:rPr>
          <w:rFonts w:ascii="Verdana" w:hAnsi="Verdana"/>
        </w:rPr>
        <w:t xml:space="preserve">tate adopt measures to </w:t>
      </w:r>
      <w:r w:rsidR="00394951">
        <w:rPr>
          <w:rFonts w:ascii="Verdana" w:hAnsi="Verdana"/>
        </w:rPr>
        <w:t xml:space="preserve">combat </w:t>
      </w:r>
      <w:r w:rsidR="00394951">
        <w:rPr>
          <w:rFonts w:ascii="Verdana" w:hAnsi="Verdana"/>
        </w:rPr>
        <w:lastRenderedPageBreak/>
        <w:t>“persistent poverty, which disproportionately affects ethnic minorities, in particular children”.</w:t>
      </w:r>
      <w:r w:rsidR="00394951">
        <w:rPr>
          <w:rStyle w:val="FootnoteReference"/>
          <w:rFonts w:ascii="Verdana" w:hAnsi="Verdana"/>
        </w:rPr>
        <w:footnoteReference w:id="119"/>
      </w:r>
    </w:p>
    <w:p w14:paraId="27A556F2" w14:textId="77777777" w:rsidR="00010941" w:rsidRDefault="00010941" w:rsidP="00A361AB">
      <w:pPr>
        <w:pStyle w:val="ListParagraph"/>
        <w:spacing w:line="360" w:lineRule="auto"/>
        <w:ind w:left="709"/>
        <w:rPr>
          <w:rFonts w:ascii="Verdana" w:hAnsi="Verdana"/>
        </w:rPr>
      </w:pPr>
    </w:p>
    <w:p w14:paraId="57E98A3F" w14:textId="465BCB39" w:rsidR="00010941" w:rsidRDefault="00010941" w:rsidP="006464FC">
      <w:pPr>
        <w:pStyle w:val="ListParagraph"/>
        <w:numPr>
          <w:ilvl w:val="1"/>
          <w:numId w:val="28"/>
        </w:numPr>
        <w:spacing w:line="360" w:lineRule="auto"/>
        <w:ind w:left="709"/>
        <w:rPr>
          <w:rFonts w:ascii="Verdana" w:hAnsi="Verdana"/>
        </w:rPr>
      </w:pPr>
      <w:r>
        <w:rPr>
          <w:rFonts w:ascii="Verdana" w:hAnsi="Verdana"/>
        </w:rPr>
        <w:t xml:space="preserve">The UN CRPD Committee </w:t>
      </w:r>
      <w:r w:rsidR="00097E65">
        <w:rPr>
          <w:rFonts w:ascii="Verdana" w:hAnsi="Verdana"/>
        </w:rPr>
        <w:t>ha</w:t>
      </w:r>
      <w:r w:rsidR="001902D9">
        <w:rPr>
          <w:rFonts w:ascii="Verdana" w:hAnsi="Verdana"/>
        </w:rPr>
        <w:t>s</w:t>
      </w:r>
      <w:r w:rsidR="00097E65">
        <w:rPr>
          <w:rFonts w:ascii="Verdana" w:hAnsi="Verdana"/>
        </w:rPr>
        <w:t xml:space="preserve"> noted the disproportionate impact of austerity measures on people with disabilities</w:t>
      </w:r>
      <w:r w:rsidR="00D042D0">
        <w:rPr>
          <w:rFonts w:ascii="Verdana" w:hAnsi="Verdana"/>
        </w:rPr>
        <w:t>, increasing disabled people and their families</w:t>
      </w:r>
      <w:r w:rsidR="00752A22">
        <w:rPr>
          <w:rFonts w:ascii="Verdana" w:hAnsi="Verdana"/>
        </w:rPr>
        <w:t>’</w:t>
      </w:r>
      <w:r w:rsidR="00D042D0">
        <w:rPr>
          <w:rFonts w:ascii="Verdana" w:hAnsi="Verdana"/>
        </w:rPr>
        <w:t xml:space="preserve"> reliance on food banks</w:t>
      </w:r>
      <w:r w:rsidR="003A7964">
        <w:rPr>
          <w:rFonts w:ascii="Verdana" w:hAnsi="Verdana"/>
        </w:rPr>
        <w:t xml:space="preserve">. The UN CRPD Committee recommended that </w:t>
      </w:r>
      <w:r w:rsidR="00097E65">
        <w:rPr>
          <w:rFonts w:ascii="Verdana" w:hAnsi="Verdana"/>
        </w:rPr>
        <w:t>that the UK Government</w:t>
      </w:r>
      <w:r w:rsidR="00E14AFC">
        <w:rPr>
          <w:rFonts w:ascii="Verdana" w:hAnsi="Verdana"/>
        </w:rPr>
        <w:t>:</w:t>
      </w:r>
    </w:p>
    <w:p w14:paraId="1398ADCD" w14:textId="77777777" w:rsidR="00E14AFC" w:rsidRPr="00E14AFC" w:rsidRDefault="00E14AFC" w:rsidP="00A361AB">
      <w:pPr>
        <w:pStyle w:val="ListParagraph"/>
        <w:spacing w:line="360" w:lineRule="auto"/>
        <w:rPr>
          <w:rFonts w:ascii="Verdana" w:hAnsi="Verdana"/>
        </w:rPr>
      </w:pPr>
    </w:p>
    <w:p w14:paraId="05150CCC" w14:textId="0E870564" w:rsidR="00E14AFC" w:rsidRDefault="006A7224" w:rsidP="00A361AB">
      <w:pPr>
        <w:pStyle w:val="ListParagraph"/>
        <w:spacing w:line="360" w:lineRule="auto"/>
        <w:ind w:left="993"/>
        <w:rPr>
          <w:rFonts w:ascii="Verdana" w:hAnsi="Verdana"/>
        </w:rPr>
      </w:pPr>
      <w:r>
        <w:rPr>
          <w:rFonts w:ascii="Verdana" w:hAnsi="Verdana"/>
        </w:rPr>
        <w:t>i</w:t>
      </w:r>
      <w:r w:rsidR="00E14AFC" w:rsidRPr="00E14AFC">
        <w:rPr>
          <w:rFonts w:ascii="Verdana" w:hAnsi="Verdana"/>
        </w:rPr>
        <w:t xml:space="preserve">ntroduce, adopt and implement legislative frameworks to ensure that social protection policies and programmes across the State party secure income levels for all persons with disabilities and their families, by </w:t>
      </w:r>
      <w:proofErr w:type="gramStart"/>
      <w:r w:rsidR="00E14AFC" w:rsidRPr="00E14AFC">
        <w:rPr>
          <w:rFonts w:ascii="Verdana" w:hAnsi="Verdana"/>
        </w:rPr>
        <w:t>taking into account</w:t>
      </w:r>
      <w:proofErr w:type="gramEnd"/>
      <w:r w:rsidR="00E14AFC" w:rsidRPr="00E14AFC">
        <w:rPr>
          <w:rFonts w:ascii="Verdana" w:hAnsi="Verdana"/>
        </w:rPr>
        <w:t xml:space="preserve"> the additional costs relating to disability, and ensuring that persons with disabilities </w:t>
      </w:r>
      <w:proofErr w:type="gramStart"/>
      <w:r w:rsidR="00E14AFC" w:rsidRPr="00E14AFC">
        <w:rPr>
          <w:rFonts w:ascii="Verdana" w:hAnsi="Verdana"/>
        </w:rPr>
        <w:t>are able to</w:t>
      </w:r>
      <w:proofErr w:type="gramEnd"/>
      <w:r w:rsidR="00E14AFC" w:rsidRPr="00E14AFC">
        <w:rPr>
          <w:rFonts w:ascii="Verdana" w:hAnsi="Verdana"/>
        </w:rPr>
        <w:t xml:space="preserve"> exercise their parental responsibilities</w:t>
      </w:r>
      <w:r>
        <w:rPr>
          <w:rFonts w:ascii="Verdana" w:hAnsi="Verdana"/>
        </w:rPr>
        <w:t>.</w:t>
      </w:r>
      <w:r>
        <w:rPr>
          <w:rStyle w:val="FootnoteReference"/>
          <w:rFonts w:ascii="Verdana" w:hAnsi="Verdana"/>
        </w:rPr>
        <w:footnoteReference w:id="120"/>
      </w:r>
    </w:p>
    <w:p w14:paraId="11E39ACC" w14:textId="77777777" w:rsidR="00E14AFC" w:rsidRPr="00E14AFC" w:rsidRDefault="00E14AFC" w:rsidP="00A361AB">
      <w:pPr>
        <w:pStyle w:val="ListParagraph"/>
        <w:spacing w:line="360" w:lineRule="auto"/>
        <w:rPr>
          <w:rFonts w:ascii="Verdana" w:hAnsi="Verdana"/>
        </w:rPr>
      </w:pPr>
    </w:p>
    <w:p w14:paraId="64CFC5C9" w14:textId="6171D611" w:rsidR="00E14AFC" w:rsidRPr="009D7F62" w:rsidRDefault="00111B7B" w:rsidP="006464FC">
      <w:pPr>
        <w:pStyle w:val="ListParagraph"/>
        <w:numPr>
          <w:ilvl w:val="1"/>
          <w:numId w:val="28"/>
        </w:numPr>
        <w:spacing w:line="360" w:lineRule="auto"/>
        <w:ind w:left="709"/>
        <w:rPr>
          <w:rFonts w:ascii="Verdana" w:hAnsi="Verdana"/>
        </w:rPr>
      </w:pPr>
      <w:r w:rsidRPr="009D7F62">
        <w:rPr>
          <w:rFonts w:ascii="Verdana" w:hAnsi="Verdana"/>
        </w:rPr>
        <w:t>Th</w:t>
      </w:r>
      <w:r w:rsidR="0079430C" w:rsidRPr="009D7F62">
        <w:rPr>
          <w:rFonts w:ascii="Verdana" w:hAnsi="Verdana"/>
        </w:rPr>
        <w:t xml:space="preserve">e </w:t>
      </w:r>
      <w:r w:rsidR="009D5AB3" w:rsidRPr="009D7F62">
        <w:rPr>
          <w:rFonts w:ascii="Verdana" w:hAnsi="Verdana"/>
        </w:rPr>
        <w:t xml:space="preserve">changes to the </w:t>
      </w:r>
      <w:r w:rsidR="006D4441" w:rsidRPr="009D7F62">
        <w:rPr>
          <w:rFonts w:ascii="Verdana" w:hAnsi="Verdana"/>
        </w:rPr>
        <w:t>P</w:t>
      </w:r>
      <w:r w:rsidR="009D5AB3" w:rsidRPr="009D7F62">
        <w:rPr>
          <w:rFonts w:ascii="Verdana" w:hAnsi="Verdana"/>
        </w:rPr>
        <w:t xml:space="preserve">ersonal </w:t>
      </w:r>
      <w:r w:rsidR="006D4441" w:rsidRPr="009D7F62">
        <w:rPr>
          <w:rFonts w:ascii="Verdana" w:hAnsi="Verdana"/>
        </w:rPr>
        <w:t>I</w:t>
      </w:r>
      <w:r w:rsidR="009D5AB3" w:rsidRPr="009D7F62">
        <w:rPr>
          <w:rFonts w:ascii="Verdana" w:hAnsi="Verdana"/>
        </w:rPr>
        <w:t>ndependen</w:t>
      </w:r>
      <w:r w:rsidR="00C46A0C" w:rsidRPr="009D7F62">
        <w:rPr>
          <w:rFonts w:ascii="Verdana" w:hAnsi="Verdana"/>
        </w:rPr>
        <w:t>ce</w:t>
      </w:r>
      <w:r w:rsidR="009D5AB3" w:rsidRPr="009D7F62">
        <w:rPr>
          <w:rFonts w:ascii="Verdana" w:hAnsi="Verdana"/>
        </w:rPr>
        <w:t xml:space="preserve"> </w:t>
      </w:r>
      <w:r w:rsidR="006D4441" w:rsidRPr="009D7F62">
        <w:rPr>
          <w:rFonts w:ascii="Verdana" w:hAnsi="Verdana"/>
        </w:rPr>
        <w:t>P</w:t>
      </w:r>
      <w:r w:rsidR="009D5AB3" w:rsidRPr="009D7F62">
        <w:rPr>
          <w:rFonts w:ascii="Verdana" w:hAnsi="Verdana"/>
        </w:rPr>
        <w:t xml:space="preserve">ayment eligibility and health element of </w:t>
      </w:r>
      <w:r w:rsidR="00D57AAD" w:rsidRPr="009D7F62">
        <w:rPr>
          <w:rFonts w:ascii="Verdana" w:hAnsi="Verdana"/>
        </w:rPr>
        <w:t>U</w:t>
      </w:r>
      <w:r w:rsidR="009D5AB3" w:rsidRPr="009D7F62">
        <w:rPr>
          <w:rFonts w:ascii="Verdana" w:hAnsi="Verdana"/>
        </w:rPr>
        <w:t xml:space="preserve">niversal </w:t>
      </w:r>
      <w:r w:rsidR="00D57AAD" w:rsidRPr="009D7F62">
        <w:rPr>
          <w:rFonts w:ascii="Verdana" w:hAnsi="Verdana"/>
        </w:rPr>
        <w:t>C</w:t>
      </w:r>
      <w:r w:rsidR="009D5AB3" w:rsidRPr="009D7F62">
        <w:rPr>
          <w:rFonts w:ascii="Verdana" w:hAnsi="Verdana"/>
        </w:rPr>
        <w:t>redit set</w:t>
      </w:r>
      <w:r w:rsidR="0079430C" w:rsidRPr="009D7F62">
        <w:rPr>
          <w:rFonts w:ascii="Verdana" w:hAnsi="Verdana"/>
        </w:rPr>
        <w:t xml:space="preserve"> out in the Department’s Pathways to Work </w:t>
      </w:r>
      <w:r w:rsidR="00D57AAD" w:rsidRPr="009D7F62">
        <w:rPr>
          <w:rFonts w:ascii="Verdana" w:hAnsi="Verdana"/>
        </w:rPr>
        <w:t>G</w:t>
      </w:r>
      <w:r w:rsidR="0079430C" w:rsidRPr="009D7F62">
        <w:rPr>
          <w:rFonts w:ascii="Verdana" w:hAnsi="Verdana"/>
        </w:rPr>
        <w:t xml:space="preserve">reen </w:t>
      </w:r>
      <w:r w:rsidR="00D57AAD" w:rsidRPr="009D7F62">
        <w:rPr>
          <w:rFonts w:ascii="Verdana" w:hAnsi="Verdana"/>
        </w:rPr>
        <w:t>P</w:t>
      </w:r>
      <w:r w:rsidR="0079430C" w:rsidRPr="009D7F62">
        <w:rPr>
          <w:rFonts w:ascii="Verdana" w:hAnsi="Verdana"/>
        </w:rPr>
        <w:t xml:space="preserve">aper </w:t>
      </w:r>
      <w:r w:rsidR="00EB0A39">
        <w:rPr>
          <w:rFonts w:ascii="Verdana" w:hAnsi="Verdana"/>
        </w:rPr>
        <w:t>is</w:t>
      </w:r>
      <w:r w:rsidR="00EB0A39" w:rsidRPr="009D7F62">
        <w:rPr>
          <w:rFonts w:ascii="Verdana" w:hAnsi="Verdana"/>
        </w:rPr>
        <w:t xml:space="preserve"> </w:t>
      </w:r>
      <w:r w:rsidR="000A6B2B" w:rsidRPr="009D7F62">
        <w:rPr>
          <w:rFonts w:ascii="Verdana" w:hAnsi="Verdana"/>
        </w:rPr>
        <w:t xml:space="preserve">likely </w:t>
      </w:r>
      <w:r w:rsidR="00EB0A39">
        <w:rPr>
          <w:rFonts w:ascii="Verdana" w:hAnsi="Verdana"/>
        </w:rPr>
        <w:t xml:space="preserve">to </w:t>
      </w:r>
      <w:r w:rsidR="000A6B2B" w:rsidRPr="009D7F62">
        <w:rPr>
          <w:rFonts w:ascii="Verdana" w:hAnsi="Verdana"/>
        </w:rPr>
        <w:t xml:space="preserve">increase </w:t>
      </w:r>
      <w:r w:rsidR="00CF6107" w:rsidRPr="009D7F62">
        <w:rPr>
          <w:rFonts w:ascii="Verdana" w:hAnsi="Verdana"/>
        </w:rPr>
        <w:t xml:space="preserve">the vulnerability to poverty of </w:t>
      </w:r>
      <w:r w:rsidR="000A6B2B" w:rsidRPr="009D7F62">
        <w:rPr>
          <w:rFonts w:ascii="Verdana" w:hAnsi="Verdana"/>
        </w:rPr>
        <w:t>disabled people and people with long term health condition</w:t>
      </w:r>
      <w:r w:rsidR="00CF6107" w:rsidRPr="009D7F62">
        <w:rPr>
          <w:rFonts w:ascii="Verdana" w:hAnsi="Verdana"/>
        </w:rPr>
        <w:t>s</w:t>
      </w:r>
      <w:r w:rsidR="000A6B2B" w:rsidRPr="009D7F62">
        <w:rPr>
          <w:rFonts w:ascii="Verdana" w:hAnsi="Verdana"/>
        </w:rPr>
        <w:t xml:space="preserve">, compound already </w:t>
      </w:r>
      <w:r w:rsidR="00095DAD" w:rsidRPr="009D7F62">
        <w:rPr>
          <w:rFonts w:ascii="Verdana" w:hAnsi="Verdana"/>
        </w:rPr>
        <w:t>disproportionate impacts of previous welfare reforms</w:t>
      </w:r>
      <w:r w:rsidR="00CF6107" w:rsidRPr="009D7F62">
        <w:rPr>
          <w:rFonts w:ascii="Verdana" w:hAnsi="Verdana"/>
        </w:rPr>
        <w:t>,</w:t>
      </w:r>
      <w:r w:rsidR="00095DAD" w:rsidRPr="009D7F62">
        <w:rPr>
          <w:rFonts w:ascii="Verdana" w:hAnsi="Verdana"/>
        </w:rPr>
        <w:t xml:space="preserve"> and </w:t>
      </w:r>
      <w:r w:rsidR="00260436" w:rsidRPr="009D7F62">
        <w:rPr>
          <w:rFonts w:ascii="Verdana" w:hAnsi="Verdana"/>
        </w:rPr>
        <w:t>is un</w:t>
      </w:r>
      <w:r w:rsidR="00095DAD" w:rsidRPr="009D7F62">
        <w:rPr>
          <w:rFonts w:ascii="Verdana" w:hAnsi="Verdana"/>
        </w:rPr>
        <w:t xml:space="preserve">likely </w:t>
      </w:r>
      <w:r w:rsidR="00260436" w:rsidRPr="009D7F62">
        <w:rPr>
          <w:rFonts w:ascii="Verdana" w:hAnsi="Verdana"/>
        </w:rPr>
        <w:t>to</w:t>
      </w:r>
      <w:r w:rsidR="00095DAD" w:rsidRPr="009D7F62">
        <w:rPr>
          <w:rFonts w:ascii="Verdana" w:hAnsi="Verdana"/>
        </w:rPr>
        <w:t xml:space="preserve"> lead to increased employment levels.</w:t>
      </w:r>
      <w:r w:rsidR="00B859FD">
        <w:rPr>
          <w:rStyle w:val="FootnoteReference"/>
          <w:rFonts w:ascii="Verdana" w:hAnsi="Verdana"/>
        </w:rPr>
        <w:footnoteReference w:id="121"/>
      </w:r>
      <w:r w:rsidR="00095DAD" w:rsidRPr="009D7F62">
        <w:rPr>
          <w:rFonts w:ascii="Verdana" w:hAnsi="Verdana"/>
        </w:rPr>
        <w:t xml:space="preserve"> The </w:t>
      </w:r>
      <w:r w:rsidR="00AD2A98" w:rsidRPr="009D7F62">
        <w:rPr>
          <w:rFonts w:ascii="Verdana" w:hAnsi="Verdana"/>
        </w:rPr>
        <w:t>NIHRC is concerned that the impact of these measures on disabled pe</w:t>
      </w:r>
      <w:r w:rsidR="00B65454" w:rsidRPr="009D7F62">
        <w:rPr>
          <w:rFonts w:ascii="Verdana" w:hAnsi="Verdana"/>
        </w:rPr>
        <w:t xml:space="preserve">ople </w:t>
      </w:r>
      <w:r w:rsidR="00AD2A98" w:rsidRPr="009D7F62">
        <w:rPr>
          <w:rFonts w:ascii="Verdana" w:hAnsi="Verdana"/>
        </w:rPr>
        <w:t>in NI has not been fully considered</w:t>
      </w:r>
      <w:r w:rsidR="00B65454" w:rsidRPr="009D7F62">
        <w:rPr>
          <w:rFonts w:ascii="Verdana" w:hAnsi="Verdana"/>
        </w:rPr>
        <w:t>, nor have disabled people</w:t>
      </w:r>
      <w:r w:rsidR="000A4122" w:rsidRPr="009D7F62">
        <w:rPr>
          <w:rFonts w:ascii="Verdana" w:hAnsi="Verdana"/>
        </w:rPr>
        <w:t xml:space="preserve"> in NI</w:t>
      </w:r>
      <w:r w:rsidR="00B65454" w:rsidRPr="009D7F62">
        <w:rPr>
          <w:rFonts w:ascii="Verdana" w:hAnsi="Verdana"/>
        </w:rPr>
        <w:t xml:space="preserve"> been properly consulted regarding the substantive issues set out in the </w:t>
      </w:r>
      <w:r w:rsidR="00A72FA7" w:rsidRPr="009D7F62">
        <w:rPr>
          <w:rFonts w:ascii="Verdana" w:hAnsi="Verdana"/>
        </w:rPr>
        <w:t>G</w:t>
      </w:r>
      <w:r w:rsidR="00B65454" w:rsidRPr="009D7F62">
        <w:rPr>
          <w:rFonts w:ascii="Verdana" w:hAnsi="Verdana"/>
        </w:rPr>
        <w:t xml:space="preserve">reen </w:t>
      </w:r>
      <w:r w:rsidR="00A72FA7" w:rsidRPr="009D7F62">
        <w:rPr>
          <w:rFonts w:ascii="Verdana" w:hAnsi="Verdana"/>
        </w:rPr>
        <w:t>P</w:t>
      </w:r>
      <w:r w:rsidR="00B65454" w:rsidRPr="009D7F62">
        <w:rPr>
          <w:rFonts w:ascii="Verdana" w:hAnsi="Verdana"/>
        </w:rPr>
        <w:t xml:space="preserve">aper. </w:t>
      </w:r>
    </w:p>
    <w:p w14:paraId="15B466A4" w14:textId="77777777" w:rsidR="000A4122" w:rsidRDefault="000A4122" w:rsidP="00A361AB">
      <w:pPr>
        <w:pStyle w:val="ListParagraph"/>
        <w:spacing w:line="360" w:lineRule="auto"/>
        <w:ind w:left="709"/>
        <w:rPr>
          <w:rFonts w:ascii="Verdana" w:hAnsi="Verdana"/>
        </w:rPr>
      </w:pPr>
    </w:p>
    <w:p w14:paraId="2A773431" w14:textId="5CBDDD5B" w:rsidR="000A4122" w:rsidRDefault="000A4122" w:rsidP="006464FC">
      <w:pPr>
        <w:pStyle w:val="ListParagraph"/>
        <w:numPr>
          <w:ilvl w:val="1"/>
          <w:numId w:val="28"/>
        </w:numPr>
        <w:spacing w:line="360" w:lineRule="auto"/>
        <w:ind w:left="709"/>
        <w:rPr>
          <w:rFonts w:ascii="Verdana" w:hAnsi="Verdana"/>
          <w:b/>
          <w:bCs/>
        </w:rPr>
      </w:pPr>
      <w:r w:rsidRPr="00CB4462">
        <w:rPr>
          <w:rFonts w:ascii="Verdana" w:hAnsi="Verdana"/>
          <w:b/>
          <w:bCs/>
        </w:rPr>
        <w:t xml:space="preserve">The NIHRC recommends that the Department for Work and Pensions </w:t>
      </w:r>
      <w:r w:rsidR="00D30182" w:rsidRPr="00CB4462">
        <w:rPr>
          <w:rFonts w:ascii="Verdana" w:hAnsi="Verdana"/>
          <w:b/>
          <w:bCs/>
        </w:rPr>
        <w:t xml:space="preserve">does not change the eligibility criteria for </w:t>
      </w:r>
      <w:r w:rsidR="00153A0F">
        <w:rPr>
          <w:rFonts w:ascii="Verdana" w:hAnsi="Verdana"/>
          <w:b/>
          <w:bCs/>
        </w:rPr>
        <w:t>P</w:t>
      </w:r>
      <w:r w:rsidR="00D30182" w:rsidRPr="00CB4462">
        <w:rPr>
          <w:rFonts w:ascii="Verdana" w:hAnsi="Verdana"/>
          <w:b/>
          <w:bCs/>
        </w:rPr>
        <w:t xml:space="preserve">ersonal </w:t>
      </w:r>
      <w:r w:rsidR="00153A0F">
        <w:rPr>
          <w:rFonts w:ascii="Verdana" w:hAnsi="Verdana"/>
          <w:b/>
          <w:bCs/>
        </w:rPr>
        <w:t>I</w:t>
      </w:r>
      <w:r w:rsidR="00D30182" w:rsidRPr="00CB4462">
        <w:rPr>
          <w:rFonts w:ascii="Verdana" w:hAnsi="Verdana"/>
          <w:b/>
          <w:bCs/>
        </w:rPr>
        <w:t xml:space="preserve">ndependence </w:t>
      </w:r>
      <w:r w:rsidR="00153A0F">
        <w:rPr>
          <w:rFonts w:ascii="Verdana" w:hAnsi="Verdana"/>
          <w:b/>
          <w:bCs/>
        </w:rPr>
        <w:t>P</w:t>
      </w:r>
      <w:r w:rsidR="00D30182" w:rsidRPr="00CB4462">
        <w:rPr>
          <w:rFonts w:ascii="Verdana" w:hAnsi="Verdana"/>
          <w:b/>
          <w:bCs/>
        </w:rPr>
        <w:t xml:space="preserve">ayments without </w:t>
      </w:r>
      <w:r w:rsidR="00CB4462" w:rsidRPr="00CB4462">
        <w:rPr>
          <w:rFonts w:ascii="Verdana" w:hAnsi="Verdana"/>
          <w:b/>
          <w:bCs/>
        </w:rPr>
        <w:t xml:space="preserve">careful and robust consultation </w:t>
      </w:r>
      <w:r w:rsidR="00CB4462" w:rsidRPr="00CB4462">
        <w:rPr>
          <w:rFonts w:ascii="Verdana" w:hAnsi="Verdana"/>
          <w:b/>
          <w:bCs/>
        </w:rPr>
        <w:lastRenderedPageBreak/>
        <w:t>with disabled people and their representative organisations, including in NI</w:t>
      </w:r>
      <w:r w:rsidR="00497667">
        <w:rPr>
          <w:rFonts w:ascii="Verdana" w:hAnsi="Verdana"/>
          <w:b/>
          <w:bCs/>
        </w:rPr>
        <w:t xml:space="preserve">. </w:t>
      </w:r>
    </w:p>
    <w:p w14:paraId="49160E9A" w14:textId="77777777" w:rsidR="00957D66" w:rsidRPr="00957D66" w:rsidRDefault="00957D66" w:rsidP="00A361AB">
      <w:pPr>
        <w:pStyle w:val="ListParagraph"/>
        <w:spacing w:line="360" w:lineRule="auto"/>
        <w:rPr>
          <w:rFonts w:ascii="Verdana" w:hAnsi="Verdana"/>
          <w:b/>
          <w:bCs/>
        </w:rPr>
      </w:pPr>
    </w:p>
    <w:p w14:paraId="5BBBA782" w14:textId="345B446B" w:rsidR="00957D66" w:rsidRDefault="00957D66" w:rsidP="006464FC">
      <w:pPr>
        <w:pStyle w:val="ListParagraph"/>
        <w:numPr>
          <w:ilvl w:val="1"/>
          <w:numId w:val="28"/>
        </w:numPr>
        <w:spacing w:line="360" w:lineRule="auto"/>
        <w:ind w:left="709"/>
        <w:rPr>
          <w:rFonts w:ascii="Verdana" w:hAnsi="Verdana"/>
          <w:b/>
          <w:bCs/>
        </w:rPr>
      </w:pPr>
      <w:r>
        <w:rPr>
          <w:rFonts w:ascii="Verdana" w:hAnsi="Verdana"/>
          <w:b/>
          <w:bCs/>
        </w:rPr>
        <w:t xml:space="preserve">The NIHRC recommends that the Department for Work and Pensions </w:t>
      </w:r>
      <w:r w:rsidR="00496A10">
        <w:rPr>
          <w:rFonts w:ascii="Verdana" w:hAnsi="Verdana"/>
          <w:b/>
          <w:bCs/>
        </w:rPr>
        <w:t xml:space="preserve">continues to ensure that the health element of </w:t>
      </w:r>
      <w:r w:rsidR="00581350">
        <w:rPr>
          <w:rFonts w:ascii="Verdana" w:hAnsi="Verdana"/>
          <w:b/>
          <w:bCs/>
        </w:rPr>
        <w:t>U</w:t>
      </w:r>
      <w:r w:rsidR="00496A10">
        <w:rPr>
          <w:rFonts w:ascii="Verdana" w:hAnsi="Verdana"/>
          <w:b/>
          <w:bCs/>
        </w:rPr>
        <w:t xml:space="preserve">niversal </w:t>
      </w:r>
      <w:r w:rsidR="00581350">
        <w:rPr>
          <w:rFonts w:ascii="Verdana" w:hAnsi="Verdana"/>
          <w:b/>
          <w:bCs/>
        </w:rPr>
        <w:t>C</w:t>
      </w:r>
      <w:r w:rsidR="00496A10">
        <w:rPr>
          <w:rFonts w:ascii="Verdana" w:hAnsi="Verdana"/>
          <w:b/>
          <w:bCs/>
        </w:rPr>
        <w:t xml:space="preserve">redit rises with inflation and that any cuts to the health entitlement are </w:t>
      </w:r>
      <w:r w:rsidR="00211F74">
        <w:rPr>
          <w:rFonts w:ascii="Verdana" w:hAnsi="Verdana"/>
          <w:b/>
          <w:bCs/>
        </w:rPr>
        <w:t xml:space="preserve">delayed until the Department has conducted a cumulative impact assessment of these measures on persons with disabilities and </w:t>
      </w:r>
      <w:r w:rsidR="00CA607E">
        <w:rPr>
          <w:rFonts w:ascii="Verdana" w:hAnsi="Verdana"/>
          <w:b/>
          <w:bCs/>
        </w:rPr>
        <w:t>long-term</w:t>
      </w:r>
      <w:r w:rsidR="00211F74">
        <w:rPr>
          <w:rFonts w:ascii="Verdana" w:hAnsi="Verdana"/>
          <w:b/>
          <w:bCs/>
        </w:rPr>
        <w:t xml:space="preserve"> health conditions, including in NI.</w:t>
      </w:r>
    </w:p>
    <w:p w14:paraId="1FC47A43" w14:textId="77777777" w:rsidR="00593A11" w:rsidRPr="00593A11" w:rsidRDefault="00593A11" w:rsidP="00A361AB">
      <w:pPr>
        <w:pStyle w:val="ListParagraph"/>
        <w:spacing w:line="360" w:lineRule="auto"/>
        <w:rPr>
          <w:rFonts w:ascii="Verdana" w:hAnsi="Verdana"/>
          <w:b/>
          <w:bCs/>
        </w:rPr>
      </w:pPr>
    </w:p>
    <w:p w14:paraId="26FF008A" w14:textId="21DD808D" w:rsidR="00593A11" w:rsidRDefault="00593A11" w:rsidP="006464FC">
      <w:pPr>
        <w:pStyle w:val="ListParagraph"/>
        <w:numPr>
          <w:ilvl w:val="1"/>
          <w:numId w:val="28"/>
        </w:numPr>
        <w:spacing w:line="360" w:lineRule="auto"/>
        <w:ind w:left="709"/>
        <w:rPr>
          <w:rFonts w:ascii="Verdana" w:hAnsi="Verdana"/>
          <w:b/>
          <w:bCs/>
        </w:rPr>
      </w:pPr>
      <w:r w:rsidRPr="407E9047">
        <w:rPr>
          <w:rFonts w:ascii="Verdana" w:hAnsi="Verdana"/>
          <w:b/>
          <w:bCs/>
        </w:rPr>
        <w:t xml:space="preserve">The NIHRC recommends that any changes to the </w:t>
      </w:r>
      <w:r w:rsidR="00581350" w:rsidRPr="407E9047">
        <w:rPr>
          <w:rFonts w:ascii="Verdana" w:hAnsi="Verdana"/>
          <w:b/>
          <w:bCs/>
        </w:rPr>
        <w:t>P</w:t>
      </w:r>
      <w:r w:rsidRPr="407E9047">
        <w:rPr>
          <w:rFonts w:ascii="Verdana" w:hAnsi="Verdana"/>
          <w:b/>
          <w:bCs/>
        </w:rPr>
        <w:t xml:space="preserve">ersonal </w:t>
      </w:r>
      <w:r w:rsidR="00581350" w:rsidRPr="407E9047">
        <w:rPr>
          <w:rFonts w:ascii="Verdana" w:hAnsi="Verdana"/>
          <w:b/>
          <w:bCs/>
        </w:rPr>
        <w:t>I</w:t>
      </w:r>
      <w:r w:rsidRPr="407E9047">
        <w:rPr>
          <w:rFonts w:ascii="Verdana" w:hAnsi="Verdana"/>
          <w:b/>
          <w:bCs/>
        </w:rPr>
        <w:t xml:space="preserve">ndependence </w:t>
      </w:r>
      <w:r w:rsidR="00581350" w:rsidRPr="407E9047">
        <w:rPr>
          <w:rFonts w:ascii="Verdana" w:hAnsi="Verdana"/>
          <w:b/>
          <w:bCs/>
        </w:rPr>
        <w:t>P</w:t>
      </w:r>
      <w:r w:rsidRPr="407E9047">
        <w:rPr>
          <w:rFonts w:ascii="Verdana" w:hAnsi="Verdana"/>
          <w:b/>
          <w:bCs/>
        </w:rPr>
        <w:t xml:space="preserve">ayment and health element of </w:t>
      </w:r>
      <w:r w:rsidR="00581350" w:rsidRPr="407E9047">
        <w:rPr>
          <w:rFonts w:ascii="Verdana" w:hAnsi="Verdana"/>
          <w:b/>
          <w:bCs/>
        </w:rPr>
        <w:t>U</w:t>
      </w:r>
      <w:r w:rsidRPr="407E9047">
        <w:rPr>
          <w:rFonts w:ascii="Verdana" w:hAnsi="Verdana"/>
          <w:b/>
          <w:bCs/>
        </w:rPr>
        <w:t xml:space="preserve">niversal </w:t>
      </w:r>
      <w:r w:rsidR="00581350" w:rsidRPr="407E9047">
        <w:rPr>
          <w:rFonts w:ascii="Verdana" w:hAnsi="Verdana"/>
          <w:b/>
          <w:bCs/>
        </w:rPr>
        <w:t>C</w:t>
      </w:r>
      <w:r w:rsidRPr="407E9047">
        <w:rPr>
          <w:rFonts w:ascii="Verdana" w:hAnsi="Verdana"/>
          <w:b/>
          <w:bCs/>
        </w:rPr>
        <w:t xml:space="preserve">redit </w:t>
      </w:r>
      <w:r w:rsidR="00C42480" w:rsidRPr="407E9047">
        <w:rPr>
          <w:rFonts w:ascii="Verdana" w:hAnsi="Verdana"/>
          <w:b/>
          <w:bCs/>
        </w:rPr>
        <w:t>introduced are</w:t>
      </w:r>
      <w:r w:rsidR="00A63451" w:rsidRPr="407E9047">
        <w:rPr>
          <w:rFonts w:ascii="Verdana" w:hAnsi="Verdana"/>
          <w:b/>
          <w:bCs/>
        </w:rPr>
        <w:t xml:space="preserve"> </w:t>
      </w:r>
      <w:r w:rsidR="750814D2" w:rsidRPr="407E9047">
        <w:rPr>
          <w:rFonts w:ascii="Verdana" w:hAnsi="Verdana"/>
          <w:b/>
          <w:bCs/>
        </w:rPr>
        <w:t>introduced</w:t>
      </w:r>
      <w:r w:rsidR="00A63451" w:rsidRPr="407E9047">
        <w:rPr>
          <w:rFonts w:ascii="Verdana" w:hAnsi="Verdana"/>
          <w:b/>
          <w:bCs/>
        </w:rPr>
        <w:t xml:space="preserve"> alongside a robust support and engagement packag</w:t>
      </w:r>
      <w:r w:rsidR="00606831" w:rsidRPr="407E9047">
        <w:rPr>
          <w:rFonts w:ascii="Verdana" w:hAnsi="Verdana"/>
          <w:b/>
          <w:bCs/>
        </w:rPr>
        <w:t xml:space="preserve">e, developed in conjunction with disabled people and their representative organisations, including in NI, to ensure that transition to new systems is well understood and </w:t>
      </w:r>
      <w:r w:rsidR="000437E2" w:rsidRPr="407E9047">
        <w:rPr>
          <w:rFonts w:ascii="Verdana" w:hAnsi="Verdana"/>
          <w:b/>
          <w:bCs/>
        </w:rPr>
        <w:t>the risk of affected individuals</w:t>
      </w:r>
      <w:r w:rsidR="0000466F" w:rsidRPr="407E9047">
        <w:rPr>
          <w:rFonts w:ascii="Verdana" w:hAnsi="Verdana"/>
          <w:b/>
          <w:bCs/>
        </w:rPr>
        <w:t>’</w:t>
      </w:r>
      <w:r w:rsidR="000437E2" w:rsidRPr="407E9047">
        <w:rPr>
          <w:rFonts w:ascii="Verdana" w:hAnsi="Verdana"/>
          <w:b/>
          <w:bCs/>
        </w:rPr>
        <w:t xml:space="preserve"> increased vulnerability to poverty is mitigated.</w:t>
      </w:r>
    </w:p>
    <w:p w14:paraId="5F0B1E82" w14:textId="77777777" w:rsidR="00BB70CF" w:rsidRDefault="00BB70CF" w:rsidP="00A361AB">
      <w:pPr>
        <w:spacing w:line="360" w:lineRule="auto"/>
        <w:rPr>
          <w:rFonts w:ascii="Verdana" w:hAnsi="Verdana"/>
          <w:b/>
          <w:bCs/>
        </w:rPr>
      </w:pPr>
    </w:p>
    <w:p w14:paraId="0BECB2AE" w14:textId="7ACA8359" w:rsidR="00734869" w:rsidRPr="00734869" w:rsidRDefault="4FB3F09D" w:rsidP="00A361AB">
      <w:pPr>
        <w:pStyle w:val="Heading2"/>
        <w:spacing w:line="360" w:lineRule="auto"/>
      </w:pPr>
      <w:bookmarkStart w:id="16" w:name="_Toc201648667"/>
      <w:r>
        <w:t>Abolishing</w:t>
      </w:r>
      <w:r w:rsidR="006F572C">
        <w:t xml:space="preserve"> the Work Capabilities Assessment</w:t>
      </w:r>
      <w:bookmarkEnd w:id="16"/>
    </w:p>
    <w:p w14:paraId="294F3759" w14:textId="5076A253" w:rsidR="00BB70CF" w:rsidRPr="009B764A" w:rsidRDefault="00A50CA2" w:rsidP="006464FC">
      <w:pPr>
        <w:pStyle w:val="ListParagraph"/>
        <w:numPr>
          <w:ilvl w:val="1"/>
          <w:numId w:val="28"/>
        </w:numPr>
        <w:spacing w:line="360" w:lineRule="auto"/>
        <w:ind w:left="709"/>
        <w:rPr>
          <w:rFonts w:ascii="Verdana" w:hAnsi="Verdana"/>
          <w:b/>
          <w:bCs/>
        </w:rPr>
      </w:pPr>
      <w:r>
        <w:rPr>
          <w:rFonts w:ascii="Verdana" w:hAnsi="Verdana"/>
        </w:rPr>
        <w:t xml:space="preserve">The Department for Work and Pensions’ </w:t>
      </w:r>
      <w:r w:rsidR="00546E3D">
        <w:rPr>
          <w:rFonts w:ascii="Verdana" w:hAnsi="Verdana"/>
        </w:rPr>
        <w:t>G</w:t>
      </w:r>
      <w:r>
        <w:rPr>
          <w:rFonts w:ascii="Verdana" w:hAnsi="Verdana"/>
        </w:rPr>
        <w:t xml:space="preserve">reen </w:t>
      </w:r>
      <w:r w:rsidR="00546E3D">
        <w:rPr>
          <w:rFonts w:ascii="Verdana" w:hAnsi="Verdana"/>
        </w:rPr>
        <w:t xml:space="preserve">Paper </w:t>
      </w:r>
      <w:r>
        <w:rPr>
          <w:rFonts w:ascii="Verdana" w:hAnsi="Verdana"/>
        </w:rPr>
        <w:t xml:space="preserve">identifies its intention to </w:t>
      </w:r>
      <w:r w:rsidR="1753BE71">
        <w:rPr>
          <w:rFonts w:ascii="Verdana" w:hAnsi="Verdana"/>
        </w:rPr>
        <w:t>abolish</w:t>
      </w:r>
      <w:r>
        <w:rPr>
          <w:rFonts w:ascii="Verdana" w:hAnsi="Verdana"/>
        </w:rPr>
        <w:t xml:space="preserve"> the </w:t>
      </w:r>
      <w:r w:rsidR="0010027E">
        <w:rPr>
          <w:rFonts w:ascii="Verdana" w:hAnsi="Verdana"/>
        </w:rPr>
        <w:t>Work C</w:t>
      </w:r>
      <w:r>
        <w:rPr>
          <w:rFonts w:ascii="Verdana" w:hAnsi="Verdana"/>
        </w:rPr>
        <w:t xml:space="preserve">apabilities </w:t>
      </w:r>
      <w:r w:rsidR="009F2FC4">
        <w:rPr>
          <w:rFonts w:ascii="Verdana" w:hAnsi="Verdana"/>
        </w:rPr>
        <w:t>A</w:t>
      </w:r>
      <w:r>
        <w:rPr>
          <w:rFonts w:ascii="Verdana" w:hAnsi="Verdana"/>
        </w:rPr>
        <w:t xml:space="preserve">ssessment </w:t>
      </w:r>
      <w:r w:rsidR="008D4083">
        <w:rPr>
          <w:rFonts w:ascii="Verdana" w:hAnsi="Verdana"/>
        </w:rPr>
        <w:t xml:space="preserve">and assess both eligibility for </w:t>
      </w:r>
      <w:r w:rsidR="0010027E">
        <w:rPr>
          <w:rFonts w:ascii="Verdana" w:hAnsi="Verdana"/>
        </w:rPr>
        <w:t>P</w:t>
      </w:r>
      <w:r w:rsidR="008D4083">
        <w:rPr>
          <w:rFonts w:ascii="Verdana" w:hAnsi="Verdana"/>
        </w:rPr>
        <w:t xml:space="preserve">ersonal </w:t>
      </w:r>
      <w:r w:rsidR="0010027E">
        <w:rPr>
          <w:rFonts w:ascii="Verdana" w:hAnsi="Verdana"/>
        </w:rPr>
        <w:t>I</w:t>
      </w:r>
      <w:r w:rsidR="008D4083">
        <w:rPr>
          <w:rFonts w:ascii="Verdana" w:hAnsi="Verdana"/>
        </w:rPr>
        <w:t xml:space="preserve">ndependence </w:t>
      </w:r>
      <w:r w:rsidR="0010027E">
        <w:rPr>
          <w:rFonts w:ascii="Verdana" w:hAnsi="Verdana"/>
        </w:rPr>
        <w:t>P</w:t>
      </w:r>
      <w:r w:rsidR="008D4083">
        <w:rPr>
          <w:rFonts w:ascii="Verdana" w:hAnsi="Verdana"/>
        </w:rPr>
        <w:t xml:space="preserve">ayments and </w:t>
      </w:r>
      <w:r w:rsidR="00B17FC8">
        <w:rPr>
          <w:rFonts w:ascii="Verdana" w:hAnsi="Verdana"/>
        </w:rPr>
        <w:t xml:space="preserve">the health element of </w:t>
      </w:r>
      <w:r w:rsidR="0010027E">
        <w:rPr>
          <w:rFonts w:ascii="Verdana" w:hAnsi="Verdana"/>
        </w:rPr>
        <w:t>Universal C</w:t>
      </w:r>
      <w:r w:rsidR="00B17FC8">
        <w:rPr>
          <w:rFonts w:ascii="Verdana" w:hAnsi="Verdana"/>
        </w:rPr>
        <w:t xml:space="preserve">redit under one assessment – the </w:t>
      </w:r>
      <w:r w:rsidR="0010027E">
        <w:rPr>
          <w:rFonts w:ascii="Verdana" w:hAnsi="Verdana"/>
        </w:rPr>
        <w:t>P</w:t>
      </w:r>
      <w:r w:rsidR="00B17FC8">
        <w:rPr>
          <w:rFonts w:ascii="Verdana" w:hAnsi="Verdana"/>
        </w:rPr>
        <w:t xml:space="preserve">ersonal </w:t>
      </w:r>
      <w:r w:rsidR="0010027E">
        <w:rPr>
          <w:rFonts w:ascii="Verdana" w:hAnsi="Verdana"/>
        </w:rPr>
        <w:t>I</w:t>
      </w:r>
      <w:r w:rsidR="00B17FC8">
        <w:rPr>
          <w:rFonts w:ascii="Verdana" w:hAnsi="Verdana"/>
        </w:rPr>
        <w:t xml:space="preserve">ndependence </w:t>
      </w:r>
      <w:r w:rsidR="0010027E">
        <w:rPr>
          <w:rFonts w:ascii="Verdana" w:hAnsi="Verdana"/>
        </w:rPr>
        <w:t>P</w:t>
      </w:r>
      <w:r w:rsidR="00B17FC8">
        <w:rPr>
          <w:rFonts w:ascii="Verdana" w:hAnsi="Verdana"/>
        </w:rPr>
        <w:t xml:space="preserve">ayment </w:t>
      </w:r>
      <w:r w:rsidR="009F2FC4">
        <w:rPr>
          <w:rFonts w:ascii="Verdana" w:hAnsi="Verdana"/>
        </w:rPr>
        <w:t>a</w:t>
      </w:r>
      <w:r w:rsidR="00B17FC8">
        <w:rPr>
          <w:rFonts w:ascii="Verdana" w:hAnsi="Verdana"/>
        </w:rPr>
        <w:t>ssessment.</w:t>
      </w:r>
      <w:r w:rsidR="003A6F2D">
        <w:rPr>
          <w:rStyle w:val="FootnoteReference"/>
          <w:rFonts w:ascii="Verdana" w:hAnsi="Verdana"/>
        </w:rPr>
        <w:footnoteReference w:id="122"/>
      </w:r>
      <w:r w:rsidR="00C726B6">
        <w:rPr>
          <w:rFonts w:ascii="Verdana" w:hAnsi="Verdana"/>
        </w:rPr>
        <w:t xml:space="preserve"> The </w:t>
      </w:r>
      <w:r w:rsidR="000F2BB7">
        <w:rPr>
          <w:rFonts w:ascii="Verdana" w:hAnsi="Verdana"/>
        </w:rPr>
        <w:t xml:space="preserve">Department </w:t>
      </w:r>
      <w:r w:rsidR="001662AC">
        <w:rPr>
          <w:rFonts w:ascii="Verdana" w:hAnsi="Verdana"/>
        </w:rPr>
        <w:t>states</w:t>
      </w:r>
      <w:r w:rsidR="000F2BB7">
        <w:rPr>
          <w:rFonts w:ascii="Verdana" w:hAnsi="Verdana"/>
        </w:rPr>
        <w:t xml:space="preserve"> that this provision </w:t>
      </w:r>
      <w:r w:rsidR="00EB0A39">
        <w:rPr>
          <w:rFonts w:ascii="Verdana" w:hAnsi="Verdana"/>
        </w:rPr>
        <w:t xml:space="preserve">is </w:t>
      </w:r>
      <w:r w:rsidR="000F2BB7">
        <w:rPr>
          <w:rFonts w:ascii="Verdana" w:hAnsi="Verdana"/>
        </w:rPr>
        <w:t xml:space="preserve">to </w:t>
      </w:r>
      <w:r w:rsidR="00EB0A39">
        <w:rPr>
          <w:rFonts w:ascii="Verdana" w:hAnsi="Verdana"/>
        </w:rPr>
        <w:t xml:space="preserve">bring an </w:t>
      </w:r>
      <w:r w:rsidR="000F2BB7">
        <w:rPr>
          <w:rFonts w:ascii="Verdana" w:hAnsi="Verdana"/>
        </w:rPr>
        <w:t>end</w:t>
      </w:r>
      <w:r w:rsidR="00EB0A39">
        <w:rPr>
          <w:rFonts w:ascii="Verdana" w:hAnsi="Verdana"/>
        </w:rPr>
        <w:t xml:space="preserve"> to</w:t>
      </w:r>
      <w:r w:rsidR="000F2BB7">
        <w:rPr>
          <w:rFonts w:ascii="Verdana" w:hAnsi="Verdana"/>
        </w:rPr>
        <w:t xml:space="preserve"> “</w:t>
      </w:r>
      <w:r w:rsidR="00731194" w:rsidRPr="00731194">
        <w:rPr>
          <w:rFonts w:ascii="Verdana" w:hAnsi="Verdana"/>
        </w:rPr>
        <w:t xml:space="preserve">the </w:t>
      </w:r>
      <w:r w:rsidR="001662AC">
        <w:rPr>
          <w:rFonts w:ascii="Verdana" w:hAnsi="Verdana"/>
        </w:rPr>
        <w:t>S</w:t>
      </w:r>
      <w:r w:rsidR="00731194" w:rsidRPr="00731194">
        <w:rPr>
          <w:rFonts w:ascii="Verdana" w:hAnsi="Verdana"/>
        </w:rPr>
        <w:t>tate categorising people into binary groups and labelling them as either ‘can or can’t work’</w:t>
      </w:r>
      <w:r w:rsidR="00731194">
        <w:rPr>
          <w:rFonts w:ascii="Verdana" w:hAnsi="Verdana"/>
        </w:rPr>
        <w:t>”</w:t>
      </w:r>
      <w:r w:rsidR="00731194" w:rsidRPr="00731194">
        <w:rPr>
          <w:rFonts w:ascii="Verdana" w:hAnsi="Verdana"/>
        </w:rPr>
        <w:t>.</w:t>
      </w:r>
      <w:r w:rsidR="00731194">
        <w:rPr>
          <w:rStyle w:val="FootnoteReference"/>
          <w:rFonts w:ascii="Verdana" w:hAnsi="Verdana"/>
        </w:rPr>
        <w:footnoteReference w:id="123"/>
      </w:r>
      <w:r w:rsidR="009B764A">
        <w:rPr>
          <w:rFonts w:ascii="Verdana" w:hAnsi="Verdana"/>
        </w:rPr>
        <w:t xml:space="preserve"> The Department will bring this change forward via primary legislation and </w:t>
      </w:r>
      <w:r w:rsidR="00922E6C">
        <w:rPr>
          <w:rFonts w:ascii="Verdana" w:hAnsi="Verdana"/>
        </w:rPr>
        <w:t>does not intend to consult</w:t>
      </w:r>
      <w:r w:rsidR="009B764A">
        <w:rPr>
          <w:rFonts w:ascii="Verdana" w:hAnsi="Verdana"/>
        </w:rPr>
        <w:t xml:space="preserve"> on this measure.</w:t>
      </w:r>
    </w:p>
    <w:p w14:paraId="5471F740" w14:textId="77777777" w:rsidR="009B764A" w:rsidRPr="009B764A" w:rsidRDefault="009B764A" w:rsidP="00A361AB">
      <w:pPr>
        <w:pStyle w:val="ListParagraph"/>
        <w:spacing w:line="360" w:lineRule="auto"/>
        <w:ind w:left="709"/>
        <w:rPr>
          <w:rFonts w:ascii="Verdana" w:hAnsi="Verdana"/>
          <w:b/>
          <w:bCs/>
        </w:rPr>
      </w:pPr>
    </w:p>
    <w:p w14:paraId="02545C22" w14:textId="274034CC" w:rsidR="009B764A" w:rsidRPr="008622FB" w:rsidRDefault="00C55C7A" w:rsidP="006464FC">
      <w:pPr>
        <w:pStyle w:val="ListParagraph"/>
        <w:numPr>
          <w:ilvl w:val="1"/>
          <w:numId w:val="28"/>
        </w:numPr>
        <w:spacing w:line="360" w:lineRule="auto"/>
        <w:ind w:left="709"/>
        <w:rPr>
          <w:rFonts w:ascii="Verdana" w:hAnsi="Verdana"/>
          <w:b/>
          <w:bCs/>
        </w:rPr>
      </w:pPr>
      <w:r>
        <w:rPr>
          <w:rFonts w:ascii="Verdana" w:hAnsi="Verdana"/>
        </w:rPr>
        <w:t xml:space="preserve">The Department for Work and Pensions also </w:t>
      </w:r>
      <w:r w:rsidR="088CEAFC">
        <w:rPr>
          <w:rFonts w:ascii="Verdana" w:hAnsi="Verdana"/>
        </w:rPr>
        <w:t>suggests</w:t>
      </w:r>
      <w:r w:rsidR="00D07F95">
        <w:rPr>
          <w:rFonts w:ascii="Verdana" w:hAnsi="Verdana"/>
        </w:rPr>
        <w:t xml:space="preserve"> that</w:t>
      </w:r>
      <w:r w:rsidR="00164400">
        <w:rPr>
          <w:rFonts w:ascii="Verdana" w:hAnsi="Verdana"/>
        </w:rPr>
        <w:t xml:space="preserve"> </w:t>
      </w:r>
      <w:r w:rsidR="00EB0A39">
        <w:rPr>
          <w:rFonts w:ascii="Verdana" w:hAnsi="Verdana"/>
        </w:rPr>
        <w:t xml:space="preserve">removing </w:t>
      </w:r>
      <w:r w:rsidR="00164400">
        <w:rPr>
          <w:rFonts w:ascii="Verdana" w:hAnsi="Verdana"/>
        </w:rPr>
        <w:t xml:space="preserve">the </w:t>
      </w:r>
      <w:r w:rsidR="00922E6C">
        <w:rPr>
          <w:rFonts w:ascii="Verdana" w:hAnsi="Verdana"/>
        </w:rPr>
        <w:t>Work Capabilities A</w:t>
      </w:r>
      <w:r w:rsidR="00164400">
        <w:rPr>
          <w:rFonts w:ascii="Verdana" w:hAnsi="Verdana"/>
        </w:rPr>
        <w:t xml:space="preserve">ssessment </w:t>
      </w:r>
      <w:r w:rsidR="00EB0A39">
        <w:rPr>
          <w:rFonts w:ascii="Verdana" w:hAnsi="Verdana"/>
        </w:rPr>
        <w:t xml:space="preserve">should </w:t>
      </w:r>
      <w:r w:rsidR="00164400">
        <w:rPr>
          <w:rFonts w:ascii="Verdana" w:hAnsi="Verdana"/>
        </w:rPr>
        <w:t>streamline</w:t>
      </w:r>
      <w:r w:rsidR="00F8396A">
        <w:rPr>
          <w:rFonts w:ascii="Verdana" w:hAnsi="Verdana"/>
        </w:rPr>
        <w:t xml:space="preserve"> a “duplicative process” for people who claim both the </w:t>
      </w:r>
      <w:r w:rsidR="00C14288">
        <w:rPr>
          <w:rFonts w:ascii="Verdana" w:hAnsi="Verdana"/>
        </w:rPr>
        <w:t>P</w:t>
      </w:r>
      <w:r w:rsidR="00F8396A">
        <w:rPr>
          <w:rFonts w:ascii="Verdana" w:hAnsi="Verdana"/>
        </w:rPr>
        <w:t xml:space="preserve">ersonal </w:t>
      </w:r>
      <w:r w:rsidR="00C14288">
        <w:rPr>
          <w:rFonts w:ascii="Verdana" w:hAnsi="Verdana"/>
        </w:rPr>
        <w:t>I</w:t>
      </w:r>
      <w:r w:rsidR="00F8396A">
        <w:rPr>
          <w:rFonts w:ascii="Verdana" w:hAnsi="Verdana"/>
        </w:rPr>
        <w:t xml:space="preserve">ndependence </w:t>
      </w:r>
      <w:r w:rsidR="00C14288">
        <w:rPr>
          <w:rFonts w:ascii="Verdana" w:hAnsi="Verdana"/>
        </w:rPr>
        <w:t>P</w:t>
      </w:r>
      <w:r w:rsidR="00F8396A">
        <w:rPr>
          <w:rFonts w:ascii="Verdana" w:hAnsi="Verdana"/>
        </w:rPr>
        <w:t xml:space="preserve">ayment and the health element of </w:t>
      </w:r>
      <w:r w:rsidR="00C14288">
        <w:rPr>
          <w:rFonts w:ascii="Verdana" w:hAnsi="Verdana"/>
        </w:rPr>
        <w:t>U</w:t>
      </w:r>
      <w:r w:rsidR="00F8396A">
        <w:rPr>
          <w:rFonts w:ascii="Verdana" w:hAnsi="Verdana"/>
        </w:rPr>
        <w:t xml:space="preserve">niversal </w:t>
      </w:r>
      <w:r w:rsidR="00C14288">
        <w:rPr>
          <w:rFonts w:ascii="Verdana" w:hAnsi="Verdana"/>
        </w:rPr>
        <w:t>C</w:t>
      </w:r>
      <w:r w:rsidR="00F8396A">
        <w:rPr>
          <w:rFonts w:ascii="Verdana" w:hAnsi="Verdana"/>
        </w:rPr>
        <w:t>redit.</w:t>
      </w:r>
      <w:r w:rsidR="00F8396A">
        <w:rPr>
          <w:rStyle w:val="FootnoteReference"/>
          <w:rFonts w:ascii="Verdana" w:hAnsi="Verdana"/>
        </w:rPr>
        <w:footnoteReference w:id="124"/>
      </w:r>
    </w:p>
    <w:p w14:paraId="0CDCFFE4" w14:textId="77777777" w:rsidR="008622FB" w:rsidRPr="008622FB" w:rsidRDefault="008622FB" w:rsidP="00A361AB">
      <w:pPr>
        <w:pStyle w:val="ListParagraph"/>
        <w:spacing w:line="360" w:lineRule="auto"/>
        <w:rPr>
          <w:rFonts w:ascii="Verdana" w:hAnsi="Verdana"/>
          <w:b/>
          <w:bCs/>
        </w:rPr>
      </w:pPr>
    </w:p>
    <w:p w14:paraId="2CB73E47" w14:textId="2A1B2B08" w:rsidR="008622FB" w:rsidRPr="00C71029" w:rsidRDefault="001D0A7C" w:rsidP="006464FC">
      <w:pPr>
        <w:pStyle w:val="ListParagraph"/>
        <w:numPr>
          <w:ilvl w:val="1"/>
          <w:numId w:val="28"/>
        </w:numPr>
        <w:spacing w:line="360" w:lineRule="auto"/>
        <w:ind w:left="709"/>
        <w:rPr>
          <w:rFonts w:ascii="Verdana" w:hAnsi="Verdana"/>
          <w:b/>
          <w:bCs/>
        </w:rPr>
      </w:pPr>
      <w:r>
        <w:rPr>
          <w:rFonts w:ascii="Verdana" w:hAnsi="Verdana"/>
        </w:rPr>
        <w:t>The Department for Work and Pensions stipulates that this will be the case for claimants in England and Wales, ackn</w:t>
      </w:r>
      <w:r w:rsidR="0003247A">
        <w:rPr>
          <w:rFonts w:ascii="Verdana" w:hAnsi="Verdana"/>
        </w:rPr>
        <w:t xml:space="preserve">owledging </w:t>
      </w:r>
      <w:r w:rsidR="001E3673">
        <w:rPr>
          <w:rFonts w:ascii="Verdana" w:hAnsi="Verdana"/>
        </w:rPr>
        <w:t>this wil</w:t>
      </w:r>
      <w:r w:rsidR="000867A6">
        <w:rPr>
          <w:rFonts w:ascii="Verdana" w:hAnsi="Verdana"/>
        </w:rPr>
        <w:t>l</w:t>
      </w:r>
      <w:r w:rsidR="001E3673">
        <w:rPr>
          <w:rFonts w:ascii="Verdana" w:hAnsi="Verdana"/>
        </w:rPr>
        <w:t xml:space="preserve"> have implications for the devolved </w:t>
      </w:r>
      <w:r w:rsidR="00EB0A39">
        <w:rPr>
          <w:rFonts w:ascii="Verdana" w:hAnsi="Verdana"/>
        </w:rPr>
        <w:t xml:space="preserve">jurisdictions </w:t>
      </w:r>
      <w:r w:rsidR="000867A6">
        <w:rPr>
          <w:rFonts w:ascii="Verdana" w:hAnsi="Verdana"/>
        </w:rPr>
        <w:t xml:space="preserve">and </w:t>
      </w:r>
      <w:r w:rsidR="00EB0A39">
        <w:rPr>
          <w:rFonts w:ascii="Verdana" w:hAnsi="Verdana"/>
        </w:rPr>
        <w:t xml:space="preserve">that </w:t>
      </w:r>
      <w:r w:rsidR="00A142B2">
        <w:rPr>
          <w:rFonts w:ascii="Verdana" w:hAnsi="Verdana"/>
        </w:rPr>
        <w:t xml:space="preserve">the devolved governments “will need to be fully considered before </w:t>
      </w:r>
      <w:r w:rsidR="007D22AA">
        <w:rPr>
          <w:rFonts w:ascii="Verdana" w:hAnsi="Verdana"/>
        </w:rPr>
        <w:t xml:space="preserve">[being] </w:t>
      </w:r>
      <w:r w:rsidR="00A142B2">
        <w:rPr>
          <w:rFonts w:ascii="Verdana" w:hAnsi="Verdana"/>
        </w:rPr>
        <w:t>implemented”.</w:t>
      </w:r>
      <w:r w:rsidR="002716D6">
        <w:rPr>
          <w:rStyle w:val="FootnoteReference"/>
          <w:rFonts w:ascii="Verdana" w:hAnsi="Verdana"/>
        </w:rPr>
        <w:footnoteReference w:id="125"/>
      </w:r>
      <w:r w:rsidR="00A142B2">
        <w:rPr>
          <w:rFonts w:ascii="Verdana" w:hAnsi="Verdana"/>
        </w:rPr>
        <w:t xml:space="preserve"> </w:t>
      </w:r>
      <w:r w:rsidR="00432D78">
        <w:rPr>
          <w:rFonts w:ascii="Verdana" w:hAnsi="Verdana"/>
        </w:rPr>
        <w:t>The NIHRC welcomes the Department’s assurance that the implications for devolved administrations will be considered before the introduction of these measures</w:t>
      </w:r>
      <w:r w:rsidR="0069066F">
        <w:rPr>
          <w:rFonts w:ascii="Verdana" w:hAnsi="Verdana"/>
        </w:rPr>
        <w:t xml:space="preserve">. However, </w:t>
      </w:r>
      <w:r w:rsidR="00432D78">
        <w:rPr>
          <w:rFonts w:ascii="Verdana" w:hAnsi="Verdana"/>
        </w:rPr>
        <w:t xml:space="preserve">consideration of the impact on devolved regions and </w:t>
      </w:r>
      <w:r w:rsidR="0069066F">
        <w:rPr>
          <w:rFonts w:ascii="Verdana" w:hAnsi="Verdana"/>
        </w:rPr>
        <w:t xml:space="preserve">engagement with respective legislatures would be </w:t>
      </w:r>
      <w:r w:rsidR="009F0C67">
        <w:rPr>
          <w:rFonts w:ascii="Verdana" w:hAnsi="Verdana"/>
        </w:rPr>
        <w:t>more effective if conducted</w:t>
      </w:r>
      <w:r w:rsidR="0069066F">
        <w:rPr>
          <w:rFonts w:ascii="Verdana" w:hAnsi="Verdana"/>
        </w:rPr>
        <w:t xml:space="preserve"> in advance of these proposals being published </w:t>
      </w:r>
      <w:proofErr w:type="gramStart"/>
      <w:r w:rsidR="000C6B56">
        <w:rPr>
          <w:rFonts w:ascii="Verdana" w:hAnsi="Verdana"/>
        </w:rPr>
        <w:t>so as to</w:t>
      </w:r>
      <w:proofErr w:type="gramEnd"/>
      <w:r w:rsidR="000C6B56">
        <w:rPr>
          <w:rFonts w:ascii="Verdana" w:hAnsi="Verdana"/>
        </w:rPr>
        <w:t xml:space="preserve"> alleviate, or validate, the concerns of </w:t>
      </w:r>
      <w:r w:rsidR="00F8319B">
        <w:rPr>
          <w:rFonts w:ascii="Verdana" w:hAnsi="Verdana"/>
        </w:rPr>
        <w:t>disabled people and people with long term health conditions in NI.</w:t>
      </w:r>
    </w:p>
    <w:p w14:paraId="4299944F" w14:textId="77777777" w:rsidR="00C71029" w:rsidRPr="00C71029" w:rsidRDefault="00C71029" w:rsidP="00A361AB">
      <w:pPr>
        <w:pStyle w:val="ListParagraph"/>
        <w:spacing w:line="360" w:lineRule="auto"/>
        <w:rPr>
          <w:rFonts w:ascii="Verdana" w:hAnsi="Verdana"/>
          <w:b/>
          <w:bCs/>
        </w:rPr>
      </w:pPr>
    </w:p>
    <w:p w14:paraId="69A03837" w14:textId="52C59C8F" w:rsidR="00C71029" w:rsidRPr="00F75E73" w:rsidRDefault="009D1CC5" w:rsidP="006464FC">
      <w:pPr>
        <w:pStyle w:val="ListParagraph"/>
        <w:numPr>
          <w:ilvl w:val="1"/>
          <w:numId w:val="28"/>
        </w:numPr>
        <w:spacing w:line="360" w:lineRule="auto"/>
        <w:ind w:left="709"/>
        <w:rPr>
          <w:rFonts w:ascii="Verdana" w:hAnsi="Verdana"/>
          <w:b/>
          <w:bCs/>
        </w:rPr>
      </w:pPr>
      <w:r w:rsidRPr="00F75E73">
        <w:rPr>
          <w:rFonts w:ascii="Verdana" w:hAnsi="Verdana"/>
        </w:rPr>
        <w:t xml:space="preserve">The proposal to make the </w:t>
      </w:r>
      <w:r w:rsidR="00C019BC">
        <w:rPr>
          <w:rFonts w:ascii="Verdana" w:hAnsi="Verdana"/>
        </w:rPr>
        <w:t>P</w:t>
      </w:r>
      <w:r w:rsidRPr="00F75E73">
        <w:rPr>
          <w:rFonts w:ascii="Verdana" w:hAnsi="Verdana"/>
        </w:rPr>
        <w:t xml:space="preserve">ersonal </w:t>
      </w:r>
      <w:r w:rsidR="00C019BC">
        <w:rPr>
          <w:rFonts w:ascii="Verdana" w:hAnsi="Verdana"/>
        </w:rPr>
        <w:t>I</w:t>
      </w:r>
      <w:r w:rsidRPr="00F75E73">
        <w:rPr>
          <w:rFonts w:ascii="Verdana" w:hAnsi="Verdana"/>
        </w:rPr>
        <w:t xml:space="preserve">ndependence </w:t>
      </w:r>
      <w:r w:rsidR="00C019BC">
        <w:rPr>
          <w:rFonts w:ascii="Verdana" w:hAnsi="Verdana"/>
        </w:rPr>
        <w:t>P</w:t>
      </w:r>
      <w:r w:rsidRPr="00F75E73">
        <w:rPr>
          <w:rFonts w:ascii="Verdana" w:hAnsi="Verdana"/>
        </w:rPr>
        <w:t xml:space="preserve">ayment assessment the </w:t>
      </w:r>
      <w:r w:rsidR="35C13747" w:rsidRPr="00F75E73">
        <w:rPr>
          <w:rFonts w:ascii="Verdana" w:hAnsi="Verdana"/>
        </w:rPr>
        <w:t>basis for determining</w:t>
      </w:r>
      <w:r w:rsidRPr="00F75E73">
        <w:rPr>
          <w:rFonts w:ascii="Verdana" w:hAnsi="Verdana"/>
        </w:rPr>
        <w:t xml:space="preserve"> eligibility for the health element of </w:t>
      </w:r>
      <w:r w:rsidR="00C019BC">
        <w:rPr>
          <w:rFonts w:ascii="Verdana" w:hAnsi="Verdana"/>
        </w:rPr>
        <w:t>U</w:t>
      </w:r>
      <w:r w:rsidR="00C019BC" w:rsidRPr="00F75E73">
        <w:rPr>
          <w:rFonts w:ascii="Verdana" w:hAnsi="Verdana"/>
        </w:rPr>
        <w:t xml:space="preserve">niversal </w:t>
      </w:r>
      <w:r w:rsidR="00C019BC">
        <w:rPr>
          <w:rFonts w:ascii="Verdana" w:hAnsi="Verdana"/>
        </w:rPr>
        <w:t>C</w:t>
      </w:r>
      <w:r w:rsidRPr="00F75E73">
        <w:rPr>
          <w:rFonts w:ascii="Verdana" w:hAnsi="Verdana"/>
        </w:rPr>
        <w:t xml:space="preserve">redit is problematic. </w:t>
      </w:r>
      <w:r w:rsidR="004B73A5" w:rsidRPr="00F75E73">
        <w:rPr>
          <w:rFonts w:ascii="Verdana" w:hAnsi="Verdana"/>
        </w:rPr>
        <w:t xml:space="preserve">Under the proposed changes, individuals who do not qualify for </w:t>
      </w:r>
      <w:r w:rsidR="00A07F67">
        <w:rPr>
          <w:rFonts w:ascii="Verdana" w:hAnsi="Verdana"/>
        </w:rPr>
        <w:t>P</w:t>
      </w:r>
      <w:r w:rsidR="004B73A5" w:rsidRPr="00F75E73">
        <w:rPr>
          <w:rFonts w:ascii="Verdana" w:hAnsi="Verdana"/>
        </w:rPr>
        <w:t xml:space="preserve">ersonal </w:t>
      </w:r>
      <w:r w:rsidR="00A07F67">
        <w:rPr>
          <w:rFonts w:ascii="Verdana" w:hAnsi="Verdana"/>
        </w:rPr>
        <w:t>I</w:t>
      </w:r>
      <w:r w:rsidR="004B73A5" w:rsidRPr="00F75E73">
        <w:rPr>
          <w:rFonts w:ascii="Verdana" w:hAnsi="Verdana"/>
        </w:rPr>
        <w:t xml:space="preserve">ndependence </w:t>
      </w:r>
      <w:r w:rsidR="00A07F67">
        <w:rPr>
          <w:rFonts w:ascii="Verdana" w:hAnsi="Verdana"/>
        </w:rPr>
        <w:t>P</w:t>
      </w:r>
      <w:r w:rsidR="004B73A5" w:rsidRPr="00F75E73">
        <w:rPr>
          <w:rFonts w:ascii="Verdana" w:hAnsi="Verdana"/>
        </w:rPr>
        <w:t xml:space="preserve">ayments, but do qualify for the health element, will be ineligible for both payments. </w:t>
      </w:r>
      <w:r w:rsidR="00AD6A87" w:rsidRPr="00F75E73">
        <w:rPr>
          <w:rFonts w:ascii="Verdana" w:hAnsi="Verdana"/>
        </w:rPr>
        <w:t xml:space="preserve">The NIHRC acknowledges that there have been issues with the </w:t>
      </w:r>
      <w:r w:rsidR="00A07F67">
        <w:rPr>
          <w:rFonts w:ascii="Verdana" w:hAnsi="Verdana"/>
        </w:rPr>
        <w:t>W</w:t>
      </w:r>
      <w:r w:rsidR="00AD6A87" w:rsidRPr="00F75E73">
        <w:rPr>
          <w:rFonts w:ascii="Verdana" w:hAnsi="Verdana"/>
        </w:rPr>
        <w:t xml:space="preserve">ork </w:t>
      </w:r>
      <w:r w:rsidR="00A07F67">
        <w:rPr>
          <w:rFonts w:ascii="Verdana" w:hAnsi="Verdana"/>
        </w:rPr>
        <w:t>C</w:t>
      </w:r>
      <w:r w:rsidR="00AD6A87" w:rsidRPr="00F75E73">
        <w:rPr>
          <w:rFonts w:ascii="Verdana" w:hAnsi="Verdana"/>
        </w:rPr>
        <w:t xml:space="preserve">apabilities </w:t>
      </w:r>
      <w:r w:rsidR="00A07F67">
        <w:rPr>
          <w:rFonts w:ascii="Verdana" w:hAnsi="Verdana"/>
        </w:rPr>
        <w:t>A</w:t>
      </w:r>
      <w:r w:rsidR="00AD6A87" w:rsidRPr="00F75E73">
        <w:rPr>
          <w:rFonts w:ascii="Verdana" w:hAnsi="Verdana"/>
        </w:rPr>
        <w:t>ssessment for people with disabilities,</w:t>
      </w:r>
      <w:r w:rsidR="00AD6A87">
        <w:rPr>
          <w:rStyle w:val="FootnoteReference"/>
          <w:rFonts w:ascii="Verdana" w:hAnsi="Verdana"/>
        </w:rPr>
        <w:footnoteReference w:id="126"/>
      </w:r>
      <w:r w:rsidR="00AD6A87" w:rsidRPr="00F75E73">
        <w:rPr>
          <w:rFonts w:ascii="Verdana" w:hAnsi="Verdana"/>
        </w:rPr>
        <w:t xml:space="preserve"> and </w:t>
      </w:r>
      <w:r w:rsidR="00EB0A39">
        <w:rPr>
          <w:rFonts w:ascii="Verdana" w:hAnsi="Verdana"/>
        </w:rPr>
        <w:t xml:space="preserve">that </w:t>
      </w:r>
      <w:r w:rsidR="00AD6A87" w:rsidRPr="00F75E73">
        <w:rPr>
          <w:rFonts w:ascii="Verdana" w:hAnsi="Verdana"/>
        </w:rPr>
        <w:t>streamlining a cumbersome assessment process could pr</w:t>
      </w:r>
      <w:r w:rsidR="00D520B1" w:rsidRPr="00F75E73">
        <w:rPr>
          <w:rFonts w:ascii="Verdana" w:hAnsi="Verdana"/>
        </w:rPr>
        <w:t>o</w:t>
      </w:r>
      <w:r w:rsidR="00AD6A87" w:rsidRPr="00F75E73">
        <w:rPr>
          <w:rFonts w:ascii="Verdana" w:hAnsi="Verdana"/>
        </w:rPr>
        <w:t>ve beneficial</w:t>
      </w:r>
      <w:r w:rsidR="00D520B1" w:rsidRPr="00F75E73">
        <w:rPr>
          <w:rFonts w:ascii="Verdana" w:hAnsi="Verdana"/>
        </w:rPr>
        <w:t xml:space="preserve">. However, </w:t>
      </w:r>
      <w:r w:rsidR="00501D1A" w:rsidRPr="00F75E73">
        <w:rPr>
          <w:rFonts w:ascii="Verdana" w:hAnsi="Verdana"/>
        </w:rPr>
        <w:t xml:space="preserve">the </w:t>
      </w:r>
      <w:r w:rsidR="000C233C">
        <w:rPr>
          <w:rFonts w:ascii="Verdana" w:hAnsi="Verdana"/>
        </w:rPr>
        <w:t>P</w:t>
      </w:r>
      <w:r w:rsidR="00501D1A" w:rsidRPr="00F75E73">
        <w:rPr>
          <w:rFonts w:ascii="Verdana" w:hAnsi="Verdana"/>
        </w:rPr>
        <w:t xml:space="preserve">ersonal </w:t>
      </w:r>
      <w:r w:rsidR="000C233C">
        <w:rPr>
          <w:rFonts w:ascii="Verdana" w:hAnsi="Verdana"/>
        </w:rPr>
        <w:t>I</w:t>
      </w:r>
      <w:r w:rsidR="00501D1A" w:rsidRPr="00F75E73">
        <w:rPr>
          <w:rFonts w:ascii="Verdana" w:hAnsi="Verdana"/>
        </w:rPr>
        <w:t xml:space="preserve">ndependence </w:t>
      </w:r>
      <w:r w:rsidR="000C233C">
        <w:rPr>
          <w:rFonts w:ascii="Verdana" w:hAnsi="Verdana"/>
        </w:rPr>
        <w:t>P</w:t>
      </w:r>
      <w:r w:rsidR="00501D1A" w:rsidRPr="00F75E73">
        <w:rPr>
          <w:rFonts w:ascii="Verdana" w:hAnsi="Verdana"/>
        </w:rPr>
        <w:t xml:space="preserve">ayment assessment is </w:t>
      </w:r>
      <w:r w:rsidR="006C600F" w:rsidRPr="00F75E73">
        <w:rPr>
          <w:rFonts w:ascii="Verdana" w:hAnsi="Verdana"/>
        </w:rPr>
        <w:t>not without fault, with many instances of</w:t>
      </w:r>
      <w:r w:rsidR="000C233C">
        <w:rPr>
          <w:rFonts w:ascii="Verdana" w:hAnsi="Verdana"/>
        </w:rPr>
        <w:t xml:space="preserve"> an assessment</w:t>
      </w:r>
      <w:r w:rsidR="006C600F" w:rsidRPr="00F75E73">
        <w:rPr>
          <w:rFonts w:ascii="Verdana" w:hAnsi="Verdana"/>
        </w:rPr>
        <w:t xml:space="preserve"> having reached the wrong outcome</w:t>
      </w:r>
      <w:r w:rsidR="00586B94" w:rsidRPr="00F75E73">
        <w:rPr>
          <w:rFonts w:ascii="Verdana" w:hAnsi="Verdana"/>
        </w:rPr>
        <w:t xml:space="preserve">, with 68 </w:t>
      </w:r>
      <w:r w:rsidR="00586B94" w:rsidRPr="00F75E73">
        <w:rPr>
          <w:rFonts w:ascii="Verdana" w:hAnsi="Verdana"/>
        </w:rPr>
        <w:lastRenderedPageBreak/>
        <w:t xml:space="preserve">per cent of appeals </w:t>
      </w:r>
      <w:r w:rsidR="007A4868">
        <w:rPr>
          <w:rFonts w:ascii="Verdana" w:hAnsi="Verdana"/>
        </w:rPr>
        <w:t xml:space="preserve">in 2023 </w:t>
      </w:r>
      <w:r w:rsidR="00586B94" w:rsidRPr="00F75E73">
        <w:rPr>
          <w:rFonts w:ascii="Verdana" w:hAnsi="Verdana"/>
        </w:rPr>
        <w:t>f</w:t>
      </w:r>
      <w:r w:rsidR="003C544A" w:rsidRPr="00F75E73">
        <w:rPr>
          <w:rFonts w:ascii="Verdana" w:hAnsi="Verdana"/>
        </w:rPr>
        <w:t xml:space="preserve">inding </w:t>
      </w:r>
      <w:r w:rsidR="00586B94" w:rsidRPr="00F75E73">
        <w:rPr>
          <w:rFonts w:ascii="Verdana" w:hAnsi="Verdana"/>
        </w:rPr>
        <w:t xml:space="preserve">in favour of the </w:t>
      </w:r>
      <w:r w:rsidR="003C544A" w:rsidRPr="00F75E73">
        <w:rPr>
          <w:rFonts w:ascii="Verdana" w:hAnsi="Verdana"/>
        </w:rPr>
        <w:t>claimant.</w:t>
      </w:r>
      <w:r w:rsidR="00370E56">
        <w:rPr>
          <w:rStyle w:val="FootnoteReference"/>
          <w:rFonts w:ascii="Verdana" w:hAnsi="Verdana"/>
        </w:rPr>
        <w:footnoteReference w:id="127"/>
      </w:r>
      <w:r w:rsidR="003C544A" w:rsidRPr="00F75E73">
        <w:rPr>
          <w:rFonts w:ascii="Verdana" w:hAnsi="Verdana"/>
        </w:rPr>
        <w:t xml:space="preserve"> The appeals procedure is also a lengthy and arduous process.</w:t>
      </w:r>
      <w:r w:rsidR="003C544A">
        <w:rPr>
          <w:rStyle w:val="FootnoteReference"/>
          <w:rFonts w:ascii="Verdana" w:hAnsi="Verdana"/>
        </w:rPr>
        <w:footnoteReference w:id="128"/>
      </w:r>
    </w:p>
    <w:p w14:paraId="425537F6" w14:textId="77777777" w:rsidR="00381F55" w:rsidRPr="00381F55" w:rsidRDefault="00381F55" w:rsidP="00A361AB">
      <w:pPr>
        <w:pStyle w:val="ListParagraph"/>
        <w:spacing w:line="360" w:lineRule="auto"/>
        <w:rPr>
          <w:rFonts w:ascii="Verdana" w:hAnsi="Verdana"/>
          <w:b/>
          <w:bCs/>
        </w:rPr>
      </w:pPr>
    </w:p>
    <w:p w14:paraId="2D8AD68A" w14:textId="0C4D7AEA" w:rsidR="00381F55" w:rsidRPr="00FB074D" w:rsidRDefault="00381F55" w:rsidP="006464FC">
      <w:pPr>
        <w:pStyle w:val="ListParagraph"/>
        <w:numPr>
          <w:ilvl w:val="1"/>
          <w:numId w:val="28"/>
        </w:numPr>
        <w:spacing w:line="360" w:lineRule="auto"/>
        <w:ind w:left="709"/>
        <w:rPr>
          <w:rFonts w:ascii="Verdana" w:hAnsi="Verdana"/>
          <w:b/>
          <w:bCs/>
        </w:rPr>
      </w:pPr>
      <w:r>
        <w:rPr>
          <w:rFonts w:ascii="Verdana" w:hAnsi="Verdana"/>
        </w:rPr>
        <w:t>A single assessment system re</w:t>
      </w:r>
      <w:r w:rsidR="002818DC">
        <w:rPr>
          <w:rFonts w:ascii="Verdana" w:hAnsi="Verdana"/>
        </w:rPr>
        <w:t xml:space="preserve">lying on the </w:t>
      </w:r>
      <w:r w:rsidR="005B33C6">
        <w:rPr>
          <w:rFonts w:ascii="Verdana" w:hAnsi="Verdana"/>
        </w:rPr>
        <w:t>P</w:t>
      </w:r>
      <w:r w:rsidR="002818DC">
        <w:rPr>
          <w:rFonts w:ascii="Verdana" w:hAnsi="Verdana"/>
        </w:rPr>
        <w:t xml:space="preserve">ersonal </w:t>
      </w:r>
      <w:r w:rsidR="005B33C6">
        <w:rPr>
          <w:rFonts w:ascii="Verdana" w:hAnsi="Verdana"/>
        </w:rPr>
        <w:t>I</w:t>
      </w:r>
      <w:r w:rsidR="002818DC">
        <w:rPr>
          <w:rFonts w:ascii="Verdana" w:hAnsi="Verdana"/>
        </w:rPr>
        <w:t xml:space="preserve">ndependence </w:t>
      </w:r>
      <w:r w:rsidR="005B33C6">
        <w:rPr>
          <w:rFonts w:ascii="Verdana" w:hAnsi="Verdana"/>
        </w:rPr>
        <w:t>P</w:t>
      </w:r>
      <w:r w:rsidR="002818DC">
        <w:rPr>
          <w:rFonts w:ascii="Verdana" w:hAnsi="Verdana"/>
        </w:rPr>
        <w:t>ayment proces</w:t>
      </w:r>
      <w:r w:rsidR="0021266C">
        <w:rPr>
          <w:rFonts w:ascii="Verdana" w:hAnsi="Verdana"/>
        </w:rPr>
        <w:t xml:space="preserve">s to allocate both the </w:t>
      </w:r>
      <w:r w:rsidR="00785A59">
        <w:rPr>
          <w:rFonts w:ascii="Verdana" w:hAnsi="Verdana"/>
        </w:rPr>
        <w:t>P</w:t>
      </w:r>
      <w:r w:rsidR="0021266C">
        <w:rPr>
          <w:rFonts w:ascii="Verdana" w:hAnsi="Verdana"/>
        </w:rPr>
        <w:t xml:space="preserve">ersonal </w:t>
      </w:r>
      <w:r w:rsidR="00785A59">
        <w:rPr>
          <w:rFonts w:ascii="Verdana" w:hAnsi="Verdana"/>
        </w:rPr>
        <w:t>I</w:t>
      </w:r>
      <w:r w:rsidR="0021266C">
        <w:rPr>
          <w:rFonts w:ascii="Verdana" w:hAnsi="Verdana"/>
        </w:rPr>
        <w:t xml:space="preserve">ndependence </w:t>
      </w:r>
      <w:r w:rsidR="00785A59">
        <w:rPr>
          <w:rFonts w:ascii="Verdana" w:hAnsi="Verdana"/>
        </w:rPr>
        <w:t>P</w:t>
      </w:r>
      <w:r w:rsidR="0021266C">
        <w:rPr>
          <w:rFonts w:ascii="Verdana" w:hAnsi="Verdana"/>
        </w:rPr>
        <w:t xml:space="preserve">ayment and the health element creates </w:t>
      </w:r>
      <w:r w:rsidR="00B3605D">
        <w:rPr>
          <w:rFonts w:ascii="Verdana" w:hAnsi="Verdana"/>
        </w:rPr>
        <w:t>more urgency to ensure that the correct decision is made, otherwise individuals could lose access or have access delayed to both means of financial assistance.</w:t>
      </w:r>
      <w:r w:rsidR="00B815D3">
        <w:rPr>
          <w:rFonts w:ascii="Verdana" w:hAnsi="Verdana"/>
        </w:rPr>
        <w:t xml:space="preserve"> Citizens Advice </w:t>
      </w:r>
      <w:r w:rsidR="00F45E18">
        <w:rPr>
          <w:rFonts w:ascii="Verdana" w:hAnsi="Verdana"/>
        </w:rPr>
        <w:t>notes that “w</w:t>
      </w:r>
      <w:r w:rsidR="00F45E18" w:rsidRPr="00F45E18">
        <w:rPr>
          <w:rFonts w:ascii="Verdana" w:hAnsi="Verdana"/>
        </w:rPr>
        <w:t>hen two lots of money rest on one assessment, a poor decision is devastating</w:t>
      </w:r>
      <w:r w:rsidR="00F45E18">
        <w:rPr>
          <w:rFonts w:ascii="Verdana" w:hAnsi="Verdana"/>
        </w:rPr>
        <w:t>”.</w:t>
      </w:r>
      <w:r w:rsidR="00F45E18">
        <w:rPr>
          <w:rStyle w:val="FootnoteReference"/>
          <w:rFonts w:ascii="Verdana" w:hAnsi="Verdana"/>
        </w:rPr>
        <w:footnoteReference w:id="129"/>
      </w:r>
    </w:p>
    <w:p w14:paraId="5BB0698D" w14:textId="77777777" w:rsidR="00FB074D" w:rsidRPr="00FB074D" w:rsidRDefault="00FB074D" w:rsidP="00A361AB">
      <w:pPr>
        <w:pStyle w:val="ListParagraph"/>
        <w:spacing w:line="360" w:lineRule="auto"/>
        <w:rPr>
          <w:rFonts w:ascii="Verdana" w:hAnsi="Verdana"/>
          <w:b/>
          <w:bCs/>
        </w:rPr>
      </w:pPr>
    </w:p>
    <w:p w14:paraId="57C92C2C" w14:textId="63A5E3A5" w:rsidR="00FB074D" w:rsidRPr="00D07D97" w:rsidRDefault="008C2315" w:rsidP="006464FC">
      <w:pPr>
        <w:pStyle w:val="ListParagraph"/>
        <w:numPr>
          <w:ilvl w:val="1"/>
          <w:numId w:val="28"/>
        </w:numPr>
        <w:spacing w:line="360" w:lineRule="auto"/>
        <w:ind w:left="709"/>
        <w:rPr>
          <w:rFonts w:ascii="Verdana" w:hAnsi="Verdana"/>
          <w:b/>
          <w:bCs/>
        </w:rPr>
      </w:pPr>
      <w:r>
        <w:rPr>
          <w:rFonts w:ascii="Verdana" w:hAnsi="Verdana"/>
        </w:rPr>
        <w:t xml:space="preserve">There is a backlog of </w:t>
      </w:r>
      <w:r w:rsidR="00824214">
        <w:rPr>
          <w:rFonts w:ascii="Verdana" w:hAnsi="Verdana"/>
        </w:rPr>
        <w:t>P</w:t>
      </w:r>
      <w:r>
        <w:rPr>
          <w:rFonts w:ascii="Verdana" w:hAnsi="Verdana"/>
        </w:rPr>
        <w:t xml:space="preserve">ersonal </w:t>
      </w:r>
      <w:r w:rsidR="00824214">
        <w:rPr>
          <w:rFonts w:ascii="Verdana" w:hAnsi="Verdana"/>
        </w:rPr>
        <w:t>In</w:t>
      </w:r>
      <w:r>
        <w:rPr>
          <w:rFonts w:ascii="Verdana" w:hAnsi="Verdana"/>
        </w:rPr>
        <w:t xml:space="preserve">dependence </w:t>
      </w:r>
      <w:r w:rsidR="00824214">
        <w:rPr>
          <w:rFonts w:ascii="Verdana" w:hAnsi="Verdana"/>
        </w:rPr>
        <w:t>P</w:t>
      </w:r>
      <w:r>
        <w:rPr>
          <w:rFonts w:ascii="Verdana" w:hAnsi="Verdana"/>
        </w:rPr>
        <w:t xml:space="preserve">ayment </w:t>
      </w:r>
      <w:r w:rsidR="006C18C8">
        <w:rPr>
          <w:rFonts w:ascii="Verdana" w:hAnsi="Verdana"/>
        </w:rPr>
        <w:t>reviews due to a shortage of assessors and an increase in new claims.</w:t>
      </w:r>
      <w:r w:rsidR="006C18C8">
        <w:rPr>
          <w:rStyle w:val="FootnoteReference"/>
          <w:rFonts w:ascii="Verdana" w:hAnsi="Verdana"/>
        </w:rPr>
        <w:footnoteReference w:id="130"/>
      </w:r>
      <w:r w:rsidR="006C18C8">
        <w:rPr>
          <w:rFonts w:ascii="Verdana" w:hAnsi="Verdana"/>
        </w:rPr>
        <w:t xml:space="preserve"> </w:t>
      </w:r>
      <w:r w:rsidR="00CC7592">
        <w:rPr>
          <w:rFonts w:ascii="Verdana" w:hAnsi="Verdana"/>
        </w:rPr>
        <w:t xml:space="preserve">Currently, the </w:t>
      </w:r>
      <w:r w:rsidR="00191002">
        <w:rPr>
          <w:rFonts w:ascii="Verdana" w:hAnsi="Verdana"/>
        </w:rPr>
        <w:t xml:space="preserve">average </w:t>
      </w:r>
      <w:r w:rsidR="00105EBA">
        <w:rPr>
          <w:rFonts w:ascii="Verdana" w:hAnsi="Verdana"/>
        </w:rPr>
        <w:t xml:space="preserve">wait time for a decision on the </w:t>
      </w:r>
      <w:r w:rsidR="00824214">
        <w:rPr>
          <w:rFonts w:ascii="Verdana" w:hAnsi="Verdana"/>
        </w:rPr>
        <w:t>P</w:t>
      </w:r>
      <w:r w:rsidR="00105EBA">
        <w:rPr>
          <w:rFonts w:ascii="Verdana" w:hAnsi="Verdana"/>
        </w:rPr>
        <w:t xml:space="preserve">ersonal </w:t>
      </w:r>
      <w:r w:rsidR="00824214">
        <w:rPr>
          <w:rFonts w:ascii="Verdana" w:hAnsi="Verdana"/>
        </w:rPr>
        <w:t>I</w:t>
      </w:r>
      <w:r w:rsidR="00191002">
        <w:rPr>
          <w:rFonts w:ascii="Verdana" w:hAnsi="Verdana"/>
        </w:rPr>
        <w:t xml:space="preserve">ndependence </w:t>
      </w:r>
      <w:r w:rsidR="00824214">
        <w:rPr>
          <w:rFonts w:ascii="Verdana" w:hAnsi="Verdana"/>
        </w:rPr>
        <w:t xml:space="preserve">Payment </w:t>
      </w:r>
      <w:r w:rsidR="00191002">
        <w:rPr>
          <w:rFonts w:ascii="Verdana" w:hAnsi="Verdana"/>
        </w:rPr>
        <w:t xml:space="preserve">assessment </w:t>
      </w:r>
      <w:r w:rsidR="00CE6E16">
        <w:rPr>
          <w:rFonts w:ascii="Verdana" w:hAnsi="Verdana"/>
        </w:rPr>
        <w:t>is 16 weeks.</w:t>
      </w:r>
      <w:r w:rsidR="00CE6E16">
        <w:rPr>
          <w:rStyle w:val="FootnoteReference"/>
          <w:rFonts w:ascii="Verdana" w:hAnsi="Verdana"/>
        </w:rPr>
        <w:footnoteReference w:id="131"/>
      </w:r>
      <w:r w:rsidR="00505CC6">
        <w:rPr>
          <w:rFonts w:ascii="Verdana" w:hAnsi="Verdana"/>
        </w:rPr>
        <w:t xml:space="preserve"> Should </w:t>
      </w:r>
      <w:r w:rsidR="009C0818">
        <w:rPr>
          <w:rFonts w:ascii="Verdana" w:hAnsi="Verdana"/>
        </w:rPr>
        <w:t xml:space="preserve">these assessments become the gateway assessment to the health element as well as the </w:t>
      </w:r>
      <w:r w:rsidR="00550996">
        <w:rPr>
          <w:rFonts w:ascii="Verdana" w:hAnsi="Verdana"/>
        </w:rPr>
        <w:t>P</w:t>
      </w:r>
      <w:r w:rsidR="009C0818">
        <w:rPr>
          <w:rFonts w:ascii="Verdana" w:hAnsi="Verdana"/>
        </w:rPr>
        <w:t xml:space="preserve">ersonal </w:t>
      </w:r>
      <w:r w:rsidR="00550996">
        <w:rPr>
          <w:rFonts w:ascii="Verdana" w:hAnsi="Verdana"/>
        </w:rPr>
        <w:t>I</w:t>
      </w:r>
      <w:r w:rsidR="009C0818">
        <w:rPr>
          <w:rFonts w:ascii="Verdana" w:hAnsi="Verdana"/>
        </w:rPr>
        <w:t xml:space="preserve">ndependence </w:t>
      </w:r>
      <w:r w:rsidR="00550996">
        <w:rPr>
          <w:rFonts w:ascii="Verdana" w:hAnsi="Verdana"/>
        </w:rPr>
        <w:t>P</w:t>
      </w:r>
      <w:r w:rsidR="009C0818">
        <w:rPr>
          <w:rFonts w:ascii="Verdana" w:hAnsi="Verdana"/>
        </w:rPr>
        <w:t xml:space="preserve">ayment, </w:t>
      </w:r>
      <w:r w:rsidR="00147258">
        <w:rPr>
          <w:rFonts w:ascii="Verdana" w:hAnsi="Verdana"/>
        </w:rPr>
        <w:t>it will delay access to assistance for disabled people and people with long term health conditions</w:t>
      </w:r>
      <w:r w:rsidR="00860A87">
        <w:rPr>
          <w:rFonts w:ascii="Verdana" w:hAnsi="Verdana"/>
        </w:rPr>
        <w:t xml:space="preserve">, increasing their vulnerability to poverty. </w:t>
      </w:r>
    </w:p>
    <w:p w14:paraId="664AD293" w14:textId="77777777" w:rsidR="004B73A5" w:rsidRPr="004B73A5" w:rsidRDefault="004B73A5" w:rsidP="00A361AB">
      <w:pPr>
        <w:pStyle w:val="ListParagraph"/>
        <w:spacing w:line="360" w:lineRule="auto"/>
        <w:rPr>
          <w:rFonts w:ascii="Verdana" w:hAnsi="Verdana"/>
        </w:rPr>
      </w:pPr>
    </w:p>
    <w:p w14:paraId="46E7EEBE" w14:textId="19AD3F4D" w:rsidR="00D07D97" w:rsidRPr="00B272FC" w:rsidRDefault="0089162D" w:rsidP="006464FC">
      <w:pPr>
        <w:pStyle w:val="ListParagraph"/>
        <w:numPr>
          <w:ilvl w:val="1"/>
          <w:numId w:val="28"/>
        </w:numPr>
        <w:spacing w:line="360" w:lineRule="auto"/>
        <w:ind w:left="709"/>
        <w:rPr>
          <w:rFonts w:ascii="Verdana" w:hAnsi="Verdana"/>
          <w:b/>
          <w:bCs/>
        </w:rPr>
      </w:pPr>
      <w:r>
        <w:rPr>
          <w:rFonts w:ascii="Verdana" w:hAnsi="Verdana"/>
        </w:rPr>
        <w:t xml:space="preserve">Individuals with temporary conditions, such as </w:t>
      </w:r>
      <w:r w:rsidR="00EB0A39">
        <w:rPr>
          <w:rFonts w:ascii="Verdana" w:hAnsi="Verdana"/>
        </w:rPr>
        <w:t xml:space="preserve">those who are </w:t>
      </w:r>
      <w:r>
        <w:rPr>
          <w:rFonts w:ascii="Verdana" w:hAnsi="Verdana"/>
        </w:rPr>
        <w:t xml:space="preserve">undergoing treatment, experiencing </w:t>
      </w:r>
      <w:r w:rsidR="00EB0A39">
        <w:rPr>
          <w:rFonts w:ascii="Verdana" w:hAnsi="Verdana"/>
        </w:rPr>
        <w:t xml:space="preserve">a </w:t>
      </w:r>
      <w:r>
        <w:rPr>
          <w:rFonts w:ascii="Verdana" w:hAnsi="Verdana"/>
        </w:rPr>
        <w:t>high risk</w:t>
      </w:r>
      <w:r w:rsidR="004B73A5">
        <w:rPr>
          <w:rFonts w:ascii="Verdana" w:hAnsi="Verdana"/>
        </w:rPr>
        <w:t xml:space="preserve"> pregnancy or awaiting surgery </w:t>
      </w:r>
      <w:r w:rsidR="00F75E73">
        <w:rPr>
          <w:rFonts w:ascii="Verdana" w:hAnsi="Verdana"/>
        </w:rPr>
        <w:t xml:space="preserve">can currently qualify for the health element of </w:t>
      </w:r>
      <w:r w:rsidR="00273D75">
        <w:rPr>
          <w:rFonts w:ascii="Verdana" w:hAnsi="Verdana"/>
        </w:rPr>
        <w:t>U</w:t>
      </w:r>
      <w:r w:rsidR="00F75E73">
        <w:rPr>
          <w:rFonts w:ascii="Verdana" w:hAnsi="Verdana"/>
        </w:rPr>
        <w:t xml:space="preserve">niversal </w:t>
      </w:r>
      <w:r w:rsidR="00273D75">
        <w:rPr>
          <w:rFonts w:ascii="Verdana" w:hAnsi="Verdana"/>
        </w:rPr>
        <w:t>C</w:t>
      </w:r>
      <w:r w:rsidR="00F75E73">
        <w:rPr>
          <w:rFonts w:ascii="Verdana" w:hAnsi="Verdana"/>
        </w:rPr>
        <w:t>redit if the</w:t>
      </w:r>
      <w:r w:rsidR="00C05A12">
        <w:rPr>
          <w:rFonts w:ascii="Verdana" w:hAnsi="Verdana"/>
        </w:rPr>
        <w:t xml:space="preserve">ir condition affects them for </w:t>
      </w:r>
      <w:r w:rsidR="005307D2">
        <w:rPr>
          <w:rFonts w:ascii="Verdana" w:hAnsi="Verdana"/>
        </w:rPr>
        <w:t xml:space="preserve">at least </w:t>
      </w:r>
      <w:r w:rsidR="00C05A12">
        <w:rPr>
          <w:rFonts w:ascii="Verdana" w:hAnsi="Verdana"/>
        </w:rPr>
        <w:t>three months.</w:t>
      </w:r>
      <w:r w:rsidR="00B272FC">
        <w:rPr>
          <w:rStyle w:val="FootnoteReference"/>
          <w:rFonts w:ascii="Verdana" w:hAnsi="Verdana"/>
        </w:rPr>
        <w:footnoteReference w:id="132"/>
      </w:r>
      <w:r w:rsidR="00C05A12">
        <w:rPr>
          <w:rFonts w:ascii="Verdana" w:hAnsi="Verdana"/>
        </w:rPr>
        <w:t xml:space="preserve"> </w:t>
      </w:r>
      <w:r w:rsidR="0009339F">
        <w:rPr>
          <w:rFonts w:ascii="Verdana" w:hAnsi="Verdana"/>
        </w:rPr>
        <w:t xml:space="preserve">This means </w:t>
      </w:r>
      <w:r w:rsidR="00A348CB">
        <w:rPr>
          <w:rFonts w:ascii="Verdana" w:hAnsi="Verdana"/>
        </w:rPr>
        <w:t xml:space="preserve">individuals with short term health conditions can </w:t>
      </w:r>
      <w:r w:rsidR="00D3034A">
        <w:rPr>
          <w:rFonts w:ascii="Verdana" w:hAnsi="Verdana"/>
        </w:rPr>
        <w:t>access financial support</w:t>
      </w:r>
      <w:r w:rsidR="008663BD">
        <w:rPr>
          <w:rFonts w:ascii="Verdana" w:hAnsi="Verdana"/>
        </w:rPr>
        <w:t xml:space="preserve"> if they are unable to </w:t>
      </w:r>
      <w:r w:rsidR="008663BD">
        <w:rPr>
          <w:rFonts w:ascii="Verdana" w:hAnsi="Verdana"/>
        </w:rPr>
        <w:lastRenderedPageBreak/>
        <w:t>work</w:t>
      </w:r>
      <w:r w:rsidR="00D3034A">
        <w:rPr>
          <w:rFonts w:ascii="Verdana" w:hAnsi="Verdana"/>
        </w:rPr>
        <w:t>.</w:t>
      </w:r>
      <w:r w:rsidR="008663BD">
        <w:rPr>
          <w:rStyle w:val="FootnoteReference"/>
          <w:rFonts w:ascii="Verdana" w:hAnsi="Verdana"/>
        </w:rPr>
        <w:footnoteReference w:id="133"/>
      </w:r>
      <w:r w:rsidR="00D3034A">
        <w:rPr>
          <w:rFonts w:ascii="Verdana" w:hAnsi="Verdana"/>
        </w:rPr>
        <w:t xml:space="preserve"> However, the </w:t>
      </w:r>
      <w:r w:rsidR="00277070">
        <w:rPr>
          <w:rFonts w:ascii="Verdana" w:hAnsi="Verdana"/>
        </w:rPr>
        <w:t>Personal I</w:t>
      </w:r>
      <w:r w:rsidR="00D3034A">
        <w:rPr>
          <w:rFonts w:ascii="Verdana" w:hAnsi="Verdana"/>
        </w:rPr>
        <w:t xml:space="preserve">ndependence </w:t>
      </w:r>
      <w:r w:rsidR="00277070">
        <w:rPr>
          <w:rFonts w:ascii="Verdana" w:hAnsi="Verdana"/>
        </w:rPr>
        <w:t xml:space="preserve">Payment </w:t>
      </w:r>
      <w:r w:rsidR="00D3034A">
        <w:rPr>
          <w:rFonts w:ascii="Verdana" w:hAnsi="Verdana"/>
        </w:rPr>
        <w:t>assessment requires an individual to be affected by their condition for at least twelve months.</w:t>
      </w:r>
      <w:r w:rsidR="00B272FC">
        <w:rPr>
          <w:rFonts w:ascii="Verdana" w:hAnsi="Verdana"/>
        </w:rPr>
        <w:t xml:space="preserve"> This means that under the new proposals, individuals with short term conditions</w:t>
      </w:r>
      <w:r w:rsidR="00277070">
        <w:rPr>
          <w:rFonts w:ascii="Verdana" w:hAnsi="Verdana"/>
        </w:rPr>
        <w:t xml:space="preserve"> who require financial support</w:t>
      </w:r>
      <w:r w:rsidR="00AF6F9F">
        <w:rPr>
          <w:rFonts w:ascii="Verdana" w:hAnsi="Verdana"/>
        </w:rPr>
        <w:t xml:space="preserve"> due to their condition</w:t>
      </w:r>
      <w:r w:rsidR="00B272FC">
        <w:rPr>
          <w:rFonts w:ascii="Verdana" w:hAnsi="Verdana"/>
        </w:rPr>
        <w:t xml:space="preserve"> will be excluded </w:t>
      </w:r>
      <w:r w:rsidR="00AF6F9F">
        <w:rPr>
          <w:rFonts w:ascii="Verdana" w:hAnsi="Verdana"/>
        </w:rPr>
        <w:t xml:space="preserve">from </w:t>
      </w:r>
      <w:r w:rsidR="00B272FC">
        <w:rPr>
          <w:rFonts w:ascii="Verdana" w:hAnsi="Verdana"/>
        </w:rPr>
        <w:t xml:space="preserve">eligibility. </w:t>
      </w:r>
    </w:p>
    <w:p w14:paraId="157F96A9" w14:textId="77777777" w:rsidR="00B272FC" w:rsidRPr="00B272FC" w:rsidRDefault="00B272FC" w:rsidP="00A361AB">
      <w:pPr>
        <w:pStyle w:val="ListParagraph"/>
        <w:spacing w:line="360" w:lineRule="auto"/>
        <w:ind w:left="709"/>
        <w:rPr>
          <w:rFonts w:ascii="Verdana" w:hAnsi="Verdana"/>
          <w:b/>
          <w:bCs/>
        </w:rPr>
      </w:pPr>
    </w:p>
    <w:p w14:paraId="4A47597F" w14:textId="7DEB2B23" w:rsidR="00B272FC" w:rsidRDefault="00B272FC" w:rsidP="006464FC">
      <w:pPr>
        <w:pStyle w:val="ListParagraph"/>
        <w:numPr>
          <w:ilvl w:val="1"/>
          <w:numId w:val="28"/>
        </w:numPr>
        <w:spacing w:line="360" w:lineRule="auto"/>
        <w:ind w:left="709"/>
        <w:rPr>
          <w:rFonts w:ascii="Verdana" w:hAnsi="Verdana"/>
          <w:b/>
          <w:bCs/>
        </w:rPr>
      </w:pPr>
      <w:r>
        <w:rPr>
          <w:rFonts w:ascii="Verdana" w:hAnsi="Verdana"/>
          <w:b/>
          <w:bCs/>
        </w:rPr>
        <w:t xml:space="preserve">The NIHRC recommends that the Department for Work and Pensions </w:t>
      </w:r>
      <w:r w:rsidR="00134739">
        <w:rPr>
          <w:rFonts w:ascii="Verdana" w:hAnsi="Verdana"/>
          <w:b/>
          <w:bCs/>
        </w:rPr>
        <w:t xml:space="preserve">engages with the Department for Communities on its proposals to </w:t>
      </w:r>
      <w:r w:rsidR="00315BC4">
        <w:rPr>
          <w:rFonts w:ascii="Verdana" w:hAnsi="Verdana"/>
          <w:b/>
          <w:bCs/>
        </w:rPr>
        <w:t xml:space="preserve">move to a single assessment system for </w:t>
      </w:r>
      <w:r w:rsidR="00B5743E">
        <w:rPr>
          <w:rFonts w:ascii="Verdana" w:hAnsi="Verdana"/>
          <w:b/>
          <w:bCs/>
        </w:rPr>
        <w:t>P</w:t>
      </w:r>
      <w:r w:rsidR="00315BC4">
        <w:rPr>
          <w:rFonts w:ascii="Verdana" w:hAnsi="Verdana"/>
          <w:b/>
          <w:bCs/>
        </w:rPr>
        <w:t xml:space="preserve">ersonal </w:t>
      </w:r>
      <w:r w:rsidR="00B5743E">
        <w:rPr>
          <w:rFonts w:ascii="Verdana" w:hAnsi="Verdana"/>
          <w:b/>
          <w:bCs/>
        </w:rPr>
        <w:t>I</w:t>
      </w:r>
      <w:r w:rsidR="00315BC4">
        <w:rPr>
          <w:rFonts w:ascii="Verdana" w:hAnsi="Verdana"/>
          <w:b/>
          <w:bCs/>
        </w:rPr>
        <w:t xml:space="preserve">ndependence </w:t>
      </w:r>
      <w:r w:rsidR="00B5743E">
        <w:rPr>
          <w:rFonts w:ascii="Verdana" w:hAnsi="Verdana"/>
          <w:b/>
          <w:bCs/>
        </w:rPr>
        <w:t>P</w:t>
      </w:r>
      <w:r w:rsidR="00315BC4">
        <w:rPr>
          <w:rFonts w:ascii="Verdana" w:hAnsi="Verdana"/>
          <w:b/>
          <w:bCs/>
        </w:rPr>
        <w:t xml:space="preserve">ayments and the health element of </w:t>
      </w:r>
      <w:r w:rsidR="00B5743E">
        <w:rPr>
          <w:rFonts w:ascii="Verdana" w:hAnsi="Verdana"/>
          <w:b/>
          <w:bCs/>
        </w:rPr>
        <w:t>U</w:t>
      </w:r>
      <w:r w:rsidR="00315BC4">
        <w:rPr>
          <w:rFonts w:ascii="Verdana" w:hAnsi="Verdana"/>
          <w:b/>
          <w:bCs/>
        </w:rPr>
        <w:t xml:space="preserve">niversal </w:t>
      </w:r>
      <w:r w:rsidR="00B5743E">
        <w:rPr>
          <w:rFonts w:ascii="Verdana" w:hAnsi="Verdana"/>
          <w:b/>
          <w:bCs/>
        </w:rPr>
        <w:t>C</w:t>
      </w:r>
      <w:r w:rsidR="00315BC4">
        <w:rPr>
          <w:rFonts w:ascii="Verdana" w:hAnsi="Verdana"/>
          <w:b/>
          <w:bCs/>
        </w:rPr>
        <w:t xml:space="preserve">redit as a matter of urgency. Both Departments should ensure that they engage with disabled people and their representative organisations </w:t>
      </w:r>
      <w:r w:rsidR="00200354">
        <w:rPr>
          <w:rFonts w:ascii="Verdana" w:hAnsi="Verdana"/>
          <w:b/>
          <w:bCs/>
        </w:rPr>
        <w:t xml:space="preserve">to </w:t>
      </w:r>
      <w:r w:rsidR="00F81953">
        <w:rPr>
          <w:rFonts w:ascii="Verdana" w:hAnsi="Verdana"/>
          <w:b/>
          <w:bCs/>
        </w:rPr>
        <w:t xml:space="preserve">understand </w:t>
      </w:r>
      <w:r w:rsidR="00200354">
        <w:rPr>
          <w:rFonts w:ascii="Verdana" w:hAnsi="Verdana"/>
          <w:b/>
          <w:bCs/>
        </w:rPr>
        <w:t xml:space="preserve">the potential impact of any changes </w:t>
      </w:r>
      <w:r w:rsidR="00315BC4">
        <w:rPr>
          <w:rFonts w:ascii="Verdana" w:hAnsi="Verdana"/>
          <w:b/>
          <w:bCs/>
        </w:rPr>
        <w:t>on these matters</w:t>
      </w:r>
      <w:r w:rsidR="00200354">
        <w:rPr>
          <w:rFonts w:ascii="Verdana" w:hAnsi="Verdana"/>
          <w:b/>
          <w:bCs/>
        </w:rPr>
        <w:t xml:space="preserve"> as a matter of urgency. </w:t>
      </w:r>
    </w:p>
    <w:p w14:paraId="0CC2F438" w14:textId="77777777" w:rsidR="00200354" w:rsidRPr="00200354" w:rsidRDefault="00200354" w:rsidP="00A361AB">
      <w:pPr>
        <w:pStyle w:val="ListParagraph"/>
        <w:spacing w:line="360" w:lineRule="auto"/>
        <w:rPr>
          <w:rFonts w:ascii="Verdana" w:hAnsi="Verdana"/>
          <w:b/>
          <w:bCs/>
        </w:rPr>
      </w:pPr>
    </w:p>
    <w:p w14:paraId="2F4D7676" w14:textId="5CA8AE35" w:rsidR="00F74AB8" w:rsidRDefault="00200354" w:rsidP="006464FC">
      <w:pPr>
        <w:pStyle w:val="ListParagraph"/>
        <w:numPr>
          <w:ilvl w:val="1"/>
          <w:numId w:val="28"/>
        </w:numPr>
        <w:spacing w:line="360" w:lineRule="auto"/>
        <w:ind w:left="709"/>
        <w:rPr>
          <w:rFonts w:ascii="Verdana" w:hAnsi="Verdana"/>
          <w:b/>
          <w:bCs/>
        </w:rPr>
      </w:pPr>
      <w:r>
        <w:rPr>
          <w:rFonts w:ascii="Verdana" w:hAnsi="Verdana"/>
          <w:b/>
          <w:bCs/>
        </w:rPr>
        <w:t xml:space="preserve">The NIHRC recommends that the Department </w:t>
      </w:r>
      <w:r w:rsidR="00F81953">
        <w:rPr>
          <w:rFonts w:ascii="Verdana" w:hAnsi="Verdana"/>
          <w:b/>
          <w:bCs/>
        </w:rPr>
        <w:t>for</w:t>
      </w:r>
      <w:r>
        <w:rPr>
          <w:rFonts w:ascii="Verdana" w:hAnsi="Verdana"/>
          <w:b/>
          <w:bCs/>
        </w:rPr>
        <w:t xml:space="preserve"> Work and Pensions and the Department for Communities engage with disabled people, their representative organisations and </w:t>
      </w:r>
      <w:r w:rsidR="00FD4939">
        <w:rPr>
          <w:rFonts w:ascii="Verdana" w:hAnsi="Verdana"/>
          <w:b/>
          <w:bCs/>
        </w:rPr>
        <w:t xml:space="preserve">organisations </w:t>
      </w:r>
      <w:r w:rsidR="000A6D2C">
        <w:rPr>
          <w:rFonts w:ascii="Verdana" w:hAnsi="Verdana"/>
          <w:b/>
          <w:bCs/>
        </w:rPr>
        <w:t xml:space="preserve">which provide </w:t>
      </w:r>
      <w:r w:rsidR="00FD4939">
        <w:rPr>
          <w:rFonts w:ascii="Verdana" w:hAnsi="Verdana"/>
          <w:b/>
          <w:bCs/>
        </w:rPr>
        <w:t xml:space="preserve">advice on social security to determine issues with </w:t>
      </w:r>
      <w:r w:rsidR="00811B3C">
        <w:rPr>
          <w:rFonts w:ascii="Verdana" w:hAnsi="Verdana"/>
          <w:b/>
          <w:bCs/>
        </w:rPr>
        <w:t>P</w:t>
      </w:r>
      <w:r w:rsidR="00FD4939">
        <w:rPr>
          <w:rFonts w:ascii="Verdana" w:hAnsi="Verdana"/>
          <w:b/>
          <w:bCs/>
        </w:rPr>
        <w:t xml:space="preserve">ersonal </w:t>
      </w:r>
      <w:r w:rsidR="00811B3C">
        <w:rPr>
          <w:rFonts w:ascii="Verdana" w:hAnsi="Verdana"/>
          <w:b/>
          <w:bCs/>
        </w:rPr>
        <w:t>I</w:t>
      </w:r>
      <w:r w:rsidR="00FD4939">
        <w:rPr>
          <w:rFonts w:ascii="Verdana" w:hAnsi="Verdana"/>
          <w:b/>
          <w:bCs/>
        </w:rPr>
        <w:t xml:space="preserve">ndependence </w:t>
      </w:r>
      <w:r w:rsidR="00811B3C">
        <w:rPr>
          <w:rFonts w:ascii="Verdana" w:hAnsi="Verdana"/>
          <w:b/>
          <w:bCs/>
        </w:rPr>
        <w:t>P</w:t>
      </w:r>
      <w:r w:rsidR="00FD4939">
        <w:rPr>
          <w:rFonts w:ascii="Verdana" w:hAnsi="Verdana"/>
          <w:b/>
          <w:bCs/>
        </w:rPr>
        <w:t>ayments a</w:t>
      </w:r>
      <w:r w:rsidR="00C218D8">
        <w:rPr>
          <w:rFonts w:ascii="Verdana" w:hAnsi="Verdana"/>
          <w:b/>
          <w:bCs/>
        </w:rPr>
        <w:t>ssessments and address them, ensuring that such assessment processes are consistently monitored to ensure they are operating effectively for service users.</w:t>
      </w:r>
    </w:p>
    <w:p w14:paraId="7939B225" w14:textId="77777777" w:rsidR="00F74AB8" w:rsidRDefault="00F74AB8" w:rsidP="00A361AB">
      <w:pPr>
        <w:spacing w:line="360" w:lineRule="auto"/>
        <w:rPr>
          <w:rFonts w:ascii="Verdana" w:hAnsi="Verdana"/>
          <w:b/>
          <w:bCs/>
        </w:rPr>
      </w:pPr>
    </w:p>
    <w:p w14:paraId="5CE72167" w14:textId="7430F107" w:rsidR="00F74AB8" w:rsidRPr="00F74AB8" w:rsidRDefault="00032964" w:rsidP="00A361AB">
      <w:pPr>
        <w:pStyle w:val="Heading2"/>
        <w:spacing w:line="360" w:lineRule="auto"/>
      </w:pPr>
      <w:bookmarkStart w:id="17" w:name="_Toc201648668"/>
      <w:r>
        <w:t xml:space="preserve">Age </w:t>
      </w:r>
      <w:r w:rsidR="00AE3A1C">
        <w:t>Eligibility for Payments</w:t>
      </w:r>
      <w:bookmarkEnd w:id="17"/>
    </w:p>
    <w:p w14:paraId="4799FADC" w14:textId="31D2249A" w:rsidR="00F74AB8" w:rsidRPr="00C71EA0" w:rsidRDefault="00F03838" w:rsidP="006464FC">
      <w:pPr>
        <w:pStyle w:val="ListParagraph"/>
        <w:numPr>
          <w:ilvl w:val="1"/>
          <w:numId w:val="28"/>
        </w:numPr>
        <w:spacing w:line="360" w:lineRule="auto"/>
        <w:ind w:left="709"/>
        <w:rPr>
          <w:rFonts w:ascii="Verdana" w:hAnsi="Verdana"/>
          <w:b/>
          <w:bCs/>
        </w:rPr>
      </w:pPr>
      <w:r>
        <w:rPr>
          <w:rFonts w:ascii="Verdana" w:hAnsi="Verdana"/>
        </w:rPr>
        <w:t xml:space="preserve">The Pathways to Work </w:t>
      </w:r>
      <w:r w:rsidR="00CE0E5D">
        <w:rPr>
          <w:rFonts w:ascii="Verdana" w:hAnsi="Verdana"/>
        </w:rPr>
        <w:t>G</w:t>
      </w:r>
      <w:r>
        <w:rPr>
          <w:rFonts w:ascii="Verdana" w:hAnsi="Verdana"/>
        </w:rPr>
        <w:t xml:space="preserve">reen </w:t>
      </w:r>
      <w:r w:rsidR="00CE0E5D">
        <w:rPr>
          <w:rFonts w:ascii="Verdana" w:hAnsi="Verdana"/>
        </w:rPr>
        <w:t>P</w:t>
      </w:r>
      <w:r>
        <w:rPr>
          <w:rFonts w:ascii="Verdana" w:hAnsi="Verdana"/>
        </w:rPr>
        <w:t xml:space="preserve">aper </w:t>
      </w:r>
      <w:r w:rsidR="004E376D">
        <w:rPr>
          <w:rFonts w:ascii="Verdana" w:hAnsi="Verdana"/>
        </w:rPr>
        <w:t xml:space="preserve">is </w:t>
      </w:r>
      <w:r w:rsidR="00EB0A39">
        <w:rPr>
          <w:rFonts w:ascii="Verdana" w:hAnsi="Verdana"/>
        </w:rPr>
        <w:t>considering</w:t>
      </w:r>
      <w:r w:rsidR="0023741D">
        <w:rPr>
          <w:rFonts w:ascii="Verdana" w:hAnsi="Verdana"/>
        </w:rPr>
        <w:t xml:space="preserve"> a proposal to delay access to the health element of </w:t>
      </w:r>
      <w:r w:rsidR="00B73AEB">
        <w:rPr>
          <w:rFonts w:ascii="Verdana" w:hAnsi="Verdana"/>
        </w:rPr>
        <w:t>U</w:t>
      </w:r>
      <w:r w:rsidR="0023741D">
        <w:rPr>
          <w:rFonts w:ascii="Verdana" w:hAnsi="Verdana"/>
        </w:rPr>
        <w:t xml:space="preserve">niversal </w:t>
      </w:r>
      <w:r w:rsidR="00B73AEB">
        <w:rPr>
          <w:rFonts w:ascii="Verdana" w:hAnsi="Verdana"/>
        </w:rPr>
        <w:t>C</w:t>
      </w:r>
      <w:r w:rsidR="0023741D">
        <w:rPr>
          <w:rFonts w:ascii="Verdana" w:hAnsi="Verdana"/>
        </w:rPr>
        <w:t>redit until an individual is 22 years old.</w:t>
      </w:r>
      <w:r w:rsidR="0023741D">
        <w:rPr>
          <w:rStyle w:val="FootnoteReference"/>
          <w:rFonts w:ascii="Verdana" w:hAnsi="Verdana"/>
        </w:rPr>
        <w:footnoteReference w:id="134"/>
      </w:r>
      <w:r>
        <w:rPr>
          <w:rFonts w:ascii="Verdana" w:hAnsi="Verdana"/>
        </w:rPr>
        <w:t xml:space="preserve"> </w:t>
      </w:r>
      <w:r w:rsidR="004B4644">
        <w:rPr>
          <w:rFonts w:ascii="Verdana" w:hAnsi="Verdana"/>
        </w:rPr>
        <w:t>The Department suggests that this would ensure that young people are either “earning or learning”</w:t>
      </w:r>
      <w:r w:rsidR="0027480D">
        <w:rPr>
          <w:rFonts w:ascii="Verdana" w:hAnsi="Verdana"/>
        </w:rPr>
        <w:t xml:space="preserve">, prevent economic inactivity, </w:t>
      </w:r>
      <w:r w:rsidR="009E408F">
        <w:rPr>
          <w:rFonts w:ascii="Verdana" w:hAnsi="Verdana"/>
        </w:rPr>
        <w:t xml:space="preserve">ensure </w:t>
      </w:r>
      <w:r w:rsidR="009E408F">
        <w:rPr>
          <w:rFonts w:ascii="Verdana" w:hAnsi="Verdana"/>
        </w:rPr>
        <w:lastRenderedPageBreak/>
        <w:t>that work is a “credible ambition” for young people with a disability</w:t>
      </w:r>
      <w:r w:rsidR="00CC4ACF">
        <w:rPr>
          <w:rFonts w:ascii="Verdana" w:hAnsi="Verdana"/>
        </w:rPr>
        <w:t xml:space="preserve"> and remove the potential to d</w:t>
      </w:r>
      <w:r w:rsidR="00F220EF">
        <w:rPr>
          <w:rFonts w:ascii="Verdana" w:hAnsi="Verdana"/>
        </w:rPr>
        <w:t>isin</w:t>
      </w:r>
      <w:r w:rsidR="00CC4ACF">
        <w:rPr>
          <w:rFonts w:ascii="Verdana" w:hAnsi="Verdana"/>
        </w:rPr>
        <w:t>centivise work</w:t>
      </w:r>
      <w:r w:rsidR="004B4644">
        <w:rPr>
          <w:rFonts w:ascii="Verdana" w:hAnsi="Verdana"/>
        </w:rPr>
        <w:t>.</w:t>
      </w:r>
      <w:r w:rsidR="004B4644">
        <w:rPr>
          <w:rStyle w:val="FootnoteReference"/>
          <w:rFonts w:ascii="Verdana" w:hAnsi="Verdana"/>
        </w:rPr>
        <w:footnoteReference w:id="135"/>
      </w:r>
    </w:p>
    <w:p w14:paraId="242622EC" w14:textId="77777777" w:rsidR="00C71EA0" w:rsidRPr="00C71EA0" w:rsidRDefault="00C71EA0" w:rsidP="00A361AB">
      <w:pPr>
        <w:pStyle w:val="ListParagraph"/>
        <w:spacing w:line="360" w:lineRule="auto"/>
        <w:ind w:left="709"/>
        <w:rPr>
          <w:rFonts w:ascii="Verdana" w:hAnsi="Verdana"/>
          <w:b/>
          <w:bCs/>
        </w:rPr>
      </w:pPr>
    </w:p>
    <w:p w14:paraId="42BC9433" w14:textId="00F235DD" w:rsidR="00911B68" w:rsidRPr="009E0000" w:rsidRDefault="00C71EA0" w:rsidP="006464FC">
      <w:pPr>
        <w:pStyle w:val="ListParagraph"/>
        <w:numPr>
          <w:ilvl w:val="1"/>
          <w:numId w:val="28"/>
        </w:numPr>
        <w:spacing w:line="360" w:lineRule="auto"/>
        <w:ind w:left="709"/>
        <w:rPr>
          <w:rFonts w:ascii="Verdana" w:hAnsi="Verdana"/>
        </w:rPr>
      </w:pPr>
      <w:r w:rsidRPr="009E0000">
        <w:rPr>
          <w:rFonts w:ascii="Verdana" w:hAnsi="Verdana"/>
        </w:rPr>
        <w:t xml:space="preserve">The Department for Work and Pensions notes that </w:t>
      </w:r>
      <w:r w:rsidR="004917AF" w:rsidRPr="009E0000">
        <w:rPr>
          <w:rFonts w:ascii="Verdana" w:hAnsi="Verdana"/>
        </w:rPr>
        <w:t xml:space="preserve">delaying this entitlement would mean funds could be diverted to improving work and training opportunities for </w:t>
      </w:r>
      <w:proofErr w:type="gramStart"/>
      <w:r w:rsidR="004917AF" w:rsidRPr="009E0000">
        <w:rPr>
          <w:rFonts w:ascii="Verdana" w:hAnsi="Verdana"/>
        </w:rPr>
        <w:t>18 to 21 year olds</w:t>
      </w:r>
      <w:proofErr w:type="gramEnd"/>
      <w:r w:rsidR="004917AF" w:rsidRPr="009E0000">
        <w:rPr>
          <w:rFonts w:ascii="Verdana" w:hAnsi="Verdana"/>
        </w:rPr>
        <w:t>.</w:t>
      </w:r>
      <w:r w:rsidR="004917AF">
        <w:rPr>
          <w:rStyle w:val="FootnoteReference"/>
          <w:rFonts w:ascii="Verdana" w:hAnsi="Verdana"/>
        </w:rPr>
        <w:footnoteReference w:id="136"/>
      </w:r>
      <w:r w:rsidR="009D2B86" w:rsidRPr="009E0000">
        <w:rPr>
          <w:rFonts w:ascii="Verdana" w:hAnsi="Verdana"/>
        </w:rPr>
        <w:t xml:space="preserve"> </w:t>
      </w:r>
      <w:r w:rsidR="009E0000">
        <w:rPr>
          <w:rFonts w:ascii="Verdana" w:hAnsi="Verdana"/>
        </w:rPr>
        <w:t xml:space="preserve">Young people in NI already experience inequalities in access to work which makes them vulnerable to poverty. </w:t>
      </w:r>
      <w:r w:rsidR="009D2B86" w:rsidRPr="009E0000">
        <w:rPr>
          <w:rFonts w:ascii="Verdana" w:hAnsi="Verdana"/>
        </w:rPr>
        <w:t xml:space="preserve">In NI, the unemployment rate for </w:t>
      </w:r>
      <w:proofErr w:type="gramStart"/>
      <w:r w:rsidR="009D2B86" w:rsidRPr="009E0000">
        <w:rPr>
          <w:rFonts w:ascii="Verdana" w:hAnsi="Verdana"/>
        </w:rPr>
        <w:t>16</w:t>
      </w:r>
      <w:r w:rsidR="00806A9B" w:rsidRPr="009E0000">
        <w:rPr>
          <w:rFonts w:ascii="Verdana" w:hAnsi="Verdana"/>
        </w:rPr>
        <w:t xml:space="preserve"> to </w:t>
      </w:r>
      <w:r w:rsidR="009D2B86" w:rsidRPr="009E0000">
        <w:rPr>
          <w:rFonts w:ascii="Verdana" w:hAnsi="Verdana"/>
        </w:rPr>
        <w:t>24 year olds</w:t>
      </w:r>
      <w:proofErr w:type="gramEnd"/>
      <w:r w:rsidR="009D2B86" w:rsidRPr="009E0000">
        <w:rPr>
          <w:rFonts w:ascii="Verdana" w:hAnsi="Verdana"/>
        </w:rPr>
        <w:t xml:space="preserve"> (5.8 per cent) is more than double that of </w:t>
      </w:r>
      <w:proofErr w:type="gramStart"/>
      <w:r w:rsidR="009D2B86" w:rsidRPr="009E0000">
        <w:rPr>
          <w:rFonts w:ascii="Verdana" w:hAnsi="Verdana"/>
        </w:rPr>
        <w:t>16</w:t>
      </w:r>
      <w:r w:rsidR="00806A9B" w:rsidRPr="009E0000">
        <w:rPr>
          <w:rFonts w:ascii="Verdana" w:hAnsi="Verdana"/>
        </w:rPr>
        <w:t xml:space="preserve"> to </w:t>
      </w:r>
      <w:r w:rsidR="009D2B86" w:rsidRPr="009E0000">
        <w:rPr>
          <w:rFonts w:ascii="Verdana" w:hAnsi="Verdana"/>
        </w:rPr>
        <w:t>64 year olds</w:t>
      </w:r>
      <w:proofErr w:type="gramEnd"/>
      <w:r w:rsidR="009D2B86" w:rsidRPr="009E0000">
        <w:rPr>
          <w:rFonts w:ascii="Verdana" w:hAnsi="Verdana"/>
        </w:rPr>
        <w:t xml:space="preserve"> (2.5 per cent). Gross </w:t>
      </w:r>
      <w:proofErr w:type="gramStart"/>
      <w:r w:rsidR="009D2B86" w:rsidRPr="009E0000">
        <w:rPr>
          <w:rFonts w:ascii="Verdana" w:hAnsi="Verdana"/>
        </w:rPr>
        <w:t>hourly</w:t>
      </w:r>
      <w:proofErr w:type="gramEnd"/>
      <w:r w:rsidR="009D2B86" w:rsidRPr="009E0000">
        <w:rPr>
          <w:rFonts w:ascii="Verdana" w:hAnsi="Verdana"/>
        </w:rPr>
        <w:t xml:space="preserve"> pay for </w:t>
      </w:r>
      <w:proofErr w:type="gramStart"/>
      <w:r w:rsidR="009D2B86" w:rsidRPr="009E0000">
        <w:rPr>
          <w:rFonts w:ascii="Verdana" w:hAnsi="Verdana"/>
        </w:rPr>
        <w:t>18</w:t>
      </w:r>
      <w:r w:rsidR="00806A9B" w:rsidRPr="009E0000">
        <w:rPr>
          <w:rFonts w:ascii="Verdana" w:hAnsi="Verdana"/>
        </w:rPr>
        <w:t xml:space="preserve"> to </w:t>
      </w:r>
      <w:r w:rsidR="009D2B86" w:rsidRPr="009E0000">
        <w:rPr>
          <w:rFonts w:ascii="Verdana" w:hAnsi="Verdana"/>
        </w:rPr>
        <w:t>21 year olds</w:t>
      </w:r>
      <w:proofErr w:type="gramEnd"/>
      <w:r w:rsidR="009D2B86" w:rsidRPr="009E0000">
        <w:rPr>
          <w:rFonts w:ascii="Verdana" w:hAnsi="Verdana"/>
        </w:rPr>
        <w:t xml:space="preserve"> is more than one third lower compared </w:t>
      </w:r>
      <w:r w:rsidR="006F3B77">
        <w:rPr>
          <w:rFonts w:ascii="Verdana" w:hAnsi="Verdana"/>
        </w:rPr>
        <w:t xml:space="preserve">to the rate of hourly pay for </w:t>
      </w:r>
      <w:r w:rsidR="009D2B86" w:rsidRPr="009E0000">
        <w:rPr>
          <w:rFonts w:ascii="Verdana" w:hAnsi="Verdana"/>
        </w:rPr>
        <w:t>employees of all ages in NI.</w:t>
      </w:r>
      <w:r w:rsidR="009D2B86">
        <w:rPr>
          <w:rStyle w:val="FootnoteReference"/>
          <w:rFonts w:ascii="Verdana" w:hAnsi="Verdana"/>
        </w:rPr>
        <w:footnoteReference w:id="137"/>
      </w:r>
      <w:r w:rsidR="00806A9B" w:rsidRPr="009E0000">
        <w:rPr>
          <w:rFonts w:ascii="Verdana" w:hAnsi="Verdana"/>
        </w:rPr>
        <w:t xml:space="preserve"> </w:t>
      </w:r>
      <w:r w:rsidR="00B54817">
        <w:rPr>
          <w:rFonts w:ascii="Verdana" w:hAnsi="Verdana"/>
        </w:rPr>
        <w:t xml:space="preserve">Denying young people access to </w:t>
      </w:r>
      <w:r w:rsidR="002A3C9D">
        <w:rPr>
          <w:rFonts w:ascii="Verdana" w:hAnsi="Verdana"/>
        </w:rPr>
        <w:t>claiming benefit support that they may be entitled to “</w:t>
      </w:r>
      <w:r w:rsidR="002F16AA" w:rsidRPr="002F16AA">
        <w:rPr>
          <w:rFonts w:ascii="Verdana" w:hAnsi="Verdana"/>
        </w:rPr>
        <w:t>risks pushing this group of young people into deeper hardship, and further away from engaging with employment or training</w:t>
      </w:r>
      <w:r w:rsidR="002F16AA">
        <w:rPr>
          <w:rFonts w:ascii="Verdana" w:hAnsi="Verdana"/>
        </w:rPr>
        <w:t>”.</w:t>
      </w:r>
      <w:r w:rsidR="002F16AA">
        <w:rPr>
          <w:rStyle w:val="FootnoteReference"/>
          <w:rFonts w:ascii="Verdana" w:hAnsi="Verdana"/>
        </w:rPr>
        <w:footnoteReference w:id="138"/>
      </w:r>
    </w:p>
    <w:p w14:paraId="6905D193" w14:textId="77777777" w:rsidR="009E0000" w:rsidRPr="009E0000" w:rsidRDefault="009E0000" w:rsidP="00A361AB">
      <w:pPr>
        <w:pStyle w:val="ListParagraph"/>
        <w:spacing w:line="360" w:lineRule="auto"/>
        <w:rPr>
          <w:rFonts w:ascii="Verdana" w:hAnsi="Verdana"/>
          <w:b/>
          <w:bCs/>
        </w:rPr>
      </w:pPr>
    </w:p>
    <w:p w14:paraId="5BBED34A" w14:textId="75A4051F" w:rsidR="00911B68" w:rsidRPr="00644A0C" w:rsidRDefault="005F306A" w:rsidP="006464FC">
      <w:pPr>
        <w:pStyle w:val="ListParagraph"/>
        <w:numPr>
          <w:ilvl w:val="1"/>
          <w:numId w:val="28"/>
        </w:numPr>
        <w:spacing w:line="360" w:lineRule="auto"/>
        <w:ind w:left="709"/>
        <w:rPr>
          <w:rFonts w:ascii="Verdana" w:hAnsi="Verdana"/>
          <w:b/>
          <w:bCs/>
        </w:rPr>
      </w:pPr>
      <w:r>
        <w:rPr>
          <w:rFonts w:ascii="Verdana" w:hAnsi="Verdana"/>
        </w:rPr>
        <w:t xml:space="preserve">The Department for Communities </w:t>
      </w:r>
      <w:r w:rsidR="004D0386">
        <w:rPr>
          <w:rFonts w:ascii="Verdana" w:hAnsi="Verdana"/>
        </w:rPr>
        <w:t xml:space="preserve">does not </w:t>
      </w:r>
      <w:r>
        <w:rPr>
          <w:rFonts w:ascii="Verdana" w:hAnsi="Verdana"/>
        </w:rPr>
        <w:t xml:space="preserve">publish </w:t>
      </w:r>
      <w:r w:rsidR="00A015C4">
        <w:rPr>
          <w:rFonts w:ascii="Verdana" w:hAnsi="Verdana"/>
        </w:rPr>
        <w:t xml:space="preserve">disaggregated </w:t>
      </w:r>
      <w:r>
        <w:rPr>
          <w:rFonts w:ascii="Verdana" w:hAnsi="Verdana"/>
        </w:rPr>
        <w:t xml:space="preserve">data </w:t>
      </w:r>
      <w:r w:rsidR="00D00196">
        <w:rPr>
          <w:rFonts w:ascii="Verdana" w:hAnsi="Verdana"/>
        </w:rPr>
        <w:t>showing</w:t>
      </w:r>
      <w:r w:rsidR="004D0386">
        <w:rPr>
          <w:rFonts w:ascii="Verdana" w:hAnsi="Verdana"/>
        </w:rPr>
        <w:t xml:space="preserve"> </w:t>
      </w:r>
      <w:r>
        <w:rPr>
          <w:rFonts w:ascii="Verdana" w:hAnsi="Verdana"/>
        </w:rPr>
        <w:t>the number of people availing of the health element of universal credit</w:t>
      </w:r>
      <w:r w:rsidR="00C72780">
        <w:rPr>
          <w:rFonts w:ascii="Verdana" w:hAnsi="Verdana"/>
        </w:rPr>
        <w:t xml:space="preserve"> </w:t>
      </w:r>
      <w:r>
        <w:rPr>
          <w:rFonts w:ascii="Verdana" w:hAnsi="Verdana"/>
        </w:rPr>
        <w:t>by age, so the</w:t>
      </w:r>
      <w:r w:rsidR="009A45AE">
        <w:rPr>
          <w:rFonts w:ascii="Verdana" w:hAnsi="Verdana"/>
        </w:rPr>
        <w:t xml:space="preserve"> number of individuals who would be </w:t>
      </w:r>
      <w:r w:rsidR="00EB0A39">
        <w:rPr>
          <w:rFonts w:ascii="Verdana" w:hAnsi="Verdana"/>
        </w:rPr>
        <w:t xml:space="preserve">affected </w:t>
      </w:r>
      <w:r w:rsidR="009A45AE">
        <w:rPr>
          <w:rFonts w:ascii="Verdana" w:hAnsi="Verdana"/>
        </w:rPr>
        <w:t xml:space="preserve">by this proposal in NI is not available. </w:t>
      </w:r>
    </w:p>
    <w:p w14:paraId="13BB22BC" w14:textId="77777777" w:rsidR="00644A0C" w:rsidRPr="00644A0C" w:rsidRDefault="00644A0C" w:rsidP="00A361AB">
      <w:pPr>
        <w:pStyle w:val="ListParagraph"/>
        <w:spacing w:line="360" w:lineRule="auto"/>
        <w:rPr>
          <w:rFonts w:ascii="Verdana" w:hAnsi="Verdana"/>
          <w:b/>
          <w:bCs/>
        </w:rPr>
      </w:pPr>
    </w:p>
    <w:p w14:paraId="65E43F6F" w14:textId="0A2DD45E" w:rsidR="00C401E1" w:rsidRDefault="00C401E1" w:rsidP="006464FC">
      <w:pPr>
        <w:pStyle w:val="ListParagraph"/>
        <w:numPr>
          <w:ilvl w:val="1"/>
          <w:numId w:val="28"/>
        </w:numPr>
        <w:spacing w:line="360" w:lineRule="auto"/>
        <w:ind w:left="709"/>
        <w:rPr>
          <w:rFonts w:ascii="Verdana" w:hAnsi="Verdana"/>
        </w:rPr>
      </w:pPr>
      <w:r w:rsidRPr="00872037">
        <w:rPr>
          <w:rFonts w:ascii="Verdana" w:hAnsi="Verdana"/>
        </w:rPr>
        <w:t xml:space="preserve">The NIHRC is concerned that there </w:t>
      </w:r>
      <w:r w:rsidR="00EB0A39">
        <w:rPr>
          <w:rFonts w:ascii="Verdana" w:hAnsi="Verdana"/>
        </w:rPr>
        <w:t>is</w:t>
      </w:r>
      <w:r w:rsidRPr="00872037">
        <w:rPr>
          <w:rFonts w:ascii="Verdana" w:hAnsi="Verdana"/>
        </w:rPr>
        <w:t xml:space="preserve"> a considerable number of </w:t>
      </w:r>
      <w:proofErr w:type="gramStart"/>
      <w:r w:rsidRPr="00872037">
        <w:rPr>
          <w:rFonts w:ascii="Verdana" w:hAnsi="Verdana"/>
        </w:rPr>
        <w:t>18 to 21 year olds</w:t>
      </w:r>
      <w:proofErr w:type="gramEnd"/>
      <w:r w:rsidRPr="00872037">
        <w:rPr>
          <w:rFonts w:ascii="Verdana" w:hAnsi="Verdana"/>
        </w:rPr>
        <w:t xml:space="preserve"> in NI </w:t>
      </w:r>
      <w:r w:rsidR="00872037" w:rsidRPr="00872037">
        <w:rPr>
          <w:rFonts w:ascii="Verdana" w:hAnsi="Verdana"/>
        </w:rPr>
        <w:t xml:space="preserve">living with a disability or </w:t>
      </w:r>
      <w:proofErr w:type="gramStart"/>
      <w:r w:rsidR="00872037" w:rsidRPr="00872037">
        <w:rPr>
          <w:rFonts w:ascii="Verdana" w:hAnsi="Verdana"/>
        </w:rPr>
        <w:t>long term</w:t>
      </w:r>
      <w:proofErr w:type="gramEnd"/>
      <w:r w:rsidR="00872037" w:rsidRPr="00872037">
        <w:rPr>
          <w:rFonts w:ascii="Verdana" w:hAnsi="Verdana"/>
        </w:rPr>
        <w:t xml:space="preserve"> health condition who will lose the health element of </w:t>
      </w:r>
      <w:r w:rsidR="00BB30F5">
        <w:rPr>
          <w:rFonts w:ascii="Verdana" w:hAnsi="Verdana"/>
        </w:rPr>
        <w:t>U</w:t>
      </w:r>
      <w:r w:rsidR="00BB30F5" w:rsidRPr="00872037">
        <w:rPr>
          <w:rFonts w:ascii="Verdana" w:hAnsi="Verdana"/>
        </w:rPr>
        <w:t xml:space="preserve">niversal </w:t>
      </w:r>
      <w:r w:rsidR="00BB30F5">
        <w:rPr>
          <w:rFonts w:ascii="Verdana" w:hAnsi="Verdana"/>
        </w:rPr>
        <w:t>C</w:t>
      </w:r>
      <w:r w:rsidR="00872037" w:rsidRPr="00872037">
        <w:rPr>
          <w:rFonts w:ascii="Verdana" w:hAnsi="Verdana"/>
        </w:rPr>
        <w:t>redit</w:t>
      </w:r>
      <w:r w:rsidR="00613484">
        <w:rPr>
          <w:rFonts w:ascii="Verdana" w:hAnsi="Verdana"/>
        </w:rPr>
        <w:t xml:space="preserve"> without any guarantee that measures will increase their access to training or education</w:t>
      </w:r>
      <w:r w:rsidR="00BB59D7">
        <w:rPr>
          <w:rFonts w:ascii="Verdana" w:hAnsi="Verdana"/>
        </w:rPr>
        <w:t xml:space="preserve">, leaving them </w:t>
      </w:r>
      <w:r w:rsidR="00613484">
        <w:rPr>
          <w:rFonts w:ascii="Verdana" w:hAnsi="Verdana"/>
        </w:rPr>
        <w:t xml:space="preserve">without </w:t>
      </w:r>
      <w:r w:rsidR="00BB59D7">
        <w:rPr>
          <w:rFonts w:ascii="Verdana" w:hAnsi="Verdana"/>
        </w:rPr>
        <w:t xml:space="preserve">any means of </w:t>
      </w:r>
      <w:r w:rsidR="00D73DFD">
        <w:rPr>
          <w:rFonts w:ascii="Verdana" w:hAnsi="Verdana"/>
        </w:rPr>
        <w:t>financial support</w:t>
      </w:r>
      <w:r w:rsidR="00BB59D7">
        <w:rPr>
          <w:rFonts w:ascii="Verdana" w:hAnsi="Verdana"/>
        </w:rPr>
        <w:t>.</w:t>
      </w:r>
      <w:r w:rsidR="00872037" w:rsidRPr="00872037">
        <w:rPr>
          <w:rFonts w:ascii="Verdana" w:hAnsi="Verdana"/>
        </w:rPr>
        <w:t xml:space="preserve"> </w:t>
      </w:r>
    </w:p>
    <w:p w14:paraId="4BEA91A0" w14:textId="77777777" w:rsidR="00BB59D7" w:rsidRPr="00BB59D7" w:rsidRDefault="00BB59D7" w:rsidP="00A361AB">
      <w:pPr>
        <w:pStyle w:val="ListParagraph"/>
        <w:spacing w:line="360" w:lineRule="auto"/>
        <w:rPr>
          <w:rFonts w:ascii="Verdana" w:hAnsi="Verdana"/>
        </w:rPr>
      </w:pPr>
    </w:p>
    <w:p w14:paraId="35A667D8" w14:textId="49DC9B9E" w:rsidR="00BB59D7" w:rsidRPr="0035726C" w:rsidRDefault="00BB59D7" w:rsidP="006464FC">
      <w:pPr>
        <w:pStyle w:val="ListParagraph"/>
        <w:numPr>
          <w:ilvl w:val="1"/>
          <w:numId w:val="28"/>
        </w:numPr>
        <w:spacing w:line="360" w:lineRule="auto"/>
        <w:ind w:left="709"/>
        <w:rPr>
          <w:rFonts w:ascii="Verdana" w:hAnsi="Verdana"/>
        </w:rPr>
      </w:pPr>
      <w:r>
        <w:rPr>
          <w:rFonts w:ascii="Verdana" w:hAnsi="Verdana"/>
          <w:b/>
          <w:bCs/>
        </w:rPr>
        <w:t xml:space="preserve">The NIHRC recommends that the Department </w:t>
      </w:r>
      <w:r w:rsidR="00297496">
        <w:rPr>
          <w:rFonts w:ascii="Verdana" w:hAnsi="Verdana"/>
          <w:b/>
          <w:bCs/>
        </w:rPr>
        <w:t xml:space="preserve">for </w:t>
      </w:r>
      <w:r>
        <w:rPr>
          <w:rFonts w:ascii="Verdana" w:hAnsi="Verdana"/>
          <w:b/>
          <w:bCs/>
        </w:rPr>
        <w:t xml:space="preserve">Work and Pensions engages with the Department for Communities and </w:t>
      </w:r>
      <w:r>
        <w:rPr>
          <w:rFonts w:ascii="Verdana" w:hAnsi="Verdana"/>
          <w:b/>
          <w:bCs/>
        </w:rPr>
        <w:lastRenderedPageBreak/>
        <w:t xml:space="preserve">makes </w:t>
      </w:r>
      <w:r w:rsidR="00A408F6">
        <w:rPr>
          <w:rFonts w:ascii="Verdana" w:hAnsi="Verdana"/>
          <w:b/>
          <w:bCs/>
        </w:rPr>
        <w:t xml:space="preserve">publicly </w:t>
      </w:r>
      <w:r>
        <w:rPr>
          <w:rFonts w:ascii="Verdana" w:hAnsi="Verdana"/>
          <w:b/>
          <w:bCs/>
        </w:rPr>
        <w:t xml:space="preserve">available the required data to </w:t>
      </w:r>
      <w:r w:rsidR="00A408F6">
        <w:rPr>
          <w:rFonts w:ascii="Verdana" w:hAnsi="Verdana"/>
          <w:b/>
          <w:bCs/>
        </w:rPr>
        <w:t xml:space="preserve">sufficiently analyse the impact of the proposal to delay access to the health element of universal credit </w:t>
      </w:r>
      <w:r w:rsidR="0035726C">
        <w:rPr>
          <w:rFonts w:ascii="Verdana" w:hAnsi="Verdana"/>
          <w:b/>
          <w:bCs/>
        </w:rPr>
        <w:t xml:space="preserve">until 22 years of age. </w:t>
      </w:r>
    </w:p>
    <w:p w14:paraId="39EB1DD8" w14:textId="77777777" w:rsidR="0035726C" w:rsidRDefault="0035726C" w:rsidP="00A361AB">
      <w:pPr>
        <w:spacing w:line="360" w:lineRule="auto"/>
        <w:rPr>
          <w:rFonts w:ascii="Verdana" w:hAnsi="Verdana"/>
        </w:rPr>
      </w:pPr>
    </w:p>
    <w:p w14:paraId="35BD4ACB" w14:textId="7A3F3940" w:rsidR="0035726C" w:rsidRDefault="0035726C" w:rsidP="006464FC">
      <w:pPr>
        <w:pStyle w:val="ListParagraph"/>
        <w:numPr>
          <w:ilvl w:val="1"/>
          <w:numId w:val="28"/>
        </w:numPr>
        <w:spacing w:line="360" w:lineRule="auto"/>
        <w:ind w:left="709"/>
        <w:rPr>
          <w:rFonts w:ascii="Verdana" w:hAnsi="Verdana"/>
        </w:rPr>
      </w:pPr>
      <w:r>
        <w:rPr>
          <w:rFonts w:ascii="Verdana" w:hAnsi="Verdana"/>
        </w:rPr>
        <w:t xml:space="preserve">The Department for Work and Pensions is also considering raising the age at which </w:t>
      </w:r>
      <w:r w:rsidR="007F032E">
        <w:rPr>
          <w:rFonts w:ascii="Verdana" w:hAnsi="Verdana"/>
        </w:rPr>
        <w:t xml:space="preserve">young people move from Disability Living Allowance for Children to </w:t>
      </w:r>
      <w:r w:rsidR="00874C42">
        <w:rPr>
          <w:rFonts w:ascii="Verdana" w:hAnsi="Verdana"/>
        </w:rPr>
        <w:t>the Personal Independence Payment</w:t>
      </w:r>
      <w:r w:rsidR="005C5725">
        <w:rPr>
          <w:rFonts w:ascii="Verdana" w:hAnsi="Verdana"/>
        </w:rPr>
        <w:t>, from 16 to 18</w:t>
      </w:r>
      <w:r w:rsidR="00874C42">
        <w:rPr>
          <w:rFonts w:ascii="Verdana" w:hAnsi="Verdana"/>
        </w:rPr>
        <w:t>.</w:t>
      </w:r>
      <w:r w:rsidR="00874C42">
        <w:rPr>
          <w:rStyle w:val="FootnoteReference"/>
          <w:rFonts w:ascii="Verdana" w:hAnsi="Verdana"/>
        </w:rPr>
        <w:footnoteReference w:id="139"/>
      </w:r>
      <w:r w:rsidR="00D23E68">
        <w:rPr>
          <w:rFonts w:ascii="Verdana" w:hAnsi="Verdana"/>
        </w:rPr>
        <w:t xml:space="preserve"> The Department </w:t>
      </w:r>
      <w:r w:rsidR="00A80DB7">
        <w:rPr>
          <w:rFonts w:ascii="Verdana" w:hAnsi="Verdana"/>
        </w:rPr>
        <w:t xml:space="preserve">states </w:t>
      </w:r>
      <w:r w:rsidR="003146E1">
        <w:rPr>
          <w:rFonts w:ascii="Verdana" w:hAnsi="Verdana"/>
        </w:rPr>
        <w:t xml:space="preserve">that </w:t>
      </w:r>
      <w:r w:rsidR="00D23E68">
        <w:rPr>
          <w:rFonts w:ascii="Verdana" w:hAnsi="Verdana"/>
        </w:rPr>
        <w:t>this proposal</w:t>
      </w:r>
      <w:r w:rsidR="003146E1">
        <w:rPr>
          <w:rFonts w:ascii="Verdana" w:hAnsi="Verdana"/>
        </w:rPr>
        <w:t xml:space="preserve"> is intended to “</w:t>
      </w:r>
      <w:r w:rsidR="003146E1" w:rsidRPr="003146E1">
        <w:rPr>
          <w:rFonts w:ascii="Verdana" w:hAnsi="Verdana"/>
        </w:rPr>
        <w:t>better align the age at which young people first claim adult disability benefits with other key milestones in the transition to adulthood and support available</w:t>
      </w:r>
      <w:r w:rsidR="003146E1">
        <w:rPr>
          <w:rFonts w:ascii="Verdana" w:hAnsi="Verdana"/>
        </w:rPr>
        <w:t>”.</w:t>
      </w:r>
      <w:r w:rsidR="003146E1">
        <w:rPr>
          <w:rStyle w:val="FootnoteReference"/>
          <w:rFonts w:ascii="Verdana" w:hAnsi="Verdana"/>
        </w:rPr>
        <w:footnoteReference w:id="140"/>
      </w:r>
      <w:r w:rsidR="003146E1">
        <w:rPr>
          <w:rFonts w:ascii="Verdana" w:hAnsi="Verdana"/>
        </w:rPr>
        <w:t xml:space="preserve"> It would also delay the </w:t>
      </w:r>
      <w:r w:rsidR="001752BE">
        <w:rPr>
          <w:rFonts w:ascii="Verdana" w:hAnsi="Verdana"/>
        </w:rPr>
        <w:t xml:space="preserve">pressure on young people to go through adult </w:t>
      </w:r>
      <w:r w:rsidR="008E41C8">
        <w:rPr>
          <w:rFonts w:ascii="Verdana" w:hAnsi="Verdana"/>
        </w:rPr>
        <w:t>P</w:t>
      </w:r>
      <w:r w:rsidR="001752BE">
        <w:rPr>
          <w:rFonts w:ascii="Verdana" w:hAnsi="Verdana"/>
        </w:rPr>
        <w:t xml:space="preserve">ersonal </w:t>
      </w:r>
      <w:r w:rsidR="008E41C8">
        <w:rPr>
          <w:rFonts w:ascii="Verdana" w:hAnsi="Verdana"/>
        </w:rPr>
        <w:t>I</w:t>
      </w:r>
      <w:r w:rsidR="001752BE">
        <w:rPr>
          <w:rFonts w:ascii="Verdana" w:hAnsi="Verdana"/>
        </w:rPr>
        <w:t xml:space="preserve">ndependence </w:t>
      </w:r>
      <w:r w:rsidR="008E41C8">
        <w:rPr>
          <w:rFonts w:ascii="Verdana" w:hAnsi="Verdana"/>
        </w:rPr>
        <w:t>P</w:t>
      </w:r>
      <w:r w:rsidR="001752BE">
        <w:rPr>
          <w:rFonts w:ascii="Verdana" w:hAnsi="Verdana"/>
        </w:rPr>
        <w:t>ayment assessments.</w:t>
      </w:r>
      <w:r w:rsidR="001752BE">
        <w:rPr>
          <w:rStyle w:val="FootnoteReference"/>
          <w:rFonts w:ascii="Verdana" w:hAnsi="Verdana"/>
        </w:rPr>
        <w:footnoteReference w:id="141"/>
      </w:r>
    </w:p>
    <w:p w14:paraId="28CEA2D1" w14:textId="77777777" w:rsidR="004059B4" w:rsidRPr="004059B4" w:rsidRDefault="004059B4" w:rsidP="00A361AB">
      <w:pPr>
        <w:pStyle w:val="ListParagraph"/>
        <w:spacing w:line="360" w:lineRule="auto"/>
        <w:rPr>
          <w:rFonts w:ascii="Verdana" w:hAnsi="Verdana"/>
        </w:rPr>
      </w:pPr>
    </w:p>
    <w:p w14:paraId="07FC8E56" w14:textId="09AD2AD3" w:rsidR="004059B4" w:rsidRDefault="004059B4" w:rsidP="006464FC">
      <w:pPr>
        <w:pStyle w:val="ListParagraph"/>
        <w:numPr>
          <w:ilvl w:val="1"/>
          <w:numId w:val="28"/>
        </w:numPr>
        <w:spacing w:line="360" w:lineRule="auto"/>
        <w:ind w:left="709"/>
        <w:rPr>
          <w:rFonts w:ascii="Verdana" w:hAnsi="Verdana"/>
        </w:rPr>
      </w:pPr>
      <w:r>
        <w:rPr>
          <w:rFonts w:ascii="Verdana" w:hAnsi="Verdana"/>
        </w:rPr>
        <w:t xml:space="preserve">The UN CRC guarantees the right of the child to </w:t>
      </w:r>
      <w:r w:rsidRPr="00DF4D46">
        <w:rPr>
          <w:rFonts w:ascii="Verdana" w:hAnsi="Verdana"/>
        </w:rPr>
        <w:t>express th</w:t>
      </w:r>
      <w:r>
        <w:rPr>
          <w:rFonts w:ascii="Verdana" w:hAnsi="Verdana"/>
        </w:rPr>
        <w:t>eir</w:t>
      </w:r>
      <w:r w:rsidRPr="00DF4D46">
        <w:rPr>
          <w:rFonts w:ascii="Verdana" w:hAnsi="Verdana"/>
        </w:rPr>
        <w:t xml:space="preserve"> views </w:t>
      </w:r>
      <w:r>
        <w:rPr>
          <w:rFonts w:ascii="Verdana" w:hAnsi="Verdana"/>
        </w:rPr>
        <w:t>“</w:t>
      </w:r>
      <w:r w:rsidRPr="00DF4D46">
        <w:rPr>
          <w:rFonts w:ascii="Verdana" w:hAnsi="Verdana"/>
        </w:rPr>
        <w:t>freely in all matters affecting the child, the views of the child being given due weight in accordance with the age and maturity of the child</w:t>
      </w:r>
      <w:r>
        <w:rPr>
          <w:rFonts w:ascii="Verdana" w:hAnsi="Verdana"/>
        </w:rPr>
        <w:t>”</w:t>
      </w:r>
      <w:r w:rsidRPr="00DF4D46">
        <w:rPr>
          <w:rFonts w:ascii="Verdana" w:hAnsi="Verdana"/>
        </w:rPr>
        <w:t>.</w:t>
      </w:r>
      <w:r>
        <w:rPr>
          <w:rFonts w:ascii="Verdana" w:hAnsi="Verdana"/>
        </w:rPr>
        <w:t xml:space="preserve"> The UN CRC Committee notes that “i</w:t>
      </w:r>
      <w:r w:rsidRPr="00046B59">
        <w:rPr>
          <w:rFonts w:ascii="Verdana" w:hAnsi="Verdana"/>
        </w:rPr>
        <w:t>t is essential that children with disabilities be heard in all procedures affecting them and that their views be respected in accordance with their evolving capacities</w:t>
      </w:r>
      <w:r>
        <w:rPr>
          <w:rFonts w:ascii="Verdana" w:hAnsi="Verdana"/>
        </w:rPr>
        <w:t>”.</w:t>
      </w:r>
      <w:r>
        <w:rPr>
          <w:rStyle w:val="FootnoteReference"/>
          <w:rFonts w:ascii="Verdana" w:hAnsi="Verdana"/>
        </w:rPr>
        <w:footnoteReference w:id="142"/>
      </w:r>
      <w:r>
        <w:rPr>
          <w:rFonts w:ascii="Verdana" w:hAnsi="Verdana"/>
        </w:rPr>
        <w:t xml:space="preserve"> The UN CRC Committee also </w:t>
      </w:r>
      <w:r w:rsidR="00C17D7D">
        <w:rPr>
          <w:rFonts w:ascii="Verdana" w:hAnsi="Verdana"/>
        </w:rPr>
        <w:t xml:space="preserve">states </w:t>
      </w:r>
      <w:r>
        <w:rPr>
          <w:rFonts w:ascii="Verdana" w:hAnsi="Verdana"/>
        </w:rPr>
        <w:t>that “c</w:t>
      </w:r>
      <w:r w:rsidRPr="00B839BA">
        <w:rPr>
          <w:rFonts w:ascii="Verdana" w:hAnsi="Verdana"/>
        </w:rPr>
        <w:t>hildren should be provided with whatever mode of communication they need to facilitate expressing their views</w:t>
      </w:r>
      <w:r>
        <w:rPr>
          <w:rFonts w:ascii="Verdana" w:hAnsi="Verdana"/>
        </w:rPr>
        <w:t>”.</w:t>
      </w:r>
      <w:r>
        <w:rPr>
          <w:rStyle w:val="FootnoteReference"/>
          <w:rFonts w:ascii="Verdana" w:hAnsi="Verdana"/>
        </w:rPr>
        <w:footnoteReference w:id="143"/>
      </w:r>
      <w:r>
        <w:rPr>
          <w:rFonts w:ascii="Verdana" w:hAnsi="Verdana"/>
        </w:rPr>
        <w:t xml:space="preserve"> The UN CRC Committee </w:t>
      </w:r>
      <w:r w:rsidR="002970D8">
        <w:rPr>
          <w:rFonts w:ascii="Verdana" w:hAnsi="Verdana"/>
        </w:rPr>
        <w:t>notes</w:t>
      </w:r>
      <w:r>
        <w:rPr>
          <w:rFonts w:ascii="Verdana" w:hAnsi="Verdana"/>
        </w:rPr>
        <w:t xml:space="preserve"> its concern that children’s views “</w:t>
      </w:r>
      <w:r w:rsidRPr="00236DDE">
        <w:rPr>
          <w:rFonts w:ascii="Verdana" w:hAnsi="Verdana"/>
        </w:rPr>
        <w:t>are not systematically taken into account in decisions affecting them and in national and local decision-making</w:t>
      </w:r>
      <w:r>
        <w:rPr>
          <w:rFonts w:ascii="Verdana" w:hAnsi="Verdana"/>
        </w:rPr>
        <w:t>” in the UK and NI.</w:t>
      </w:r>
      <w:r>
        <w:rPr>
          <w:rStyle w:val="FootnoteReference"/>
          <w:rFonts w:ascii="Verdana" w:hAnsi="Verdana"/>
        </w:rPr>
        <w:footnoteReference w:id="144"/>
      </w:r>
      <w:r>
        <w:rPr>
          <w:rFonts w:ascii="Verdana" w:hAnsi="Verdana"/>
        </w:rPr>
        <w:t xml:space="preserve"> The UN CRC Committee recommended that the UK Government “s</w:t>
      </w:r>
      <w:r w:rsidRPr="00845440">
        <w:rPr>
          <w:rFonts w:ascii="Verdana" w:hAnsi="Verdana"/>
        </w:rPr>
        <w:t xml:space="preserve">trengthen measures </w:t>
      </w:r>
      <w:r w:rsidRPr="00845440">
        <w:rPr>
          <w:rFonts w:ascii="Verdana" w:hAnsi="Verdana"/>
        </w:rPr>
        <w:lastRenderedPageBreak/>
        <w:t>to promote the meaningful participation of children in family, community and school settings and in policymaking at the local and national levels</w:t>
      </w:r>
      <w:r>
        <w:rPr>
          <w:rFonts w:ascii="Verdana" w:hAnsi="Verdana"/>
        </w:rPr>
        <w:t>”.</w:t>
      </w:r>
      <w:r>
        <w:rPr>
          <w:rStyle w:val="FootnoteReference"/>
          <w:rFonts w:ascii="Verdana" w:hAnsi="Verdana"/>
        </w:rPr>
        <w:footnoteReference w:id="145"/>
      </w:r>
      <w:r>
        <w:rPr>
          <w:rFonts w:ascii="Verdana" w:hAnsi="Verdana"/>
        </w:rPr>
        <w:t xml:space="preserve"> </w:t>
      </w:r>
    </w:p>
    <w:p w14:paraId="643825B2" w14:textId="77777777" w:rsidR="001B2AD1" w:rsidRPr="001B2AD1" w:rsidRDefault="001B2AD1" w:rsidP="00A361AB">
      <w:pPr>
        <w:pStyle w:val="ListParagraph"/>
        <w:spacing w:line="360" w:lineRule="auto"/>
        <w:rPr>
          <w:rFonts w:ascii="Verdana" w:hAnsi="Verdana"/>
        </w:rPr>
      </w:pPr>
    </w:p>
    <w:p w14:paraId="26ECC46C" w14:textId="0343101D" w:rsidR="001B2AD1" w:rsidRDefault="001B2AD1" w:rsidP="006464FC">
      <w:pPr>
        <w:pStyle w:val="ListParagraph"/>
        <w:numPr>
          <w:ilvl w:val="1"/>
          <w:numId w:val="28"/>
        </w:numPr>
        <w:spacing w:line="360" w:lineRule="auto"/>
        <w:ind w:left="709"/>
        <w:rPr>
          <w:rFonts w:ascii="Verdana" w:hAnsi="Verdana"/>
        </w:rPr>
      </w:pPr>
      <w:r>
        <w:rPr>
          <w:rFonts w:ascii="Verdana" w:hAnsi="Verdana"/>
        </w:rPr>
        <w:t xml:space="preserve">The care component for Disability Living </w:t>
      </w:r>
      <w:r w:rsidR="005D5D98">
        <w:rPr>
          <w:rFonts w:ascii="Verdana" w:hAnsi="Verdana"/>
        </w:rPr>
        <w:t>Allowance</w:t>
      </w:r>
      <w:r>
        <w:rPr>
          <w:rFonts w:ascii="Verdana" w:hAnsi="Verdana"/>
        </w:rPr>
        <w:t xml:space="preserve"> for children </w:t>
      </w:r>
      <w:r w:rsidR="00E356B7">
        <w:rPr>
          <w:rFonts w:ascii="Verdana" w:hAnsi="Verdana"/>
        </w:rPr>
        <w:t xml:space="preserve">per week </w:t>
      </w:r>
      <w:r>
        <w:rPr>
          <w:rFonts w:ascii="Verdana" w:hAnsi="Verdana"/>
        </w:rPr>
        <w:t xml:space="preserve">currently ranges </w:t>
      </w:r>
      <w:r w:rsidR="00FB3D82">
        <w:rPr>
          <w:rFonts w:ascii="Verdana" w:hAnsi="Verdana"/>
        </w:rPr>
        <w:t>from the lowest payment of £29.20, the middle payment of £73.90</w:t>
      </w:r>
      <w:r w:rsidR="00C87C60">
        <w:rPr>
          <w:rFonts w:ascii="Verdana" w:hAnsi="Verdana"/>
        </w:rPr>
        <w:t>,</w:t>
      </w:r>
      <w:r w:rsidR="00FB3D82">
        <w:rPr>
          <w:rFonts w:ascii="Verdana" w:hAnsi="Verdana"/>
        </w:rPr>
        <w:t xml:space="preserve"> and the highest </w:t>
      </w:r>
      <w:r w:rsidR="005D5D98">
        <w:rPr>
          <w:rFonts w:ascii="Verdana" w:hAnsi="Verdana"/>
        </w:rPr>
        <w:t>payment of £110.40.</w:t>
      </w:r>
      <w:r w:rsidR="005D5D98">
        <w:rPr>
          <w:rStyle w:val="FootnoteReference"/>
          <w:rFonts w:ascii="Verdana" w:hAnsi="Verdana"/>
        </w:rPr>
        <w:footnoteReference w:id="146"/>
      </w:r>
      <w:r w:rsidR="00D906F1">
        <w:rPr>
          <w:rFonts w:ascii="Verdana" w:hAnsi="Verdana"/>
        </w:rPr>
        <w:t xml:space="preserve"> </w:t>
      </w:r>
      <w:r w:rsidR="00E356B7">
        <w:rPr>
          <w:rFonts w:ascii="Verdana" w:hAnsi="Verdana"/>
        </w:rPr>
        <w:t>T</w:t>
      </w:r>
      <w:r w:rsidR="00D906F1">
        <w:rPr>
          <w:rFonts w:ascii="Verdana" w:hAnsi="Verdana"/>
        </w:rPr>
        <w:t>he 2025/26 rate</w:t>
      </w:r>
      <w:r w:rsidR="00357BDC">
        <w:rPr>
          <w:rFonts w:ascii="Verdana" w:hAnsi="Verdana"/>
        </w:rPr>
        <w:t xml:space="preserve"> of the Personal Independence Payment’</w:t>
      </w:r>
      <w:r w:rsidR="004A4E63">
        <w:rPr>
          <w:rFonts w:ascii="Verdana" w:hAnsi="Verdana"/>
        </w:rPr>
        <w:t>s</w:t>
      </w:r>
      <w:r w:rsidR="00357BDC">
        <w:rPr>
          <w:rFonts w:ascii="Verdana" w:hAnsi="Verdana"/>
        </w:rPr>
        <w:t xml:space="preserve"> daily living component ranges from £73.90 to £</w:t>
      </w:r>
      <w:r w:rsidR="004A4E63">
        <w:rPr>
          <w:rFonts w:ascii="Verdana" w:hAnsi="Verdana"/>
        </w:rPr>
        <w:t>110.40</w:t>
      </w:r>
      <w:r w:rsidR="00E356B7">
        <w:rPr>
          <w:rFonts w:ascii="Verdana" w:hAnsi="Verdana"/>
        </w:rPr>
        <w:t xml:space="preserve"> per week</w:t>
      </w:r>
      <w:r w:rsidR="004A4E63">
        <w:rPr>
          <w:rFonts w:ascii="Verdana" w:hAnsi="Verdana"/>
        </w:rPr>
        <w:t>.</w:t>
      </w:r>
      <w:r w:rsidR="004A4E63">
        <w:rPr>
          <w:rStyle w:val="FootnoteReference"/>
          <w:rFonts w:ascii="Verdana" w:hAnsi="Verdana"/>
        </w:rPr>
        <w:footnoteReference w:id="147"/>
      </w:r>
      <w:r w:rsidR="00E356B7">
        <w:rPr>
          <w:rFonts w:ascii="Verdana" w:hAnsi="Verdana"/>
        </w:rPr>
        <w:t xml:space="preserve"> Delaying </w:t>
      </w:r>
      <w:r w:rsidR="00695FEA">
        <w:rPr>
          <w:rFonts w:ascii="Verdana" w:hAnsi="Verdana"/>
        </w:rPr>
        <w:t xml:space="preserve">access to the </w:t>
      </w:r>
      <w:r w:rsidR="00C87C60">
        <w:rPr>
          <w:rFonts w:ascii="Verdana" w:hAnsi="Verdana"/>
        </w:rPr>
        <w:t>P</w:t>
      </w:r>
      <w:r w:rsidR="00695FEA">
        <w:rPr>
          <w:rFonts w:ascii="Verdana" w:hAnsi="Verdana"/>
        </w:rPr>
        <w:t xml:space="preserve">ersonal </w:t>
      </w:r>
      <w:r w:rsidR="00C87C60">
        <w:rPr>
          <w:rFonts w:ascii="Verdana" w:hAnsi="Verdana"/>
        </w:rPr>
        <w:t>I</w:t>
      </w:r>
      <w:r w:rsidR="00695FEA">
        <w:rPr>
          <w:rFonts w:ascii="Verdana" w:hAnsi="Verdana"/>
        </w:rPr>
        <w:t xml:space="preserve">ndependence </w:t>
      </w:r>
      <w:r w:rsidR="00C87C60">
        <w:rPr>
          <w:rFonts w:ascii="Verdana" w:hAnsi="Verdana"/>
        </w:rPr>
        <w:t>P</w:t>
      </w:r>
      <w:r w:rsidR="00695FEA">
        <w:rPr>
          <w:rFonts w:ascii="Verdana" w:hAnsi="Verdana"/>
        </w:rPr>
        <w:t xml:space="preserve">ayment for 16 and 17 year olds who may be </w:t>
      </w:r>
      <w:r w:rsidR="008261F4">
        <w:rPr>
          <w:rFonts w:ascii="Verdana" w:hAnsi="Verdana"/>
        </w:rPr>
        <w:t>in receipt of</w:t>
      </w:r>
      <w:r w:rsidR="00695FEA">
        <w:rPr>
          <w:rFonts w:ascii="Verdana" w:hAnsi="Verdana"/>
        </w:rPr>
        <w:t xml:space="preserve"> the lowest </w:t>
      </w:r>
      <w:r w:rsidR="008261F4">
        <w:rPr>
          <w:rFonts w:ascii="Verdana" w:hAnsi="Verdana"/>
        </w:rPr>
        <w:t xml:space="preserve">payment of Disability Living Allowance could potentially delay their access to </w:t>
      </w:r>
      <w:r w:rsidR="001B192E">
        <w:rPr>
          <w:rFonts w:ascii="Verdana" w:hAnsi="Verdana"/>
        </w:rPr>
        <w:t>a higher rate of payment to assist them and their families with the additional costs associated with their disability, particularly as they get older and their needs change.</w:t>
      </w:r>
    </w:p>
    <w:p w14:paraId="4353497A" w14:textId="77777777" w:rsidR="004059B4" w:rsidRPr="004059B4" w:rsidRDefault="004059B4" w:rsidP="00A361AB">
      <w:pPr>
        <w:pStyle w:val="ListParagraph"/>
        <w:spacing w:line="360" w:lineRule="auto"/>
        <w:rPr>
          <w:rFonts w:ascii="Verdana" w:hAnsi="Verdana"/>
        </w:rPr>
      </w:pPr>
    </w:p>
    <w:p w14:paraId="5A9FE64F" w14:textId="2FCB741F" w:rsidR="004059B4" w:rsidRDefault="00162574" w:rsidP="006464FC">
      <w:pPr>
        <w:pStyle w:val="ListParagraph"/>
        <w:numPr>
          <w:ilvl w:val="1"/>
          <w:numId w:val="28"/>
        </w:numPr>
        <w:spacing w:line="360" w:lineRule="auto"/>
        <w:ind w:left="709"/>
        <w:rPr>
          <w:rFonts w:ascii="Verdana" w:hAnsi="Verdana"/>
        </w:rPr>
      </w:pPr>
      <w:r>
        <w:rPr>
          <w:rFonts w:ascii="Verdana" w:hAnsi="Verdana"/>
        </w:rPr>
        <w:t>In NI, 8,000 children living in poverty live in a household with at least one disabled child.</w:t>
      </w:r>
      <w:r>
        <w:rPr>
          <w:rStyle w:val="FootnoteReference"/>
          <w:rFonts w:ascii="Verdana" w:hAnsi="Verdana"/>
        </w:rPr>
        <w:footnoteReference w:id="148"/>
      </w:r>
      <w:r w:rsidR="00421034">
        <w:rPr>
          <w:rFonts w:ascii="Verdana" w:hAnsi="Verdana"/>
        </w:rPr>
        <w:t xml:space="preserve"> Also in NI</w:t>
      </w:r>
      <w:r w:rsidR="00266609">
        <w:rPr>
          <w:rFonts w:ascii="Verdana" w:hAnsi="Verdana"/>
        </w:rPr>
        <w:t xml:space="preserve">, </w:t>
      </w:r>
      <w:r w:rsidR="00984D30">
        <w:rPr>
          <w:rFonts w:ascii="Verdana" w:hAnsi="Verdana"/>
        </w:rPr>
        <w:t xml:space="preserve">the </w:t>
      </w:r>
      <w:r w:rsidR="00266609">
        <w:rPr>
          <w:rFonts w:ascii="Verdana" w:hAnsi="Verdana"/>
        </w:rPr>
        <w:t xml:space="preserve">rate of poverty for carers is </w:t>
      </w:r>
      <w:r w:rsidR="00F9314A">
        <w:rPr>
          <w:rFonts w:ascii="Verdana" w:hAnsi="Verdana"/>
        </w:rPr>
        <w:t>28.3 per cent</w:t>
      </w:r>
      <w:r w:rsidR="00E52A8B">
        <w:rPr>
          <w:rFonts w:ascii="Verdana" w:hAnsi="Verdana"/>
        </w:rPr>
        <w:t>, this is higher than the UK average of 23.6 per cent.</w:t>
      </w:r>
      <w:r w:rsidR="001F101B">
        <w:rPr>
          <w:rStyle w:val="FootnoteReference"/>
          <w:rFonts w:ascii="Verdana" w:hAnsi="Verdana"/>
        </w:rPr>
        <w:footnoteReference w:id="149"/>
      </w:r>
      <w:r w:rsidR="00340E1A">
        <w:rPr>
          <w:rFonts w:ascii="Verdana" w:hAnsi="Verdana"/>
        </w:rPr>
        <w:t xml:space="preserve"> The UN CRPD Committee has highlighted the lack of </w:t>
      </w:r>
      <w:r w:rsidR="45B46122">
        <w:rPr>
          <w:rFonts w:ascii="Verdana" w:hAnsi="Verdana"/>
        </w:rPr>
        <w:t xml:space="preserve">a </w:t>
      </w:r>
      <w:r w:rsidR="00981D48">
        <w:rPr>
          <w:rFonts w:ascii="Verdana" w:hAnsi="Verdana"/>
        </w:rPr>
        <w:t xml:space="preserve">policy </w:t>
      </w:r>
      <w:r w:rsidR="00340E1A">
        <w:rPr>
          <w:rFonts w:ascii="Verdana" w:hAnsi="Verdana"/>
        </w:rPr>
        <w:t xml:space="preserve">framework to </w:t>
      </w:r>
      <w:r w:rsidR="00981D48">
        <w:rPr>
          <w:rFonts w:ascii="Verdana" w:hAnsi="Verdana"/>
        </w:rPr>
        <w:t>address poverty faced by families with children with disabilities</w:t>
      </w:r>
      <w:r w:rsidR="00AD2FA1">
        <w:rPr>
          <w:rFonts w:ascii="Verdana" w:hAnsi="Verdana"/>
        </w:rPr>
        <w:t xml:space="preserve"> in the UK and NI, recommending that the </w:t>
      </w:r>
      <w:r w:rsidR="001B7F0D">
        <w:rPr>
          <w:rFonts w:ascii="Verdana" w:hAnsi="Verdana"/>
        </w:rPr>
        <w:t>S</w:t>
      </w:r>
      <w:r w:rsidR="00AD2FA1">
        <w:rPr>
          <w:rFonts w:ascii="Verdana" w:hAnsi="Verdana"/>
        </w:rPr>
        <w:t>tate “</w:t>
      </w:r>
      <w:r w:rsidR="006C36D2" w:rsidRPr="006C36D2">
        <w:rPr>
          <w:rFonts w:ascii="Verdana" w:hAnsi="Verdana"/>
        </w:rPr>
        <w:t>in close consultation with organizations representing children with disabilities, develop and implement policies aimed at</w:t>
      </w:r>
      <w:r w:rsidR="006C36D2" w:rsidRPr="006C36D2">
        <w:t xml:space="preserve"> </w:t>
      </w:r>
      <w:r w:rsidR="006C36D2">
        <w:rPr>
          <w:rFonts w:ascii="Verdana" w:hAnsi="Verdana"/>
        </w:rPr>
        <w:t>e</w:t>
      </w:r>
      <w:r w:rsidR="006C36D2" w:rsidRPr="006C36D2">
        <w:rPr>
          <w:rFonts w:ascii="Verdana" w:hAnsi="Verdana"/>
        </w:rPr>
        <w:t>liminating the higher level of poverty among families with children with disabilities</w:t>
      </w:r>
      <w:r w:rsidR="006C36D2">
        <w:rPr>
          <w:rFonts w:ascii="Verdana" w:hAnsi="Verdana"/>
        </w:rPr>
        <w:t>”.</w:t>
      </w:r>
      <w:r w:rsidR="006C36D2">
        <w:rPr>
          <w:rStyle w:val="FootnoteReference"/>
          <w:rFonts w:ascii="Verdana" w:hAnsi="Verdana"/>
        </w:rPr>
        <w:footnoteReference w:id="150"/>
      </w:r>
      <w:r w:rsidR="00367837">
        <w:rPr>
          <w:rFonts w:ascii="Verdana" w:hAnsi="Verdana"/>
        </w:rPr>
        <w:t xml:space="preserve"> The NIHRC is concerned that introducing measures to delay access to </w:t>
      </w:r>
      <w:r w:rsidR="00253C01">
        <w:rPr>
          <w:rFonts w:ascii="Verdana" w:hAnsi="Verdana"/>
        </w:rPr>
        <w:t>Personal I</w:t>
      </w:r>
      <w:r w:rsidR="00367837">
        <w:rPr>
          <w:rFonts w:ascii="Verdana" w:hAnsi="Verdana"/>
        </w:rPr>
        <w:t xml:space="preserve">ndependence </w:t>
      </w:r>
      <w:r w:rsidR="00253C01">
        <w:rPr>
          <w:rFonts w:ascii="Verdana" w:hAnsi="Verdana"/>
        </w:rPr>
        <w:t>P</w:t>
      </w:r>
      <w:r w:rsidR="00367837">
        <w:rPr>
          <w:rFonts w:ascii="Verdana" w:hAnsi="Verdana"/>
        </w:rPr>
        <w:t>ayments for 16 and 17 year olds coul</w:t>
      </w:r>
      <w:r w:rsidR="00BC45DC">
        <w:rPr>
          <w:rFonts w:ascii="Verdana" w:hAnsi="Verdana"/>
        </w:rPr>
        <w:t>d negative</w:t>
      </w:r>
      <w:r w:rsidR="00253C01">
        <w:rPr>
          <w:rFonts w:ascii="Verdana" w:hAnsi="Verdana"/>
        </w:rPr>
        <w:t>ly</w:t>
      </w:r>
      <w:r w:rsidR="00BC45DC">
        <w:rPr>
          <w:rFonts w:ascii="Verdana" w:hAnsi="Verdana"/>
        </w:rPr>
        <w:t xml:space="preserve"> impact levels of poverty experienced by children with disabilities and their families in NI.</w:t>
      </w:r>
    </w:p>
    <w:p w14:paraId="3BF1FEB9" w14:textId="77777777" w:rsidR="00777CFF" w:rsidRPr="00777CFF" w:rsidRDefault="00777CFF" w:rsidP="00A361AB">
      <w:pPr>
        <w:pStyle w:val="ListParagraph"/>
        <w:spacing w:line="360" w:lineRule="auto"/>
        <w:rPr>
          <w:rFonts w:ascii="Verdana" w:hAnsi="Verdana"/>
        </w:rPr>
      </w:pPr>
    </w:p>
    <w:p w14:paraId="47AD110A" w14:textId="00A58C0D" w:rsidR="00845440" w:rsidRPr="00135BFE" w:rsidRDefault="00845440" w:rsidP="006464FC">
      <w:pPr>
        <w:pStyle w:val="ListParagraph"/>
        <w:numPr>
          <w:ilvl w:val="1"/>
          <w:numId w:val="28"/>
        </w:numPr>
        <w:spacing w:line="360" w:lineRule="auto"/>
        <w:ind w:left="709"/>
        <w:rPr>
          <w:rFonts w:ascii="Verdana" w:hAnsi="Verdana"/>
        </w:rPr>
      </w:pPr>
      <w:r>
        <w:rPr>
          <w:rFonts w:ascii="Verdana" w:hAnsi="Verdana"/>
          <w:b/>
          <w:bCs/>
        </w:rPr>
        <w:lastRenderedPageBreak/>
        <w:t xml:space="preserve">The NIHRC recommends that the Department for Work and Pensions </w:t>
      </w:r>
      <w:r w:rsidR="003117A7">
        <w:rPr>
          <w:rFonts w:ascii="Verdana" w:hAnsi="Verdana"/>
          <w:b/>
          <w:bCs/>
        </w:rPr>
        <w:t>ensure</w:t>
      </w:r>
      <w:r w:rsidR="00DC7D52">
        <w:rPr>
          <w:rFonts w:ascii="Verdana" w:hAnsi="Verdana"/>
          <w:b/>
          <w:bCs/>
        </w:rPr>
        <w:t>s</w:t>
      </w:r>
      <w:r w:rsidR="003117A7">
        <w:rPr>
          <w:rFonts w:ascii="Verdana" w:hAnsi="Verdana"/>
          <w:b/>
          <w:bCs/>
        </w:rPr>
        <w:t xml:space="preserve"> that </w:t>
      </w:r>
      <w:r w:rsidR="00445E5D">
        <w:rPr>
          <w:rFonts w:ascii="Verdana" w:hAnsi="Verdana"/>
          <w:b/>
          <w:bCs/>
        </w:rPr>
        <w:t>c</w:t>
      </w:r>
      <w:r w:rsidR="003117A7">
        <w:rPr>
          <w:rFonts w:ascii="Verdana" w:hAnsi="Verdana"/>
          <w:b/>
          <w:bCs/>
        </w:rPr>
        <w:t xml:space="preserve">hanges to social security entitlements do not leave children with disabilities and their families and carers </w:t>
      </w:r>
      <w:r w:rsidR="00445E5D">
        <w:rPr>
          <w:rFonts w:ascii="Verdana" w:hAnsi="Verdana"/>
          <w:b/>
          <w:bCs/>
        </w:rPr>
        <w:t xml:space="preserve">at a financial </w:t>
      </w:r>
      <w:proofErr w:type="gramStart"/>
      <w:r w:rsidR="00445E5D">
        <w:rPr>
          <w:rFonts w:ascii="Verdana" w:hAnsi="Verdana"/>
          <w:b/>
          <w:bCs/>
        </w:rPr>
        <w:t>disadvantage, and</w:t>
      </w:r>
      <w:proofErr w:type="gramEnd"/>
      <w:r w:rsidR="00445E5D">
        <w:rPr>
          <w:rFonts w:ascii="Verdana" w:hAnsi="Verdana"/>
          <w:b/>
          <w:bCs/>
        </w:rPr>
        <w:t xml:space="preserve"> ensure that children with disabilities are in receipt of </w:t>
      </w:r>
      <w:r w:rsidR="00E87687">
        <w:rPr>
          <w:rFonts w:ascii="Verdana" w:hAnsi="Verdana"/>
          <w:b/>
          <w:bCs/>
        </w:rPr>
        <w:t>social security payments that are sufficient to meet their additional required needs.</w:t>
      </w:r>
      <w:r w:rsidR="00445E5D">
        <w:rPr>
          <w:rFonts w:ascii="Verdana" w:hAnsi="Verdana"/>
          <w:b/>
          <w:bCs/>
        </w:rPr>
        <w:t xml:space="preserve"> </w:t>
      </w:r>
    </w:p>
    <w:p w14:paraId="5DBF5C78" w14:textId="77777777" w:rsidR="00135BFE" w:rsidRPr="00135BFE" w:rsidRDefault="00135BFE" w:rsidP="00A361AB">
      <w:pPr>
        <w:pStyle w:val="ListParagraph"/>
        <w:spacing w:line="360" w:lineRule="auto"/>
        <w:ind w:left="709"/>
        <w:rPr>
          <w:rFonts w:ascii="Verdana" w:hAnsi="Verdana"/>
        </w:rPr>
      </w:pPr>
    </w:p>
    <w:p w14:paraId="3EA0926A" w14:textId="455CB08F" w:rsidR="00135BFE" w:rsidRPr="006D6542" w:rsidRDefault="00135BFE" w:rsidP="006464FC">
      <w:pPr>
        <w:pStyle w:val="ListParagraph"/>
        <w:numPr>
          <w:ilvl w:val="1"/>
          <w:numId w:val="28"/>
        </w:numPr>
        <w:spacing w:line="360" w:lineRule="auto"/>
        <w:ind w:left="709"/>
        <w:rPr>
          <w:rFonts w:ascii="Verdana" w:hAnsi="Verdana"/>
        </w:rPr>
      </w:pPr>
      <w:r>
        <w:rPr>
          <w:rFonts w:ascii="Verdana" w:hAnsi="Verdana"/>
          <w:b/>
          <w:bCs/>
        </w:rPr>
        <w:t xml:space="preserve">The NIHRC recommends </w:t>
      </w:r>
      <w:r w:rsidR="00CE56FE">
        <w:rPr>
          <w:rFonts w:ascii="Verdana" w:hAnsi="Verdana"/>
          <w:b/>
          <w:bCs/>
        </w:rPr>
        <w:t xml:space="preserve">that </w:t>
      </w:r>
      <w:r>
        <w:rPr>
          <w:rFonts w:ascii="Verdana" w:hAnsi="Verdana"/>
          <w:b/>
          <w:bCs/>
        </w:rPr>
        <w:t xml:space="preserve">the Department </w:t>
      </w:r>
      <w:r w:rsidR="00CE56FE">
        <w:rPr>
          <w:rFonts w:ascii="Verdana" w:hAnsi="Verdana"/>
          <w:b/>
          <w:bCs/>
        </w:rPr>
        <w:t xml:space="preserve">for </w:t>
      </w:r>
      <w:r>
        <w:rPr>
          <w:rFonts w:ascii="Verdana" w:hAnsi="Verdana"/>
          <w:b/>
          <w:bCs/>
        </w:rPr>
        <w:t xml:space="preserve">Work and Pensions </w:t>
      </w:r>
      <w:r w:rsidR="000647EC">
        <w:rPr>
          <w:rFonts w:ascii="Verdana" w:hAnsi="Verdana"/>
          <w:b/>
          <w:bCs/>
        </w:rPr>
        <w:t>consult</w:t>
      </w:r>
      <w:r w:rsidR="00CE56FE">
        <w:rPr>
          <w:rFonts w:ascii="Verdana" w:hAnsi="Verdana"/>
          <w:b/>
          <w:bCs/>
        </w:rPr>
        <w:t>s</w:t>
      </w:r>
      <w:r w:rsidR="000647EC">
        <w:rPr>
          <w:rFonts w:ascii="Verdana" w:hAnsi="Verdana"/>
          <w:b/>
          <w:bCs/>
        </w:rPr>
        <w:t xml:space="preserve"> effectively and robustly with children and young people with disabilities on </w:t>
      </w:r>
      <w:r>
        <w:rPr>
          <w:rFonts w:ascii="Verdana" w:hAnsi="Verdana"/>
          <w:b/>
          <w:bCs/>
        </w:rPr>
        <w:t>any changes to entitlements to social security benefits</w:t>
      </w:r>
      <w:r w:rsidR="0085220E">
        <w:rPr>
          <w:rFonts w:ascii="Verdana" w:hAnsi="Verdana"/>
          <w:b/>
          <w:bCs/>
        </w:rPr>
        <w:t xml:space="preserve"> which may affect them</w:t>
      </w:r>
      <w:r w:rsidR="002F2D35">
        <w:rPr>
          <w:rFonts w:ascii="Verdana" w:hAnsi="Verdana"/>
          <w:b/>
          <w:bCs/>
        </w:rPr>
        <w:t xml:space="preserve">, </w:t>
      </w:r>
      <w:r w:rsidR="00FB6EE8">
        <w:rPr>
          <w:rFonts w:ascii="Verdana" w:hAnsi="Verdana"/>
          <w:b/>
          <w:bCs/>
        </w:rPr>
        <w:t xml:space="preserve">ensuring that children and young people with disabilities have access to whatever </w:t>
      </w:r>
      <w:r w:rsidR="00FB6EE8" w:rsidRPr="00FB6EE8">
        <w:rPr>
          <w:rFonts w:ascii="Verdana" w:hAnsi="Verdana"/>
          <w:b/>
          <w:bCs/>
        </w:rPr>
        <w:t>mode of communication they need to facilitate expressing their views</w:t>
      </w:r>
      <w:r w:rsidR="00FB6EE8">
        <w:rPr>
          <w:rFonts w:ascii="Verdana" w:hAnsi="Verdana"/>
          <w:b/>
          <w:bCs/>
        </w:rPr>
        <w:t>.</w:t>
      </w:r>
    </w:p>
    <w:p w14:paraId="1AEAEBDF" w14:textId="77777777" w:rsidR="006D6542" w:rsidRDefault="006D6542" w:rsidP="00A361AB">
      <w:pPr>
        <w:spacing w:line="360" w:lineRule="auto"/>
        <w:rPr>
          <w:rFonts w:ascii="Verdana" w:hAnsi="Verdana"/>
        </w:rPr>
      </w:pPr>
    </w:p>
    <w:p w14:paraId="69AB4D93" w14:textId="390777AD" w:rsidR="006D6542" w:rsidRPr="006D6542" w:rsidRDefault="00E60EF2" w:rsidP="00A361AB">
      <w:pPr>
        <w:pStyle w:val="Heading2"/>
        <w:spacing w:line="360" w:lineRule="auto"/>
      </w:pPr>
      <w:bookmarkStart w:id="19" w:name="_Toc201648669"/>
      <w:r>
        <w:t>Support into Work</w:t>
      </w:r>
      <w:bookmarkEnd w:id="19"/>
    </w:p>
    <w:p w14:paraId="0EB6EE91" w14:textId="228F87D6" w:rsidR="006D6542" w:rsidRDefault="00696E7C" w:rsidP="006464FC">
      <w:pPr>
        <w:pStyle w:val="ListParagraph"/>
        <w:numPr>
          <w:ilvl w:val="1"/>
          <w:numId w:val="28"/>
        </w:numPr>
        <w:spacing w:line="360" w:lineRule="auto"/>
        <w:ind w:left="709"/>
        <w:rPr>
          <w:rFonts w:ascii="Verdana" w:hAnsi="Verdana"/>
        </w:rPr>
      </w:pPr>
      <w:r>
        <w:rPr>
          <w:rFonts w:ascii="Verdana" w:hAnsi="Verdana"/>
        </w:rPr>
        <w:t xml:space="preserve">Chapter three of the Pathways to Work </w:t>
      </w:r>
      <w:r w:rsidR="001F0AD5">
        <w:rPr>
          <w:rFonts w:ascii="Verdana" w:hAnsi="Verdana"/>
        </w:rPr>
        <w:t>G</w:t>
      </w:r>
      <w:r>
        <w:rPr>
          <w:rFonts w:ascii="Verdana" w:hAnsi="Verdana"/>
        </w:rPr>
        <w:t xml:space="preserve">reen </w:t>
      </w:r>
      <w:r w:rsidR="001F0AD5">
        <w:rPr>
          <w:rFonts w:ascii="Verdana" w:hAnsi="Verdana"/>
        </w:rPr>
        <w:t>P</w:t>
      </w:r>
      <w:r>
        <w:rPr>
          <w:rFonts w:ascii="Verdana" w:hAnsi="Verdana"/>
        </w:rPr>
        <w:t xml:space="preserve">aper </w:t>
      </w:r>
      <w:r w:rsidR="00EB0A39">
        <w:rPr>
          <w:rFonts w:ascii="Verdana" w:hAnsi="Verdana"/>
        </w:rPr>
        <w:t>addresses</w:t>
      </w:r>
      <w:r w:rsidR="00261279">
        <w:rPr>
          <w:rFonts w:ascii="Verdana" w:hAnsi="Verdana"/>
        </w:rPr>
        <w:t xml:space="preserve"> proposals to support people into work. These measures include </w:t>
      </w:r>
      <w:r w:rsidR="003D1BE9">
        <w:rPr>
          <w:rFonts w:ascii="Verdana" w:hAnsi="Verdana"/>
        </w:rPr>
        <w:t xml:space="preserve">additional spending of £1 billion a year by 2029/30 to </w:t>
      </w:r>
      <w:r w:rsidR="0092713E">
        <w:rPr>
          <w:rFonts w:ascii="Verdana" w:hAnsi="Verdana"/>
        </w:rPr>
        <w:t>shape support</w:t>
      </w:r>
      <w:r w:rsidR="00E60EF2">
        <w:rPr>
          <w:rFonts w:ascii="Verdana" w:hAnsi="Verdana"/>
        </w:rPr>
        <w:t xml:space="preserve"> and </w:t>
      </w:r>
      <w:r w:rsidR="0092713E">
        <w:rPr>
          <w:rFonts w:ascii="Verdana" w:hAnsi="Verdana"/>
        </w:rPr>
        <w:t xml:space="preserve">introducing a baseline level of engagement for individuals in receipt of the </w:t>
      </w:r>
      <w:r w:rsidR="00E60EF2">
        <w:rPr>
          <w:rFonts w:ascii="Verdana" w:hAnsi="Verdana"/>
        </w:rPr>
        <w:t>health element of universal credit.</w:t>
      </w:r>
      <w:r w:rsidR="00E60EF2">
        <w:rPr>
          <w:rStyle w:val="FootnoteReference"/>
          <w:rFonts w:ascii="Verdana" w:hAnsi="Verdana"/>
        </w:rPr>
        <w:footnoteReference w:id="151"/>
      </w:r>
    </w:p>
    <w:p w14:paraId="4CA574D4" w14:textId="77777777" w:rsidR="001619DC" w:rsidRDefault="001619DC" w:rsidP="00A361AB">
      <w:pPr>
        <w:pStyle w:val="ListParagraph"/>
        <w:spacing w:line="360" w:lineRule="auto"/>
        <w:ind w:left="709"/>
        <w:rPr>
          <w:rFonts w:ascii="Verdana" w:hAnsi="Verdana"/>
        </w:rPr>
      </w:pPr>
    </w:p>
    <w:p w14:paraId="47F84EDD" w14:textId="2A8258DD" w:rsidR="00287305" w:rsidRPr="00287305" w:rsidRDefault="00D221A2" w:rsidP="006464FC">
      <w:pPr>
        <w:pStyle w:val="ListParagraph"/>
        <w:numPr>
          <w:ilvl w:val="1"/>
          <w:numId w:val="28"/>
        </w:numPr>
        <w:spacing w:line="360" w:lineRule="auto"/>
        <w:ind w:left="709"/>
        <w:rPr>
          <w:rFonts w:ascii="Verdana" w:hAnsi="Verdana"/>
          <w:b/>
          <w:bCs/>
        </w:rPr>
      </w:pPr>
      <w:r>
        <w:rPr>
          <w:rFonts w:ascii="Verdana" w:hAnsi="Verdana"/>
        </w:rPr>
        <w:t xml:space="preserve">The Department for Work and Pensions </w:t>
      </w:r>
      <w:r w:rsidR="00EB0A39">
        <w:rPr>
          <w:rFonts w:ascii="Verdana" w:hAnsi="Verdana"/>
        </w:rPr>
        <w:t xml:space="preserve">notes </w:t>
      </w:r>
      <w:r>
        <w:rPr>
          <w:rFonts w:ascii="Verdana" w:hAnsi="Verdana"/>
        </w:rPr>
        <w:t xml:space="preserve">its commitment to supporting employers to promote healthy workplaces and </w:t>
      </w:r>
      <w:r w:rsidRPr="007A648E">
        <w:rPr>
          <w:rFonts w:ascii="Verdana" w:hAnsi="Verdana"/>
        </w:rPr>
        <w:t>recruiting and retaining workers with a health condition or disability</w:t>
      </w:r>
      <w:r>
        <w:rPr>
          <w:rFonts w:ascii="Verdana" w:hAnsi="Verdana"/>
        </w:rPr>
        <w:t>.</w:t>
      </w:r>
      <w:r>
        <w:rPr>
          <w:rStyle w:val="FootnoteReference"/>
          <w:rFonts w:ascii="Verdana" w:hAnsi="Verdana"/>
        </w:rPr>
        <w:footnoteReference w:id="152"/>
      </w:r>
      <w:r>
        <w:rPr>
          <w:rFonts w:ascii="Verdana" w:hAnsi="Verdana"/>
        </w:rPr>
        <w:t xml:space="preserve"> </w:t>
      </w:r>
      <w:r w:rsidR="00170E12">
        <w:rPr>
          <w:rFonts w:ascii="Verdana" w:hAnsi="Verdana"/>
        </w:rPr>
        <w:t xml:space="preserve">This is a welcome </w:t>
      </w:r>
      <w:r w:rsidR="00781143">
        <w:rPr>
          <w:rFonts w:ascii="Verdana" w:hAnsi="Verdana"/>
        </w:rPr>
        <w:t>commitment,</w:t>
      </w:r>
      <w:r w:rsidR="00BB07D4">
        <w:rPr>
          <w:rFonts w:ascii="Verdana" w:hAnsi="Verdana"/>
        </w:rPr>
        <w:t xml:space="preserve"> but the Department does not set out how it intends to </w:t>
      </w:r>
      <w:r w:rsidR="00892CCA">
        <w:rPr>
          <w:rFonts w:ascii="Verdana" w:hAnsi="Verdana"/>
        </w:rPr>
        <w:t xml:space="preserve">address the full range of systemic barriers </w:t>
      </w:r>
      <w:r w:rsidR="001765A3">
        <w:rPr>
          <w:rFonts w:ascii="Verdana" w:hAnsi="Verdana"/>
        </w:rPr>
        <w:t xml:space="preserve">to work confronting persons with disabilities. </w:t>
      </w:r>
    </w:p>
    <w:p w14:paraId="1BF64489" w14:textId="77777777" w:rsidR="00287305" w:rsidRPr="00287305" w:rsidRDefault="00287305" w:rsidP="00A361AB">
      <w:pPr>
        <w:pStyle w:val="ListParagraph"/>
        <w:spacing w:line="360" w:lineRule="auto"/>
        <w:rPr>
          <w:rFonts w:ascii="Verdana" w:hAnsi="Verdana"/>
        </w:rPr>
      </w:pPr>
    </w:p>
    <w:p w14:paraId="7E212E2E" w14:textId="77777777" w:rsidR="00D221A2" w:rsidRPr="006122E1" w:rsidRDefault="00D221A2" w:rsidP="006464FC">
      <w:pPr>
        <w:pStyle w:val="ListParagraph"/>
        <w:numPr>
          <w:ilvl w:val="1"/>
          <w:numId w:val="28"/>
        </w:numPr>
        <w:spacing w:line="360" w:lineRule="auto"/>
        <w:ind w:left="709"/>
        <w:rPr>
          <w:rFonts w:ascii="Verdana" w:hAnsi="Verdana"/>
          <w:b/>
          <w:bCs/>
        </w:rPr>
      </w:pPr>
      <w:r>
        <w:rPr>
          <w:rFonts w:ascii="Verdana" w:hAnsi="Verdana"/>
        </w:rPr>
        <w:lastRenderedPageBreak/>
        <w:t>The UN ICESCR Committee has identified the persistent issue of pay disparity for disabled people in the UK and NI, recommending that the UK Government and NI Executive “</w:t>
      </w:r>
      <w:r w:rsidRPr="0036046D">
        <w:rPr>
          <w:rFonts w:ascii="Verdana" w:hAnsi="Verdana"/>
        </w:rPr>
        <w:t xml:space="preserve">strengthen measures to guarantee equal pay for work of equal value, particularly for </w:t>
      </w:r>
      <w:r>
        <w:rPr>
          <w:rFonts w:ascii="Verdana" w:hAnsi="Verdana"/>
        </w:rPr>
        <w:t>…</w:t>
      </w:r>
      <w:r w:rsidRPr="0036046D">
        <w:rPr>
          <w:rFonts w:ascii="Verdana" w:hAnsi="Verdana"/>
        </w:rPr>
        <w:t xml:space="preserve"> persons with disabilities</w:t>
      </w:r>
      <w:r>
        <w:rPr>
          <w:rFonts w:ascii="Verdana" w:hAnsi="Verdana"/>
        </w:rPr>
        <w:t>”.</w:t>
      </w:r>
      <w:r>
        <w:rPr>
          <w:rStyle w:val="FootnoteReference"/>
          <w:rFonts w:ascii="Verdana" w:hAnsi="Verdana"/>
        </w:rPr>
        <w:footnoteReference w:id="153"/>
      </w:r>
    </w:p>
    <w:p w14:paraId="59F59CDC" w14:textId="77777777" w:rsidR="00D221A2" w:rsidRPr="006122E1" w:rsidRDefault="00D221A2" w:rsidP="00A361AB">
      <w:pPr>
        <w:pStyle w:val="ListParagraph"/>
        <w:spacing w:line="360" w:lineRule="auto"/>
        <w:rPr>
          <w:rFonts w:ascii="Verdana" w:hAnsi="Verdana"/>
          <w:b/>
          <w:bCs/>
        </w:rPr>
      </w:pPr>
    </w:p>
    <w:p w14:paraId="3E8F9164" w14:textId="77777777" w:rsidR="00D221A2" w:rsidRPr="00192447" w:rsidRDefault="00D221A2" w:rsidP="006464FC">
      <w:pPr>
        <w:pStyle w:val="ListParagraph"/>
        <w:numPr>
          <w:ilvl w:val="1"/>
          <w:numId w:val="28"/>
        </w:numPr>
        <w:spacing w:line="360" w:lineRule="auto"/>
        <w:ind w:left="709"/>
        <w:rPr>
          <w:rFonts w:ascii="Verdana" w:hAnsi="Verdana"/>
          <w:b/>
          <w:bCs/>
        </w:rPr>
      </w:pPr>
      <w:r>
        <w:rPr>
          <w:rFonts w:ascii="Verdana" w:hAnsi="Verdana"/>
        </w:rPr>
        <w:t xml:space="preserve">The UN CRPD Committee notes </w:t>
      </w:r>
      <w:proofErr w:type="gramStart"/>
      <w:r>
        <w:rPr>
          <w:rFonts w:ascii="Verdana" w:hAnsi="Verdana"/>
        </w:rPr>
        <w:t>concerns</w:t>
      </w:r>
      <w:proofErr w:type="gramEnd"/>
      <w:r>
        <w:rPr>
          <w:rFonts w:ascii="Verdana" w:hAnsi="Verdana"/>
        </w:rPr>
        <w:t xml:space="preserve"> with “</w:t>
      </w:r>
      <w:r w:rsidRPr="003B24F6">
        <w:rPr>
          <w:rFonts w:ascii="Verdana" w:hAnsi="Verdana"/>
        </w:rPr>
        <w:t>insufficient affirmative action measures and provision of reasonable accommodation to ensure that persons with disabilities can access employment on the open labour market</w:t>
      </w:r>
      <w:r>
        <w:rPr>
          <w:rFonts w:ascii="Verdana" w:hAnsi="Verdana"/>
        </w:rPr>
        <w:t>”.</w:t>
      </w:r>
      <w:r>
        <w:rPr>
          <w:rStyle w:val="FootnoteReference"/>
          <w:rFonts w:ascii="Verdana" w:hAnsi="Verdana"/>
        </w:rPr>
        <w:footnoteReference w:id="154"/>
      </w:r>
      <w:r>
        <w:rPr>
          <w:rFonts w:ascii="Verdana" w:hAnsi="Verdana"/>
        </w:rPr>
        <w:t xml:space="preserve"> The UN CRPD Committee recommended that the UK Government and NI Executive:</w:t>
      </w:r>
    </w:p>
    <w:p w14:paraId="24C991A1" w14:textId="77777777" w:rsidR="00D221A2" w:rsidRPr="00192447" w:rsidRDefault="00D221A2" w:rsidP="00A361AB">
      <w:pPr>
        <w:pStyle w:val="ListParagraph"/>
        <w:spacing w:line="360" w:lineRule="auto"/>
        <w:rPr>
          <w:rFonts w:ascii="Verdana" w:hAnsi="Verdana"/>
        </w:rPr>
      </w:pPr>
    </w:p>
    <w:p w14:paraId="63E4A155" w14:textId="77777777" w:rsidR="00D221A2" w:rsidRPr="008459A0" w:rsidRDefault="00D221A2" w:rsidP="00A361AB">
      <w:pPr>
        <w:pStyle w:val="ListParagraph"/>
        <w:spacing w:line="360" w:lineRule="auto"/>
        <w:ind w:left="851"/>
        <w:rPr>
          <w:rFonts w:ascii="Verdana" w:hAnsi="Verdana"/>
          <w:b/>
          <w:bCs/>
        </w:rPr>
      </w:pPr>
      <w:r>
        <w:rPr>
          <w:rFonts w:ascii="Verdana" w:hAnsi="Verdana"/>
        </w:rPr>
        <w:t>e</w:t>
      </w:r>
      <w:r w:rsidRPr="008459A0">
        <w:rPr>
          <w:rFonts w:ascii="Verdana" w:hAnsi="Verdana"/>
        </w:rPr>
        <w:t>nsure that reasonable accommodation is provided to all persons with disabilities who require it in the workplace, that regular training on reasonable accommodation is available to employers and employees without disabilities, and that dissuasive and effective sanctions are in place in cases of denial of reasonable accommodation</w:t>
      </w:r>
      <w:r>
        <w:rPr>
          <w:rFonts w:ascii="Verdana" w:hAnsi="Verdana"/>
        </w:rPr>
        <w:t>.</w:t>
      </w:r>
      <w:r>
        <w:rPr>
          <w:rStyle w:val="FootnoteReference"/>
          <w:rFonts w:ascii="Verdana" w:hAnsi="Verdana"/>
        </w:rPr>
        <w:footnoteReference w:id="155"/>
      </w:r>
    </w:p>
    <w:p w14:paraId="550E1D88" w14:textId="77777777" w:rsidR="00D221A2" w:rsidRPr="008459A0" w:rsidRDefault="00D221A2" w:rsidP="00A361AB">
      <w:pPr>
        <w:pStyle w:val="ListParagraph"/>
        <w:spacing w:line="360" w:lineRule="auto"/>
        <w:rPr>
          <w:rFonts w:ascii="Verdana" w:hAnsi="Verdana"/>
          <w:b/>
          <w:bCs/>
        </w:rPr>
      </w:pPr>
    </w:p>
    <w:p w14:paraId="198FDA94" w14:textId="002A45E1" w:rsidR="00D221A2" w:rsidRPr="007E295F" w:rsidRDefault="00D221A2" w:rsidP="006464FC">
      <w:pPr>
        <w:pStyle w:val="ListParagraph"/>
        <w:numPr>
          <w:ilvl w:val="1"/>
          <w:numId w:val="28"/>
        </w:numPr>
        <w:spacing w:line="360" w:lineRule="auto"/>
        <w:ind w:left="709"/>
        <w:rPr>
          <w:rFonts w:ascii="Verdana" w:hAnsi="Verdana"/>
          <w:b/>
          <w:bCs/>
        </w:rPr>
      </w:pPr>
      <w:r>
        <w:rPr>
          <w:rFonts w:ascii="Verdana" w:hAnsi="Verdana"/>
        </w:rPr>
        <w:t>In NI, disability-related discrimination complaints represent the highest number of enquiries in respect of employment to the Equality Commission NI.</w:t>
      </w:r>
      <w:r>
        <w:rPr>
          <w:rStyle w:val="FootnoteReference"/>
          <w:rFonts w:ascii="Verdana" w:hAnsi="Verdana"/>
        </w:rPr>
        <w:footnoteReference w:id="156"/>
      </w:r>
    </w:p>
    <w:p w14:paraId="6B0871C6" w14:textId="77777777" w:rsidR="007E295F" w:rsidRPr="007E295F" w:rsidRDefault="007E295F" w:rsidP="00A361AB">
      <w:pPr>
        <w:pStyle w:val="ListParagraph"/>
        <w:spacing w:line="360" w:lineRule="auto"/>
        <w:ind w:left="709"/>
        <w:rPr>
          <w:rFonts w:ascii="Verdana" w:hAnsi="Verdana"/>
          <w:b/>
          <w:bCs/>
        </w:rPr>
      </w:pPr>
    </w:p>
    <w:p w14:paraId="7D509019" w14:textId="77777777" w:rsidR="007E295F" w:rsidRPr="007E295F" w:rsidRDefault="007E295F" w:rsidP="006464FC">
      <w:pPr>
        <w:pStyle w:val="ListParagraph"/>
        <w:numPr>
          <w:ilvl w:val="1"/>
          <w:numId w:val="28"/>
        </w:numPr>
        <w:spacing w:line="360" w:lineRule="auto"/>
        <w:ind w:left="709"/>
        <w:rPr>
          <w:rFonts w:ascii="Verdana" w:hAnsi="Verdana"/>
          <w:b/>
          <w:bCs/>
        </w:rPr>
      </w:pPr>
      <w:r>
        <w:rPr>
          <w:rFonts w:ascii="Verdana" w:hAnsi="Verdana"/>
        </w:rPr>
        <w:t>Discrimination, stigma and attitudes act as a persistent barrier to the workplace, with disabled people more likely to face prejudice in the workplace that people without disabilities, particularly individuals with mental health issues.</w:t>
      </w:r>
      <w:r>
        <w:rPr>
          <w:rStyle w:val="FootnoteReference"/>
          <w:rFonts w:ascii="Verdana" w:hAnsi="Verdana"/>
        </w:rPr>
        <w:footnoteReference w:id="157"/>
      </w:r>
      <w:r>
        <w:rPr>
          <w:rFonts w:ascii="Verdana" w:hAnsi="Verdana"/>
        </w:rPr>
        <w:t xml:space="preserve"> Accessible workplaces remain an issue for disabled people in NI, with research indicating that workplaces contain a number of unnecessary physical barriers.</w:t>
      </w:r>
      <w:r>
        <w:rPr>
          <w:rStyle w:val="FootnoteReference"/>
          <w:rFonts w:ascii="Verdana" w:hAnsi="Verdana"/>
        </w:rPr>
        <w:footnoteReference w:id="158"/>
      </w:r>
      <w:r>
        <w:rPr>
          <w:rFonts w:ascii="Verdana" w:hAnsi="Verdana"/>
        </w:rPr>
        <w:t xml:space="preserve"> Access to accessible transport is also an </w:t>
      </w:r>
      <w:r>
        <w:rPr>
          <w:rFonts w:ascii="Verdana" w:hAnsi="Verdana"/>
        </w:rPr>
        <w:lastRenderedPageBreak/>
        <w:t>important factor to consider when dismantling systemic barriers to employment for persons with disabilities, particularly for individuals living in rural areas.</w:t>
      </w:r>
      <w:r>
        <w:rPr>
          <w:rStyle w:val="FootnoteReference"/>
          <w:rFonts w:ascii="Verdana" w:hAnsi="Verdana"/>
        </w:rPr>
        <w:footnoteReference w:id="159"/>
      </w:r>
      <w:r>
        <w:rPr>
          <w:rFonts w:ascii="Verdana" w:hAnsi="Verdana"/>
        </w:rPr>
        <w:t xml:space="preserve"> Research also indicates that recruitment practices are a key barrier to the workplace for disabled people, with online platforms, lengthy job descriptions and a lack of advertised jobs with flexible work or job-sharing options.</w:t>
      </w:r>
      <w:r>
        <w:rPr>
          <w:rStyle w:val="FootnoteReference"/>
          <w:rFonts w:ascii="Verdana" w:hAnsi="Verdana"/>
        </w:rPr>
        <w:footnoteReference w:id="160"/>
      </w:r>
    </w:p>
    <w:p w14:paraId="2FC56CE8" w14:textId="77777777" w:rsidR="007E295F" w:rsidRPr="007E295F" w:rsidRDefault="007E295F" w:rsidP="00A361AB">
      <w:pPr>
        <w:pStyle w:val="ListParagraph"/>
        <w:spacing w:line="360" w:lineRule="auto"/>
        <w:rPr>
          <w:rFonts w:ascii="Verdana" w:hAnsi="Verdana"/>
          <w:b/>
          <w:bCs/>
        </w:rPr>
      </w:pPr>
    </w:p>
    <w:p w14:paraId="114218FD" w14:textId="7B17615E" w:rsidR="007E295F" w:rsidRPr="007E295F" w:rsidRDefault="007E295F" w:rsidP="006464FC">
      <w:pPr>
        <w:pStyle w:val="ListParagraph"/>
        <w:numPr>
          <w:ilvl w:val="1"/>
          <w:numId w:val="28"/>
        </w:numPr>
        <w:spacing w:line="360" w:lineRule="auto"/>
        <w:ind w:left="709"/>
        <w:rPr>
          <w:rFonts w:ascii="Verdana" w:hAnsi="Verdana"/>
          <w:b/>
          <w:bCs/>
        </w:rPr>
      </w:pPr>
      <w:r>
        <w:rPr>
          <w:rFonts w:ascii="Verdana" w:hAnsi="Verdana"/>
        </w:rPr>
        <w:t xml:space="preserve">The NIHRC notes the loss of the European Social Fund </w:t>
      </w:r>
      <w:r w:rsidR="00493C41">
        <w:rPr>
          <w:rFonts w:ascii="Verdana" w:hAnsi="Verdana"/>
        </w:rPr>
        <w:t>and its programmes targeting individuals furthest from the labour market, including disabled people and children and young people in NI has not been replaced.</w:t>
      </w:r>
      <w:r w:rsidR="00493C41">
        <w:rPr>
          <w:rStyle w:val="FootnoteReference"/>
          <w:rFonts w:ascii="Verdana" w:hAnsi="Verdana"/>
        </w:rPr>
        <w:footnoteReference w:id="161"/>
      </w:r>
      <w:r w:rsidR="009D3183">
        <w:rPr>
          <w:rFonts w:ascii="Verdana" w:hAnsi="Verdana"/>
        </w:rPr>
        <w:t xml:space="preserve"> </w:t>
      </w:r>
      <w:r w:rsidR="00E03A0B">
        <w:rPr>
          <w:rFonts w:ascii="Verdana" w:hAnsi="Verdana"/>
        </w:rPr>
        <w:t xml:space="preserve">The European Social Fund programmes targeted access to employment, </w:t>
      </w:r>
      <w:r w:rsidR="005C7DAE">
        <w:rPr>
          <w:rFonts w:ascii="Verdana" w:hAnsi="Verdana"/>
        </w:rPr>
        <w:t>social inclusion, skills for growth and technical assistance in NI</w:t>
      </w:r>
      <w:r w:rsidR="004B5675">
        <w:rPr>
          <w:rFonts w:ascii="Verdana" w:hAnsi="Verdana"/>
        </w:rPr>
        <w:t>, with social inclusion focusing on persons with disabilities</w:t>
      </w:r>
      <w:r w:rsidR="005C7DAE">
        <w:rPr>
          <w:rFonts w:ascii="Verdana" w:hAnsi="Verdana"/>
        </w:rPr>
        <w:t>.</w:t>
      </w:r>
      <w:r w:rsidR="005C7DAE">
        <w:rPr>
          <w:rStyle w:val="FootnoteReference"/>
          <w:rFonts w:ascii="Verdana" w:hAnsi="Verdana"/>
        </w:rPr>
        <w:footnoteReference w:id="162"/>
      </w:r>
      <w:r w:rsidR="008B7695">
        <w:rPr>
          <w:rFonts w:ascii="Verdana" w:hAnsi="Verdana"/>
        </w:rPr>
        <w:t xml:space="preserve"> </w:t>
      </w:r>
      <w:r w:rsidR="001161B3">
        <w:rPr>
          <w:rFonts w:ascii="Verdana" w:hAnsi="Verdana"/>
        </w:rPr>
        <w:t xml:space="preserve">The loss of this funding has had a disproportionate impact on persons with disabilities and their access to </w:t>
      </w:r>
      <w:r w:rsidR="00114E8C">
        <w:rPr>
          <w:rFonts w:ascii="Verdana" w:hAnsi="Verdana"/>
        </w:rPr>
        <w:t>employment</w:t>
      </w:r>
      <w:r w:rsidR="001161B3">
        <w:rPr>
          <w:rFonts w:ascii="Verdana" w:hAnsi="Verdana"/>
        </w:rPr>
        <w:t>.</w:t>
      </w:r>
    </w:p>
    <w:p w14:paraId="29962B63" w14:textId="77777777" w:rsidR="007E295F" w:rsidRPr="007E295F" w:rsidRDefault="007E295F" w:rsidP="00A361AB">
      <w:pPr>
        <w:pStyle w:val="ListParagraph"/>
        <w:spacing w:line="360" w:lineRule="auto"/>
        <w:rPr>
          <w:rFonts w:ascii="Verdana" w:hAnsi="Verdana"/>
          <w:b/>
          <w:bCs/>
        </w:rPr>
      </w:pPr>
    </w:p>
    <w:p w14:paraId="4AE7ED31" w14:textId="78F1C30F" w:rsidR="001619DC" w:rsidRDefault="006568CC" w:rsidP="006464FC">
      <w:pPr>
        <w:pStyle w:val="ListParagraph"/>
        <w:numPr>
          <w:ilvl w:val="1"/>
          <w:numId w:val="28"/>
        </w:numPr>
        <w:spacing w:line="360" w:lineRule="auto"/>
        <w:ind w:left="709"/>
        <w:rPr>
          <w:rFonts w:ascii="Verdana" w:hAnsi="Verdana"/>
        </w:rPr>
      </w:pPr>
      <w:r>
        <w:rPr>
          <w:rFonts w:ascii="Verdana" w:hAnsi="Verdana"/>
        </w:rPr>
        <w:t xml:space="preserve">Additional funds for work support will be paid into NI’s </w:t>
      </w:r>
      <w:r w:rsidR="00E1578C">
        <w:rPr>
          <w:rFonts w:ascii="Verdana" w:hAnsi="Verdana"/>
        </w:rPr>
        <w:t>B</w:t>
      </w:r>
      <w:r>
        <w:rPr>
          <w:rFonts w:ascii="Verdana" w:hAnsi="Verdana"/>
        </w:rPr>
        <w:t>arnet</w:t>
      </w:r>
      <w:r w:rsidR="00E1578C">
        <w:rPr>
          <w:rFonts w:ascii="Verdana" w:hAnsi="Verdana"/>
        </w:rPr>
        <w:t>t</w:t>
      </w:r>
      <w:r>
        <w:rPr>
          <w:rFonts w:ascii="Verdana" w:hAnsi="Verdana"/>
        </w:rPr>
        <w:t xml:space="preserve"> consequential but will </w:t>
      </w:r>
      <w:r w:rsidR="00E229EF">
        <w:rPr>
          <w:rFonts w:ascii="Verdana" w:hAnsi="Verdana"/>
        </w:rPr>
        <w:t xml:space="preserve">likely </w:t>
      </w:r>
      <w:r>
        <w:rPr>
          <w:rFonts w:ascii="Verdana" w:hAnsi="Verdana"/>
        </w:rPr>
        <w:t xml:space="preserve">not be ring-fenced, and therefore </w:t>
      </w:r>
      <w:r w:rsidR="007D0BC8">
        <w:rPr>
          <w:rFonts w:ascii="Verdana" w:hAnsi="Verdana"/>
        </w:rPr>
        <w:t xml:space="preserve">the NI Executive could choose to allocate the funds to another </w:t>
      </w:r>
      <w:r w:rsidR="002B382E">
        <w:rPr>
          <w:rFonts w:ascii="Verdana" w:hAnsi="Verdana"/>
        </w:rPr>
        <w:t>initiative entirely, not related to work support</w:t>
      </w:r>
      <w:r w:rsidR="00B0011B">
        <w:rPr>
          <w:rFonts w:ascii="Verdana" w:hAnsi="Verdana"/>
        </w:rPr>
        <w:t>.</w:t>
      </w:r>
      <w:r w:rsidR="00E229EF">
        <w:rPr>
          <w:rStyle w:val="FootnoteReference"/>
          <w:rFonts w:ascii="Verdana" w:hAnsi="Verdana"/>
        </w:rPr>
        <w:footnoteReference w:id="163"/>
      </w:r>
    </w:p>
    <w:p w14:paraId="4EE86549" w14:textId="77777777" w:rsidR="00D221A2" w:rsidRPr="00D221A2" w:rsidRDefault="00D221A2" w:rsidP="00A361AB">
      <w:pPr>
        <w:pStyle w:val="ListParagraph"/>
        <w:spacing w:line="360" w:lineRule="auto"/>
        <w:rPr>
          <w:rFonts w:ascii="Verdana" w:hAnsi="Verdana"/>
        </w:rPr>
      </w:pPr>
    </w:p>
    <w:p w14:paraId="7A1562BE" w14:textId="0C3D6688" w:rsidR="00D221A2" w:rsidRPr="00032964" w:rsidRDefault="00D221A2" w:rsidP="006464FC">
      <w:pPr>
        <w:pStyle w:val="ListParagraph"/>
        <w:numPr>
          <w:ilvl w:val="1"/>
          <w:numId w:val="28"/>
        </w:numPr>
        <w:spacing w:line="360" w:lineRule="auto"/>
        <w:ind w:left="709"/>
        <w:rPr>
          <w:rFonts w:ascii="Verdana" w:hAnsi="Verdana"/>
        </w:rPr>
      </w:pPr>
      <w:r>
        <w:rPr>
          <w:rFonts w:ascii="Verdana" w:hAnsi="Verdana"/>
          <w:b/>
          <w:bCs/>
        </w:rPr>
        <w:t>The NIHRC recommends that the Department for Work and Pensions ensures that additional fund</w:t>
      </w:r>
      <w:r w:rsidR="00FD0D29">
        <w:rPr>
          <w:rFonts w:ascii="Verdana" w:hAnsi="Verdana"/>
          <w:b/>
          <w:bCs/>
        </w:rPr>
        <w:t xml:space="preserve">ing </w:t>
      </w:r>
      <w:r>
        <w:rPr>
          <w:rFonts w:ascii="Verdana" w:hAnsi="Verdana"/>
          <w:b/>
          <w:bCs/>
        </w:rPr>
        <w:t>made available to the NI Executive for</w:t>
      </w:r>
      <w:r w:rsidR="00FD0D29">
        <w:rPr>
          <w:rFonts w:ascii="Verdana" w:hAnsi="Verdana"/>
          <w:b/>
          <w:bCs/>
        </w:rPr>
        <w:t xml:space="preserve"> use toward </w:t>
      </w:r>
      <w:r>
        <w:rPr>
          <w:rFonts w:ascii="Verdana" w:hAnsi="Verdana"/>
          <w:b/>
          <w:bCs/>
        </w:rPr>
        <w:t>employment support is ring-fenced for that purpose.</w:t>
      </w:r>
    </w:p>
    <w:p w14:paraId="055A97EA" w14:textId="77777777" w:rsidR="00032964" w:rsidRPr="00032964" w:rsidRDefault="00032964" w:rsidP="00A361AB">
      <w:pPr>
        <w:pStyle w:val="ListParagraph"/>
        <w:spacing w:line="360" w:lineRule="auto"/>
        <w:rPr>
          <w:rFonts w:ascii="Verdana" w:hAnsi="Verdana"/>
        </w:rPr>
      </w:pPr>
    </w:p>
    <w:p w14:paraId="53AACFC3" w14:textId="149165B5" w:rsidR="00483AD1" w:rsidRDefault="00032964" w:rsidP="00A361AB">
      <w:pPr>
        <w:pStyle w:val="Heading2"/>
        <w:spacing w:line="360" w:lineRule="auto"/>
      </w:pPr>
      <w:bookmarkStart w:id="20" w:name="_Toc201648670"/>
      <w:r>
        <w:lastRenderedPageBreak/>
        <w:t>Condition</w:t>
      </w:r>
      <w:r w:rsidR="0077384A">
        <w:t>s</w:t>
      </w:r>
      <w:r>
        <w:t xml:space="preserve"> and Sanctions</w:t>
      </w:r>
      <w:bookmarkEnd w:id="20"/>
    </w:p>
    <w:p w14:paraId="7299E238" w14:textId="1A7F0720" w:rsidR="00483AD1" w:rsidRDefault="00483AD1" w:rsidP="006464FC">
      <w:pPr>
        <w:pStyle w:val="ListParagraph"/>
        <w:numPr>
          <w:ilvl w:val="1"/>
          <w:numId w:val="28"/>
        </w:numPr>
        <w:spacing w:line="360" w:lineRule="auto"/>
        <w:ind w:left="709"/>
        <w:rPr>
          <w:rFonts w:ascii="Verdana" w:hAnsi="Verdana"/>
        </w:rPr>
      </w:pPr>
      <w:r>
        <w:rPr>
          <w:rFonts w:ascii="Verdana" w:hAnsi="Verdana"/>
        </w:rPr>
        <w:t xml:space="preserve">The Department for Work and Pensions sets out proposals for a new </w:t>
      </w:r>
      <w:r w:rsidR="0077384A">
        <w:rPr>
          <w:rFonts w:ascii="Verdana" w:hAnsi="Verdana"/>
        </w:rPr>
        <w:t>‘</w:t>
      </w:r>
      <w:r>
        <w:rPr>
          <w:rFonts w:ascii="Verdana" w:hAnsi="Verdana"/>
        </w:rPr>
        <w:t>support conversation</w:t>
      </w:r>
      <w:r w:rsidR="0077384A">
        <w:rPr>
          <w:rFonts w:ascii="Verdana" w:hAnsi="Verdana"/>
        </w:rPr>
        <w:t>’</w:t>
      </w:r>
      <w:r>
        <w:rPr>
          <w:rFonts w:ascii="Verdana" w:hAnsi="Verdana"/>
        </w:rPr>
        <w:t>,</w:t>
      </w:r>
      <w:r w:rsidR="001619DC">
        <w:rPr>
          <w:rFonts w:ascii="Verdana" w:hAnsi="Verdana"/>
        </w:rPr>
        <w:t xml:space="preserve"> intended to be delivered by an appropriately skilled person “</w:t>
      </w:r>
      <w:r w:rsidR="00BE49B9" w:rsidRPr="00BE49B9">
        <w:rPr>
          <w:rFonts w:ascii="Verdana" w:hAnsi="Verdana"/>
        </w:rPr>
        <w:t>for individuals who have a health condition or disability that is affecting their ability to get into work or return to work</w:t>
      </w:r>
      <w:r w:rsidR="00BE49B9">
        <w:rPr>
          <w:rFonts w:ascii="Verdana" w:hAnsi="Verdana"/>
        </w:rPr>
        <w:t>”.</w:t>
      </w:r>
      <w:r w:rsidR="002051A1">
        <w:rPr>
          <w:rStyle w:val="FootnoteReference"/>
          <w:rFonts w:ascii="Verdana" w:hAnsi="Verdana"/>
        </w:rPr>
        <w:footnoteReference w:id="164"/>
      </w:r>
      <w:r w:rsidR="00F8725D">
        <w:rPr>
          <w:rFonts w:ascii="Verdana" w:hAnsi="Verdana"/>
        </w:rPr>
        <w:t xml:space="preserve"> The Department notes that “</w:t>
      </w:r>
      <w:r w:rsidR="00C57793">
        <w:rPr>
          <w:rFonts w:ascii="Verdana" w:hAnsi="Verdana"/>
        </w:rPr>
        <w:t>t</w:t>
      </w:r>
      <w:r w:rsidR="00C57793" w:rsidRPr="00C57793">
        <w:rPr>
          <w:rFonts w:ascii="Verdana" w:hAnsi="Verdana"/>
        </w:rPr>
        <w:t>here will be the ultimate backstop of sanctions to underpin the expectations of engagement, but this should be used only as a last resort</w:t>
      </w:r>
      <w:r w:rsidR="00C57793">
        <w:rPr>
          <w:rFonts w:ascii="Verdana" w:hAnsi="Verdana"/>
        </w:rPr>
        <w:t>”.</w:t>
      </w:r>
      <w:r w:rsidR="00C57793">
        <w:rPr>
          <w:rStyle w:val="FootnoteReference"/>
          <w:rFonts w:ascii="Verdana" w:hAnsi="Verdana"/>
        </w:rPr>
        <w:footnoteReference w:id="165"/>
      </w:r>
    </w:p>
    <w:p w14:paraId="5718E3F5" w14:textId="77777777" w:rsidR="00C57793" w:rsidRPr="00C57793" w:rsidRDefault="00C57793" w:rsidP="00A361AB">
      <w:pPr>
        <w:pStyle w:val="ListParagraph"/>
        <w:spacing w:line="360" w:lineRule="auto"/>
        <w:rPr>
          <w:rFonts w:ascii="Verdana" w:hAnsi="Verdana"/>
        </w:rPr>
      </w:pPr>
    </w:p>
    <w:p w14:paraId="7BCBDE37" w14:textId="4A5C4F22" w:rsidR="00C57793" w:rsidRDefault="001710C8" w:rsidP="006464FC">
      <w:pPr>
        <w:pStyle w:val="ListParagraph"/>
        <w:numPr>
          <w:ilvl w:val="1"/>
          <w:numId w:val="28"/>
        </w:numPr>
        <w:spacing w:line="360" w:lineRule="auto"/>
        <w:ind w:left="709"/>
        <w:rPr>
          <w:rFonts w:ascii="Verdana" w:hAnsi="Verdana"/>
        </w:rPr>
      </w:pPr>
      <w:r>
        <w:rPr>
          <w:rFonts w:ascii="Verdana" w:hAnsi="Verdana"/>
        </w:rPr>
        <w:t xml:space="preserve">Previous welfare reforms in the UK in 2012 and 2016 operated a system of </w:t>
      </w:r>
      <w:r w:rsidR="0077384A">
        <w:rPr>
          <w:rFonts w:ascii="Verdana" w:hAnsi="Verdana"/>
        </w:rPr>
        <w:t xml:space="preserve">conditions </w:t>
      </w:r>
      <w:r>
        <w:rPr>
          <w:rFonts w:ascii="Verdana" w:hAnsi="Verdana"/>
        </w:rPr>
        <w:t>and sanctions.</w:t>
      </w:r>
      <w:r w:rsidR="007D5492">
        <w:rPr>
          <w:rFonts w:ascii="Verdana" w:hAnsi="Verdana"/>
        </w:rPr>
        <w:t xml:space="preserve"> Evidence indicated that these sanctions were appl</w:t>
      </w:r>
      <w:r w:rsidR="00265C4D">
        <w:rPr>
          <w:rFonts w:ascii="Verdana" w:hAnsi="Verdana"/>
        </w:rPr>
        <w:t>ied in a disproportionate manner and increased hardship faced by claimants. Additionally</w:t>
      </w:r>
      <w:r w:rsidR="00BC20FE">
        <w:rPr>
          <w:rFonts w:ascii="Verdana" w:hAnsi="Verdana"/>
        </w:rPr>
        <w:t xml:space="preserve">, sanctions </w:t>
      </w:r>
      <w:r w:rsidR="0004482A">
        <w:rPr>
          <w:rFonts w:ascii="Verdana" w:hAnsi="Verdana"/>
        </w:rPr>
        <w:t>did not take into account the specific barriers that disabled people and people with long term health conditions face</w:t>
      </w:r>
      <w:r w:rsidR="005871CC">
        <w:rPr>
          <w:rFonts w:ascii="Verdana" w:hAnsi="Verdana"/>
        </w:rPr>
        <w:t>d.</w:t>
      </w:r>
      <w:r w:rsidR="005871CC">
        <w:rPr>
          <w:rStyle w:val="FootnoteReference"/>
          <w:rFonts w:ascii="Verdana" w:hAnsi="Verdana"/>
        </w:rPr>
        <w:footnoteReference w:id="166"/>
      </w:r>
      <w:r w:rsidR="000C5C30">
        <w:rPr>
          <w:rFonts w:ascii="Verdana" w:hAnsi="Verdana"/>
        </w:rPr>
        <w:t xml:space="preserve"> </w:t>
      </w:r>
      <w:r w:rsidR="00056070">
        <w:rPr>
          <w:rFonts w:ascii="Verdana" w:hAnsi="Verdana"/>
        </w:rPr>
        <w:t xml:space="preserve">The UN CRPD Committee has recommended </w:t>
      </w:r>
      <w:r w:rsidR="001F50B8">
        <w:rPr>
          <w:rFonts w:ascii="Verdana" w:hAnsi="Verdana"/>
        </w:rPr>
        <w:t>that the</w:t>
      </w:r>
      <w:r w:rsidR="00056070">
        <w:rPr>
          <w:rFonts w:ascii="Verdana" w:hAnsi="Verdana"/>
        </w:rPr>
        <w:t xml:space="preserve"> UK Government </w:t>
      </w:r>
      <w:r w:rsidR="001F50B8">
        <w:rPr>
          <w:rFonts w:ascii="Verdana" w:hAnsi="Verdana"/>
        </w:rPr>
        <w:t>ensures</w:t>
      </w:r>
      <w:r w:rsidR="00056070">
        <w:rPr>
          <w:rFonts w:ascii="Verdana" w:hAnsi="Verdana"/>
        </w:rPr>
        <w:t xml:space="preserve"> “</w:t>
      </w:r>
      <w:r w:rsidR="001F50B8">
        <w:rPr>
          <w:rFonts w:ascii="Verdana" w:hAnsi="Verdana"/>
        </w:rPr>
        <w:t xml:space="preserve">the adjustments and support necessary </w:t>
      </w:r>
      <w:r w:rsidR="00AF2CF4">
        <w:rPr>
          <w:rFonts w:ascii="Verdana" w:hAnsi="Verdana"/>
        </w:rPr>
        <w:t xml:space="preserve">[for persons with disabilities] </w:t>
      </w:r>
      <w:r w:rsidR="001F50B8">
        <w:rPr>
          <w:rFonts w:ascii="Verdana" w:hAnsi="Verdana"/>
        </w:rPr>
        <w:t xml:space="preserve">to access work, as well as financial support, </w:t>
      </w:r>
      <w:r w:rsidR="003A27DE" w:rsidRPr="003A27DE">
        <w:rPr>
          <w:rFonts w:ascii="Verdana" w:hAnsi="Verdana"/>
        </w:rPr>
        <w:t>are not subject to sanctions or conditional upon carrying out job seeking activities</w:t>
      </w:r>
      <w:r w:rsidR="003A27DE">
        <w:rPr>
          <w:rFonts w:ascii="Verdana" w:hAnsi="Verdana"/>
        </w:rPr>
        <w:t>”.</w:t>
      </w:r>
      <w:r w:rsidR="003A27DE">
        <w:rPr>
          <w:rStyle w:val="FootnoteReference"/>
          <w:rFonts w:ascii="Verdana" w:hAnsi="Verdana"/>
        </w:rPr>
        <w:footnoteReference w:id="167"/>
      </w:r>
    </w:p>
    <w:p w14:paraId="090A48EA" w14:textId="77777777" w:rsidR="00352DCD" w:rsidRPr="00352DCD" w:rsidRDefault="00352DCD" w:rsidP="00A361AB">
      <w:pPr>
        <w:pStyle w:val="ListParagraph"/>
        <w:spacing w:line="360" w:lineRule="auto"/>
        <w:rPr>
          <w:rFonts w:ascii="Verdana" w:hAnsi="Verdana"/>
        </w:rPr>
      </w:pPr>
    </w:p>
    <w:p w14:paraId="36662E48" w14:textId="20BF8440" w:rsidR="00352DCD" w:rsidRDefault="003A226E" w:rsidP="006464FC">
      <w:pPr>
        <w:pStyle w:val="ListParagraph"/>
        <w:numPr>
          <w:ilvl w:val="1"/>
          <w:numId w:val="28"/>
        </w:numPr>
        <w:spacing w:line="360" w:lineRule="auto"/>
        <w:ind w:left="709"/>
        <w:rPr>
          <w:rFonts w:ascii="Verdana" w:hAnsi="Verdana"/>
        </w:rPr>
      </w:pPr>
      <w:r>
        <w:rPr>
          <w:rFonts w:ascii="Verdana" w:hAnsi="Verdana"/>
        </w:rPr>
        <w:t>Concluding</w:t>
      </w:r>
      <w:r w:rsidR="0077384A">
        <w:rPr>
          <w:rFonts w:ascii="Verdana" w:hAnsi="Verdana"/>
        </w:rPr>
        <w:t>,</w:t>
      </w:r>
      <w:r>
        <w:rPr>
          <w:rFonts w:ascii="Verdana" w:hAnsi="Verdana"/>
        </w:rPr>
        <w:t xml:space="preserve"> on his visit to </w:t>
      </w:r>
      <w:r w:rsidR="0077384A">
        <w:rPr>
          <w:rFonts w:ascii="Verdana" w:hAnsi="Verdana"/>
        </w:rPr>
        <w:t>G</w:t>
      </w:r>
      <w:r w:rsidR="000000BE">
        <w:rPr>
          <w:rFonts w:ascii="Verdana" w:hAnsi="Verdana"/>
        </w:rPr>
        <w:t xml:space="preserve">reat </w:t>
      </w:r>
      <w:r w:rsidR="0077384A">
        <w:rPr>
          <w:rFonts w:ascii="Verdana" w:hAnsi="Verdana"/>
        </w:rPr>
        <w:t>B</w:t>
      </w:r>
      <w:r w:rsidR="000000BE">
        <w:rPr>
          <w:rFonts w:ascii="Verdana" w:hAnsi="Verdana"/>
        </w:rPr>
        <w:t>ritain</w:t>
      </w:r>
      <w:r w:rsidR="0077384A">
        <w:rPr>
          <w:rFonts w:ascii="Verdana" w:hAnsi="Verdana"/>
        </w:rPr>
        <w:t xml:space="preserve"> </w:t>
      </w:r>
      <w:r>
        <w:rPr>
          <w:rFonts w:ascii="Verdana" w:hAnsi="Verdana"/>
        </w:rPr>
        <w:t>and NI, the t</w:t>
      </w:r>
      <w:r w:rsidR="0049784E">
        <w:rPr>
          <w:rFonts w:ascii="Verdana" w:hAnsi="Verdana"/>
        </w:rPr>
        <w:t>he</w:t>
      </w:r>
      <w:r>
        <w:rPr>
          <w:rFonts w:ascii="Verdana" w:hAnsi="Verdana"/>
        </w:rPr>
        <w:t>n</w:t>
      </w:r>
      <w:r w:rsidR="0049784E">
        <w:rPr>
          <w:rFonts w:ascii="Verdana" w:hAnsi="Verdana"/>
        </w:rPr>
        <w:t xml:space="preserve"> Special Rapporteur on poverty</w:t>
      </w:r>
      <w:r>
        <w:rPr>
          <w:rFonts w:ascii="Verdana" w:hAnsi="Verdana"/>
        </w:rPr>
        <w:t>, Philip Alston</w:t>
      </w:r>
      <w:r w:rsidR="00D339A2">
        <w:rPr>
          <w:rFonts w:ascii="Verdana" w:hAnsi="Verdana"/>
        </w:rPr>
        <w:t>,</w:t>
      </w:r>
      <w:r w:rsidR="0049784E">
        <w:rPr>
          <w:rFonts w:ascii="Verdana" w:hAnsi="Verdana"/>
        </w:rPr>
        <w:t xml:space="preserve"> identified </w:t>
      </w:r>
      <w:r w:rsidR="0077384A">
        <w:rPr>
          <w:rFonts w:ascii="Verdana" w:hAnsi="Verdana"/>
        </w:rPr>
        <w:t>the absence of</w:t>
      </w:r>
      <w:r>
        <w:rPr>
          <w:rFonts w:ascii="Verdana" w:hAnsi="Verdana"/>
        </w:rPr>
        <w:t xml:space="preserve"> evidence </w:t>
      </w:r>
      <w:r w:rsidR="00E46C6C">
        <w:rPr>
          <w:rFonts w:ascii="Verdana" w:hAnsi="Verdana"/>
        </w:rPr>
        <w:t>“</w:t>
      </w:r>
      <w:r w:rsidR="00E46C6C" w:rsidRPr="00E46C6C">
        <w:rPr>
          <w:rFonts w:ascii="Verdana" w:hAnsi="Verdana"/>
        </w:rPr>
        <w:t>that blunt and harsh sanctions actually help claimants move closer to work</w:t>
      </w:r>
      <w:r w:rsidR="00E46C6C">
        <w:rPr>
          <w:rFonts w:ascii="Verdana" w:hAnsi="Verdana"/>
        </w:rPr>
        <w:t>”.</w:t>
      </w:r>
      <w:r w:rsidR="00E0528A">
        <w:rPr>
          <w:rStyle w:val="FootnoteReference"/>
          <w:rFonts w:ascii="Verdana" w:hAnsi="Verdana"/>
        </w:rPr>
        <w:footnoteReference w:id="168"/>
      </w:r>
      <w:r w:rsidR="00B142E8">
        <w:rPr>
          <w:rFonts w:ascii="Verdana" w:hAnsi="Verdana"/>
        </w:rPr>
        <w:t xml:space="preserve"> Additionally, an inquiry by the Committee for Work and Pensions found sanctions to be “harmful and counterproductive</w:t>
      </w:r>
      <w:r w:rsidR="00DF1D19">
        <w:rPr>
          <w:rFonts w:ascii="Verdana" w:hAnsi="Verdana"/>
        </w:rPr>
        <w:t xml:space="preserve">”, contributing to </w:t>
      </w:r>
      <w:r w:rsidR="006C2429">
        <w:rPr>
          <w:rFonts w:ascii="Verdana" w:hAnsi="Verdana"/>
        </w:rPr>
        <w:t>distrust and trauma of vulnerable individuals</w:t>
      </w:r>
      <w:r w:rsidR="00B142E8">
        <w:rPr>
          <w:rFonts w:ascii="Verdana" w:hAnsi="Verdana"/>
        </w:rPr>
        <w:t>.</w:t>
      </w:r>
      <w:r w:rsidR="00B142E8">
        <w:rPr>
          <w:rStyle w:val="FootnoteReference"/>
          <w:rFonts w:ascii="Verdana" w:hAnsi="Verdana"/>
        </w:rPr>
        <w:footnoteReference w:id="169"/>
      </w:r>
    </w:p>
    <w:p w14:paraId="27487809" w14:textId="77777777" w:rsidR="00814453" w:rsidRPr="00814453" w:rsidRDefault="00814453" w:rsidP="00A361AB">
      <w:pPr>
        <w:pStyle w:val="ListParagraph"/>
        <w:spacing w:line="360" w:lineRule="auto"/>
        <w:rPr>
          <w:rFonts w:ascii="Verdana" w:hAnsi="Verdana"/>
        </w:rPr>
      </w:pPr>
    </w:p>
    <w:p w14:paraId="4556A017" w14:textId="13A2DE04" w:rsidR="00814453" w:rsidRDefault="00814453" w:rsidP="006464FC">
      <w:pPr>
        <w:pStyle w:val="ListParagraph"/>
        <w:numPr>
          <w:ilvl w:val="1"/>
          <w:numId w:val="28"/>
        </w:numPr>
        <w:spacing w:line="360" w:lineRule="auto"/>
        <w:ind w:left="709"/>
        <w:rPr>
          <w:rFonts w:ascii="Verdana" w:hAnsi="Verdana"/>
        </w:rPr>
      </w:pPr>
      <w:r>
        <w:rPr>
          <w:rFonts w:ascii="Verdana" w:hAnsi="Verdana"/>
        </w:rPr>
        <w:t xml:space="preserve">The Pathways to Work </w:t>
      </w:r>
      <w:r w:rsidR="00026D72">
        <w:rPr>
          <w:rFonts w:ascii="Verdana" w:hAnsi="Verdana"/>
        </w:rPr>
        <w:t>Green P</w:t>
      </w:r>
      <w:r>
        <w:rPr>
          <w:rFonts w:ascii="Verdana" w:hAnsi="Verdana"/>
        </w:rPr>
        <w:t xml:space="preserve">aper </w:t>
      </w:r>
      <w:r w:rsidR="00026D72">
        <w:rPr>
          <w:rFonts w:ascii="Verdana" w:hAnsi="Verdana"/>
        </w:rPr>
        <w:t>proposes</w:t>
      </w:r>
      <w:r>
        <w:rPr>
          <w:rFonts w:ascii="Verdana" w:hAnsi="Verdana"/>
        </w:rPr>
        <w:t xml:space="preserve"> </w:t>
      </w:r>
      <w:r w:rsidR="00173E9C">
        <w:rPr>
          <w:rFonts w:ascii="Verdana" w:hAnsi="Verdana"/>
        </w:rPr>
        <w:t>to allow individuals to try work without fear of losing access to benefits or having to go through a reassessment process.</w:t>
      </w:r>
      <w:r w:rsidR="00173E9C">
        <w:rPr>
          <w:rStyle w:val="FootnoteReference"/>
          <w:rFonts w:ascii="Verdana" w:hAnsi="Verdana"/>
        </w:rPr>
        <w:footnoteReference w:id="170"/>
      </w:r>
      <w:r w:rsidR="0074262A">
        <w:rPr>
          <w:rFonts w:ascii="Verdana" w:hAnsi="Verdana"/>
        </w:rPr>
        <w:t xml:space="preserve"> This is a useful proposal for individuals who feel ready to enter the workforce, however, </w:t>
      </w:r>
      <w:r w:rsidR="000E2727">
        <w:rPr>
          <w:rFonts w:ascii="Verdana" w:hAnsi="Verdana"/>
        </w:rPr>
        <w:t>it will require individuals to trust that trying work will not be used against them to remove benefits. Sanctions a</w:t>
      </w:r>
      <w:r w:rsidR="003E15D1">
        <w:rPr>
          <w:rFonts w:ascii="Verdana" w:hAnsi="Verdana"/>
        </w:rPr>
        <w:t xml:space="preserve">nd conditionality have been seen to erode trust in the </w:t>
      </w:r>
      <w:r w:rsidR="00644A5D">
        <w:rPr>
          <w:rFonts w:ascii="Verdana" w:hAnsi="Verdana"/>
        </w:rPr>
        <w:t xml:space="preserve">Government </w:t>
      </w:r>
      <w:r w:rsidR="003E15D1">
        <w:rPr>
          <w:rFonts w:ascii="Verdana" w:hAnsi="Verdana"/>
        </w:rPr>
        <w:t>and appears counterproductive to the UK Government’s intended outcome.</w:t>
      </w:r>
    </w:p>
    <w:p w14:paraId="36C2D5EE" w14:textId="77777777" w:rsidR="00274F07" w:rsidRPr="00274F07" w:rsidRDefault="00274F07" w:rsidP="00A361AB">
      <w:pPr>
        <w:pStyle w:val="ListParagraph"/>
        <w:spacing w:line="360" w:lineRule="auto"/>
        <w:rPr>
          <w:rFonts w:ascii="Verdana" w:hAnsi="Verdana"/>
        </w:rPr>
      </w:pPr>
    </w:p>
    <w:p w14:paraId="1DC557B7" w14:textId="413230BF" w:rsidR="00274F07" w:rsidRDefault="00274F07" w:rsidP="006464FC">
      <w:pPr>
        <w:pStyle w:val="ListParagraph"/>
        <w:numPr>
          <w:ilvl w:val="1"/>
          <w:numId w:val="28"/>
        </w:numPr>
        <w:spacing w:line="360" w:lineRule="auto"/>
        <w:ind w:left="709"/>
        <w:rPr>
          <w:rFonts w:ascii="Verdana" w:hAnsi="Verdana"/>
        </w:rPr>
      </w:pPr>
      <w:r>
        <w:rPr>
          <w:rFonts w:ascii="Verdana" w:hAnsi="Verdana"/>
        </w:rPr>
        <w:t xml:space="preserve">The NIHRC </w:t>
      </w:r>
      <w:r w:rsidR="0077384A">
        <w:rPr>
          <w:rFonts w:ascii="Verdana" w:hAnsi="Verdana"/>
        </w:rPr>
        <w:t xml:space="preserve">notes </w:t>
      </w:r>
      <w:r w:rsidR="006C2429">
        <w:rPr>
          <w:rFonts w:ascii="Verdana" w:hAnsi="Verdana"/>
        </w:rPr>
        <w:t xml:space="preserve">that sanctions will be used as a last resort, however, it </w:t>
      </w:r>
      <w:r w:rsidR="004F78EC">
        <w:rPr>
          <w:rFonts w:ascii="Verdana" w:hAnsi="Verdana"/>
        </w:rPr>
        <w:t>is important that</w:t>
      </w:r>
      <w:r w:rsidR="006C2429">
        <w:rPr>
          <w:rFonts w:ascii="Verdana" w:hAnsi="Verdana"/>
        </w:rPr>
        <w:t xml:space="preserve"> the Department set</w:t>
      </w:r>
      <w:r w:rsidR="004F78EC">
        <w:rPr>
          <w:rFonts w:ascii="Verdana" w:hAnsi="Verdana"/>
        </w:rPr>
        <w:t>s</w:t>
      </w:r>
      <w:r w:rsidR="006C2429">
        <w:rPr>
          <w:rFonts w:ascii="Verdana" w:hAnsi="Verdana"/>
        </w:rPr>
        <w:t xml:space="preserve"> </w:t>
      </w:r>
      <w:r w:rsidR="000A4611">
        <w:rPr>
          <w:rFonts w:ascii="Verdana" w:hAnsi="Verdana"/>
        </w:rPr>
        <w:t xml:space="preserve">out </w:t>
      </w:r>
      <w:r w:rsidR="0077384A">
        <w:rPr>
          <w:rFonts w:ascii="Verdana" w:hAnsi="Verdana"/>
        </w:rPr>
        <w:t xml:space="preserve">exactly </w:t>
      </w:r>
      <w:r w:rsidR="00FC1507">
        <w:rPr>
          <w:rFonts w:ascii="Verdana" w:hAnsi="Verdana"/>
        </w:rPr>
        <w:t xml:space="preserve">what these sanctions </w:t>
      </w:r>
      <w:r w:rsidR="0077384A">
        <w:rPr>
          <w:rFonts w:ascii="Verdana" w:hAnsi="Verdana"/>
        </w:rPr>
        <w:t xml:space="preserve">will </w:t>
      </w:r>
      <w:r w:rsidR="00FC1507">
        <w:rPr>
          <w:rFonts w:ascii="Verdana" w:hAnsi="Verdana"/>
        </w:rPr>
        <w:t xml:space="preserve">be and what </w:t>
      </w:r>
      <w:r w:rsidR="0077384A">
        <w:rPr>
          <w:rFonts w:ascii="Verdana" w:hAnsi="Verdana"/>
        </w:rPr>
        <w:t xml:space="preserve">will </w:t>
      </w:r>
      <w:r w:rsidR="00FC1507">
        <w:rPr>
          <w:rFonts w:ascii="Verdana" w:hAnsi="Verdana"/>
        </w:rPr>
        <w:t>constitute a last resort during the consultation stage</w:t>
      </w:r>
      <w:r w:rsidR="0077384A">
        <w:rPr>
          <w:rFonts w:ascii="Verdana" w:hAnsi="Verdana"/>
        </w:rPr>
        <w:t>.</w:t>
      </w:r>
      <w:r w:rsidR="006547B1">
        <w:rPr>
          <w:rFonts w:ascii="Verdana" w:hAnsi="Verdana"/>
        </w:rPr>
        <w:t xml:space="preserve"> </w:t>
      </w:r>
      <w:r w:rsidR="0077384A">
        <w:rPr>
          <w:rFonts w:ascii="Verdana" w:hAnsi="Verdana"/>
        </w:rPr>
        <w:t>P</w:t>
      </w:r>
      <w:r w:rsidR="003F11B3">
        <w:rPr>
          <w:rFonts w:ascii="Verdana" w:hAnsi="Verdana"/>
        </w:rPr>
        <w:t xml:space="preserve">ersons with disabilities and other stakeholders </w:t>
      </w:r>
      <w:r w:rsidR="0077384A">
        <w:rPr>
          <w:rFonts w:ascii="Verdana" w:hAnsi="Verdana"/>
        </w:rPr>
        <w:t xml:space="preserve">must be able to </w:t>
      </w:r>
      <w:r w:rsidR="003F11B3">
        <w:rPr>
          <w:rFonts w:ascii="Verdana" w:hAnsi="Verdana"/>
        </w:rPr>
        <w:t xml:space="preserve">assess the proposals and provide their views. </w:t>
      </w:r>
    </w:p>
    <w:p w14:paraId="0DE698E3" w14:textId="77777777" w:rsidR="003E15D1" w:rsidRPr="003E15D1" w:rsidRDefault="003E15D1" w:rsidP="00A361AB">
      <w:pPr>
        <w:pStyle w:val="ListParagraph"/>
        <w:spacing w:line="360" w:lineRule="auto"/>
        <w:rPr>
          <w:rFonts w:ascii="Verdana" w:hAnsi="Verdana"/>
        </w:rPr>
      </w:pPr>
    </w:p>
    <w:p w14:paraId="4249EA00" w14:textId="5EE41B88" w:rsidR="00C57A6D" w:rsidRDefault="00C57A6D" w:rsidP="006464FC">
      <w:pPr>
        <w:pStyle w:val="ListParagraph"/>
        <w:numPr>
          <w:ilvl w:val="1"/>
          <w:numId w:val="28"/>
        </w:numPr>
        <w:spacing w:line="360" w:lineRule="auto"/>
        <w:ind w:left="709"/>
        <w:rPr>
          <w:rFonts w:ascii="Verdana" w:hAnsi="Verdana"/>
          <w:b/>
          <w:bCs/>
        </w:rPr>
      </w:pPr>
      <w:r w:rsidRPr="00DD74F2">
        <w:rPr>
          <w:rFonts w:ascii="Verdana" w:hAnsi="Verdana"/>
          <w:b/>
          <w:bCs/>
        </w:rPr>
        <w:t xml:space="preserve">The NIHRC recommends that the Department for Work and Pensions </w:t>
      </w:r>
      <w:r w:rsidR="00DD74F2" w:rsidRPr="00DD74F2">
        <w:rPr>
          <w:rFonts w:ascii="Verdana" w:hAnsi="Verdana"/>
          <w:b/>
          <w:bCs/>
        </w:rPr>
        <w:t>takes immediate steps to set out exactly what it means by introducing sanctions as a last resort and ensures that disabled people and their representative organisations are effectively consulted on these proposals.</w:t>
      </w:r>
      <w:r w:rsidRPr="00DD74F2">
        <w:rPr>
          <w:rFonts w:ascii="Verdana" w:hAnsi="Verdana"/>
          <w:b/>
          <w:bCs/>
        </w:rPr>
        <w:t xml:space="preserve"> </w:t>
      </w:r>
    </w:p>
    <w:p w14:paraId="7AD605A5" w14:textId="77777777" w:rsidR="003B4225" w:rsidRPr="003B4225" w:rsidRDefault="003B4225" w:rsidP="003B4225">
      <w:pPr>
        <w:pStyle w:val="ListParagraph"/>
        <w:rPr>
          <w:rFonts w:ascii="Verdana" w:hAnsi="Verdana"/>
          <w:b/>
          <w:bCs/>
        </w:rPr>
      </w:pPr>
    </w:p>
    <w:p w14:paraId="7FC78ADD" w14:textId="77777777" w:rsidR="00AD0F76" w:rsidRPr="00AD0F76" w:rsidRDefault="00AD0F76" w:rsidP="00AD0F76">
      <w:pPr>
        <w:pStyle w:val="ListParagraph"/>
        <w:rPr>
          <w:rFonts w:ascii="Verdana" w:hAnsi="Verdana"/>
        </w:rPr>
      </w:pPr>
    </w:p>
    <w:p w14:paraId="41D6E500" w14:textId="77777777" w:rsidR="004551EE" w:rsidRDefault="004551EE" w:rsidP="004551EE">
      <w:pPr>
        <w:pStyle w:val="ListParagraph"/>
        <w:ind w:left="709"/>
        <w:rPr>
          <w:rFonts w:ascii="Verdana" w:hAnsi="Verdana"/>
        </w:rPr>
      </w:pPr>
    </w:p>
    <w:p w14:paraId="11226BB8" w14:textId="77777777" w:rsidR="00025903" w:rsidRPr="00025903" w:rsidRDefault="00025903" w:rsidP="00025903">
      <w:pPr>
        <w:pStyle w:val="ListParagraph"/>
        <w:rPr>
          <w:rFonts w:ascii="Verdana" w:hAnsi="Verdana"/>
        </w:rPr>
      </w:pPr>
    </w:p>
    <w:p w14:paraId="4A8A3EBC" w14:textId="77777777" w:rsidR="00431368" w:rsidRPr="00431368" w:rsidRDefault="00431368" w:rsidP="00431368">
      <w:pPr>
        <w:pStyle w:val="ListParagraph"/>
        <w:rPr>
          <w:rFonts w:ascii="Verdana" w:hAnsi="Verdana"/>
        </w:rPr>
      </w:pPr>
    </w:p>
    <w:p w14:paraId="30970842" w14:textId="77777777" w:rsidR="00917ADE" w:rsidRPr="00F96B0B" w:rsidRDefault="00917ADE" w:rsidP="00F96B0B">
      <w:pPr>
        <w:ind w:left="-11"/>
        <w:rPr>
          <w:rFonts w:ascii="Verdana" w:hAnsi="Verdana"/>
        </w:rPr>
      </w:pPr>
    </w:p>
    <w:p w14:paraId="250C9B7D" w14:textId="77777777" w:rsidR="00DD6F61" w:rsidRDefault="00DD6F61" w:rsidP="00DD6F61">
      <w:pPr>
        <w:rPr>
          <w:rFonts w:ascii="Verdana" w:hAnsi="Verdana"/>
        </w:rPr>
      </w:pPr>
    </w:p>
    <w:p w14:paraId="2BB26E96" w14:textId="77777777" w:rsidR="00DD6F61" w:rsidRDefault="00DD6F61" w:rsidP="00DD6F61">
      <w:pPr>
        <w:rPr>
          <w:rFonts w:ascii="Verdana" w:hAnsi="Verdana"/>
        </w:rPr>
      </w:pPr>
    </w:p>
    <w:p w14:paraId="4D5A22BB" w14:textId="77777777" w:rsidR="00DD6F61" w:rsidRDefault="00DD6F61" w:rsidP="00DD6F61">
      <w:pPr>
        <w:rPr>
          <w:rFonts w:ascii="Verdana" w:hAnsi="Verdana"/>
        </w:rPr>
      </w:pPr>
    </w:p>
    <w:p w14:paraId="2D194854" w14:textId="77777777" w:rsidR="00DD6F61" w:rsidRDefault="00DD6F61" w:rsidP="00DD6F61">
      <w:pPr>
        <w:rPr>
          <w:rFonts w:ascii="Verdana" w:hAnsi="Verdana"/>
        </w:rPr>
      </w:pPr>
    </w:p>
    <w:p w14:paraId="052D6A68" w14:textId="77777777" w:rsidR="00DD6F61" w:rsidRDefault="00DD6F61" w:rsidP="00DD6F61">
      <w:pPr>
        <w:rPr>
          <w:rFonts w:ascii="Verdana" w:hAnsi="Verdana"/>
        </w:rPr>
      </w:pPr>
    </w:p>
    <w:p w14:paraId="556DF107" w14:textId="77777777" w:rsidR="00DD6F61" w:rsidRDefault="00DD6F61" w:rsidP="00DD6F61">
      <w:pPr>
        <w:rPr>
          <w:rFonts w:ascii="Verdana" w:hAnsi="Verdana"/>
        </w:rPr>
      </w:pPr>
    </w:p>
    <w:p w14:paraId="0C6E8992" w14:textId="77777777" w:rsidR="00DD6F61" w:rsidRDefault="00DD6F61" w:rsidP="00DD6F61">
      <w:pPr>
        <w:rPr>
          <w:rFonts w:ascii="Verdana" w:hAnsi="Verdana"/>
        </w:rPr>
      </w:pPr>
    </w:p>
    <w:p w14:paraId="2DF2EA7D" w14:textId="77777777" w:rsidR="00DD6F61" w:rsidRDefault="00DD6F61" w:rsidP="00DD6F61">
      <w:pPr>
        <w:rPr>
          <w:rFonts w:ascii="Verdana" w:hAnsi="Verdana"/>
        </w:rPr>
      </w:pPr>
    </w:p>
    <w:p w14:paraId="239421AB" w14:textId="77777777" w:rsidR="00DD6F61" w:rsidRDefault="00DD6F61" w:rsidP="00DD6F61">
      <w:pPr>
        <w:rPr>
          <w:rFonts w:ascii="Verdana" w:hAnsi="Verdana"/>
        </w:rPr>
      </w:pPr>
    </w:p>
    <w:p w14:paraId="170C2137" w14:textId="77777777" w:rsidR="00DD6F61" w:rsidRDefault="00DD6F61" w:rsidP="00DD6F61">
      <w:pPr>
        <w:rPr>
          <w:rFonts w:ascii="Verdana" w:hAnsi="Verdana"/>
        </w:rPr>
      </w:pPr>
    </w:p>
    <w:p w14:paraId="3DACDEC6" w14:textId="77777777" w:rsidR="00DD6F61" w:rsidRDefault="00DD6F61" w:rsidP="00DD6F61">
      <w:pPr>
        <w:rPr>
          <w:rFonts w:ascii="Verdana" w:hAnsi="Verdana"/>
        </w:rPr>
      </w:pPr>
    </w:p>
    <w:p w14:paraId="77B5F957" w14:textId="77777777" w:rsidR="00DD6F61" w:rsidRDefault="00DD6F61" w:rsidP="00DD6F61">
      <w:pPr>
        <w:rPr>
          <w:rFonts w:ascii="Verdana" w:hAnsi="Verdana"/>
        </w:rPr>
      </w:pPr>
    </w:p>
    <w:p w14:paraId="6C2E79A7" w14:textId="77777777" w:rsidR="00DD6F61" w:rsidRDefault="00DD6F61" w:rsidP="00DD6F61">
      <w:pPr>
        <w:rPr>
          <w:rFonts w:ascii="Verdana" w:hAnsi="Verdana"/>
        </w:rPr>
      </w:pPr>
    </w:p>
    <w:p w14:paraId="23CE4A86" w14:textId="77777777" w:rsidR="00DD6F61" w:rsidRDefault="00DD6F61" w:rsidP="00DD6F61">
      <w:pPr>
        <w:rPr>
          <w:rFonts w:ascii="Verdana" w:hAnsi="Verdana"/>
        </w:rPr>
      </w:pPr>
    </w:p>
    <w:p w14:paraId="736530C7" w14:textId="77777777" w:rsidR="00DD6F61" w:rsidRDefault="00DD6F61" w:rsidP="00DD6F61">
      <w:pPr>
        <w:rPr>
          <w:rFonts w:ascii="Verdana" w:hAnsi="Verdana"/>
        </w:rPr>
      </w:pPr>
    </w:p>
    <w:p w14:paraId="10CABCA0" w14:textId="77777777" w:rsidR="00DD6F61" w:rsidRPr="00DD6F61" w:rsidRDefault="00DD6F61" w:rsidP="00DD6F61">
      <w:pPr>
        <w:rPr>
          <w:rFonts w:ascii="Verdana" w:hAnsi="Verdana"/>
        </w:rPr>
      </w:pPr>
    </w:p>
    <w:p w14:paraId="0CA637C3" w14:textId="77777777" w:rsidR="004672AC" w:rsidRPr="00331C61" w:rsidRDefault="004672AC" w:rsidP="00331C61">
      <w:pPr>
        <w:pStyle w:val="BasicParagraph"/>
        <w:suppressAutoHyphens/>
        <w:spacing w:line="240" w:lineRule="auto"/>
        <w:rPr>
          <w:rFonts w:ascii="Verdana" w:hAnsi="Verdana" w:cs="Arial"/>
          <w:color w:val="232120"/>
          <w:sz w:val="20"/>
          <w:szCs w:val="20"/>
        </w:rPr>
      </w:pPr>
    </w:p>
    <w:p w14:paraId="5FB5F780" w14:textId="77777777" w:rsidR="003B7D0E" w:rsidRPr="00331C61" w:rsidRDefault="003B7D0E" w:rsidP="00331C61">
      <w:pPr>
        <w:pStyle w:val="BasicParagraph"/>
        <w:suppressAutoHyphens/>
        <w:rPr>
          <w:rFonts w:ascii="Verdana" w:hAnsi="Verdana" w:cs="Arial"/>
          <w:color w:val="232120"/>
          <w:sz w:val="20"/>
          <w:szCs w:val="20"/>
        </w:rPr>
      </w:pPr>
    </w:p>
    <w:p w14:paraId="62E4C429" w14:textId="77777777" w:rsidR="003B7D0E" w:rsidRPr="00331C61" w:rsidRDefault="003B7D0E" w:rsidP="00331C61">
      <w:pPr>
        <w:pStyle w:val="BasicParagraph"/>
        <w:suppressAutoHyphens/>
        <w:rPr>
          <w:rFonts w:ascii="Verdana" w:hAnsi="Verdana" w:cs="Arial"/>
          <w:color w:val="232120"/>
          <w:sz w:val="20"/>
          <w:szCs w:val="20"/>
        </w:rPr>
      </w:pPr>
    </w:p>
    <w:p w14:paraId="7D4650DA" w14:textId="77777777" w:rsidR="003B7D0E" w:rsidRDefault="003B7D0E" w:rsidP="003B7D0E">
      <w:pPr>
        <w:pStyle w:val="BasicParagraph"/>
        <w:suppressAutoHyphens/>
        <w:jc w:val="center"/>
        <w:rPr>
          <w:rFonts w:ascii="Verdana" w:hAnsi="Verdana" w:cs="Arial"/>
          <w:color w:val="3C3C3B"/>
          <w:sz w:val="20"/>
          <w:szCs w:val="20"/>
        </w:rPr>
      </w:pPr>
    </w:p>
    <w:p w14:paraId="0D98B3FC" w14:textId="77777777" w:rsidR="003B7D0E" w:rsidRDefault="003B7D0E" w:rsidP="003B7D0E">
      <w:pPr>
        <w:pStyle w:val="BasicParagraph"/>
        <w:suppressAutoHyphens/>
        <w:jc w:val="center"/>
        <w:rPr>
          <w:rFonts w:ascii="Verdana" w:hAnsi="Verdana" w:cs="Arial"/>
          <w:color w:val="3C3C3B"/>
          <w:sz w:val="20"/>
          <w:szCs w:val="20"/>
        </w:rPr>
      </w:pPr>
    </w:p>
    <w:p w14:paraId="363D7688" w14:textId="77777777" w:rsidR="003B7D0E" w:rsidRDefault="003B7D0E" w:rsidP="003B7D0E">
      <w:pPr>
        <w:pStyle w:val="BasicParagraph"/>
        <w:suppressAutoHyphens/>
        <w:jc w:val="center"/>
        <w:rPr>
          <w:rFonts w:ascii="Verdana" w:hAnsi="Verdana" w:cs="Arial"/>
          <w:color w:val="3C3C3B"/>
          <w:sz w:val="20"/>
          <w:szCs w:val="20"/>
        </w:rPr>
      </w:pPr>
    </w:p>
    <w:p w14:paraId="6EF90AC8" w14:textId="77777777" w:rsidR="003B7D0E" w:rsidRDefault="003B7D0E" w:rsidP="003B7D0E">
      <w:pPr>
        <w:pStyle w:val="BasicParagraph"/>
        <w:suppressAutoHyphens/>
        <w:jc w:val="center"/>
        <w:rPr>
          <w:rFonts w:ascii="Verdana" w:hAnsi="Verdana" w:cs="Arial"/>
          <w:color w:val="3C3C3B"/>
          <w:sz w:val="20"/>
          <w:szCs w:val="20"/>
        </w:rPr>
      </w:pPr>
    </w:p>
    <w:p w14:paraId="7460A8F4" w14:textId="77777777" w:rsidR="003B7D0E" w:rsidRDefault="003B7D0E" w:rsidP="003B7D0E">
      <w:pPr>
        <w:pStyle w:val="BasicParagraph"/>
        <w:suppressAutoHyphens/>
        <w:jc w:val="center"/>
        <w:rPr>
          <w:rFonts w:ascii="Verdana" w:hAnsi="Verdana" w:cs="Arial"/>
          <w:color w:val="3C3C3B"/>
          <w:sz w:val="20"/>
          <w:szCs w:val="20"/>
        </w:rPr>
      </w:pPr>
    </w:p>
    <w:p w14:paraId="130C959C" w14:textId="71907593" w:rsidR="004672AC" w:rsidRPr="00331C61" w:rsidRDefault="00705833" w:rsidP="00C57DCB">
      <w:pPr>
        <w:pStyle w:val="BasicParagraph"/>
        <w:suppressAutoHyphens/>
        <w:jc w:val="center"/>
        <w:rPr>
          <w:rFonts w:ascii="Verdana" w:hAnsi="Verdana" w:cs="Arial"/>
          <w:b/>
          <w:color w:val="232120"/>
          <w:sz w:val="30"/>
          <w:szCs w:val="30"/>
        </w:rPr>
      </w:pPr>
      <w:r w:rsidRPr="00331C61">
        <w:rPr>
          <w:rFonts w:ascii="Verdana" w:hAnsi="Verdana" w:cs="Arial"/>
          <w:b/>
          <w:bCs/>
          <w:color w:val="77328A"/>
          <w:sz w:val="36"/>
          <w:szCs w:val="36"/>
        </w:rPr>
        <w:t>Co</w:t>
      </w:r>
      <w:r w:rsidR="0096459E">
        <w:rPr>
          <w:rFonts w:ascii="Verdana" w:hAnsi="Verdana" w:cs="Arial"/>
          <w:b/>
          <w:bCs/>
          <w:color w:val="77328A"/>
          <w:sz w:val="36"/>
          <w:szCs w:val="36"/>
        </w:rPr>
        <w:t>ntact us</w:t>
      </w:r>
      <w:r w:rsidR="00C57DCB">
        <w:rPr>
          <w:rFonts w:ascii="Verdana" w:hAnsi="Verdana" w:cs="Arial"/>
          <w:b/>
          <w:bCs/>
          <w:color w:val="77328A"/>
          <w:sz w:val="36"/>
          <w:szCs w:val="36"/>
        </w:rPr>
        <w:t xml:space="preserve">: </w:t>
      </w:r>
      <w:hyperlink r:id="rId12" w:history="1">
        <w:r w:rsidR="00C57DCB" w:rsidRPr="00007DC0">
          <w:rPr>
            <w:rStyle w:val="Hyperlink"/>
            <w:rFonts w:ascii="Verdana" w:hAnsi="Verdana" w:cs="Arial"/>
            <w:b/>
            <w:bCs/>
            <w:sz w:val="36"/>
            <w:szCs w:val="36"/>
          </w:rPr>
          <w:t>Colin.Caughey@NIHRC.org</w:t>
        </w:r>
      </w:hyperlink>
      <w:r w:rsidR="00C57DCB">
        <w:rPr>
          <w:rFonts w:ascii="Verdana" w:hAnsi="Verdana" w:cs="Arial"/>
          <w:b/>
          <w:bCs/>
          <w:color w:val="77328A"/>
          <w:sz w:val="36"/>
          <w:szCs w:val="36"/>
        </w:rPr>
        <w:t xml:space="preserve"> </w:t>
      </w:r>
    </w:p>
    <w:p w14:paraId="64D43E70" w14:textId="77777777" w:rsidR="00331C61" w:rsidRPr="00331C61" w:rsidRDefault="00331C61" w:rsidP="003B7D0E">
      <w:pPr>
        <w:spacing w:line="288" w:lineRule="auto"/>
        <w:jc w:val="center"/>
        <w:rPr>
          <w:rFonts w:ascii="Verdana" w:hAnsi="Verdana" w:cs="Arial"/>
          <w:b/>
          <w:color w:val="232120"/>
          <w:sz w:val="30"/>
          <w:szCs w:val="30"/>
        </w:rPr>
      </w:pPr>
    </w:p>
    <w:p w14:paraId="3D6C3471" w14:textId="77777777" w:rsidR="00331C61" w:rsidRPr="00331C61" w:rsidRDefault="00331C61" w:rsidP="003B7D0E">
      <w:pPr>
        <w:spacing w:line="288" w:lineRule="auto"/>
        <w:jc w:val="center"/>
        <w:rPr>
          <w:rFonts w:ascii="Verdana" w:hAnsi="Verdana" w:cs="Arial"/>
          <w:b/>
          <w:color w:val="232120"/>
          <w:sz w:val="30"/>
          <w:szCs w:val="30"/>
        </w:rPr>
      </w:pPr>
    </w:p>
    <w:p w14:paraId="7B24A026" w14:textId="77777777" w:rsidR="00331C61" w:rsidRPr="00331C61" w:rsidRDefault="00331C61" w:rsidP="00331C61">
      <w:pPr>
        <w:spacing w:line="288" w:lineRule="auto"/>
        <w:jc w:val="center"/>
        <w:rPr>
          <w:rFonts w:ascii="Verdana" w:hAnsi="Verdana" w:cs="Arial"/>
          <w:color w:val="232120"/>
          <w:sz w:val="28"/>
          <w:szCs w:val="28"/>
        </w:rPr>
      </w:pPr>
      <w:hyperlink r:id="rId13" w:history="1">
        <w:r w:rsidRPr="00331C61">
          <w:rPr>
            <w:rStyle w:val="Hyperlink"/>
            <w:rFonts w:ascii="Verdana" w:hAnsi="Verdana" w:cs="Arial"/>
            <w:color w:val="232120"/>
            <w:sz w:val="28"/>
            <w:szCs w:val="28"/>
            <w:u w:val="none"/>
            <w:lang w:val="en-US"/>
          </w:rPr>
          <w:t>www.nihrc.org</w:t>
        </w:r>
      </w:hyperlink>
      <w:r w:rsidRPr="00331C61">
        <w:rPr>
          <w:rFonts w:ascii="Verdana" w:hAnsi="Verdana" w:cs="Arial"/>
          <w:color w:val="232120"/>
          <w:sz w:val="28"/>
          <w:szCs w:val="28"/>
          <w:lang w:val="en-US"/>
        </w:rPr>
        <w:t xml:space="preserve">  |  </w:t>
      </w:r>
      <w:hyperlink r:id="rId14" w:history="1">
        <w:r w:rsidRPr="00331C61">
          <w:rPr>
            <w:rStyle w:val="Hyperlink"/>
            <w:rFonts w:ascii="Verdana" w:hAnsi="Verdana" w:cs="Arial"/>
            <w:color w:val="232120"/>
            <w:sz w:val="28"/>
            <w:szCs w:val="28"/>
            <w:u w:val="none"/>
            <w:lang w:val="en-US"/>
          </w:rPr>
          <w:t>info@nihrc.org</w:t>
        </w:r>
      </w:hyperlink>
      <w:r w:rsidRPr="00331C61">
        <w:rPr>
          <w:rFonts w:ascii="Verdana" w:hAnsi="Verdana" w:cs="Arial"/>
          <w:color w:val="232120"/>
          <w:sz w:val="28"/>
          <w:szCs w:val="28"/>
          <w:lang w:val="en-US"/>
        </w:rPr>
        <w:t xml:space="preserve">  |  +44 (0)28 9024 3987</w:t>
      </w:r>
    </w:p>
    <w:p w14:paraId="4720CE7C" w14:textId="77777777" w:rsidR="00F56C78" w:rsidRPr="00331C61" w:rsidRDefault="00D16532" w:rsidP="00331C61">
      <w:pPr>
        <w:spacing w:line="288" w:lineRule="auto"/>
        <w:jc w:val="center"/>
        <w:rPr>
          <w:rFonts w:ascii="Verdana" w:hAnsi="Verdana" w:cs="Arial"/>
          <w:color w:val="232120"/>
          <w:sz w:val="28"/>
          <w:szCs w:val="28"/>
        </w:rPr>
      </w:pPr>
      <w:r>
        <w:rPr>
          <w:rFonts w:ascii="Verdana" w:hAnsi="Verdana" w:cs="Arial"/>
          <w:color w:val="232120"/>
          <w:sz w:val="28"/>
          <w:szCs w:val="28"/>
          <w:lang w:val="en-US"/>
        </w:rPr>
        <w:t>4</w:t>
      </w:r>
      <w:r w:rsidRPr="00D16532">
        <w:rPr>
          <w:rFonts w:ascii="Verdana" w:hAnsi="Verdana" w:cs="Arial"/>
          <w:color w:val="232120"/>
          <w:sz w:val="28"/>
          <w:szCs w:val="28"/>
          <w:vertAlign w:val="superscript"/>
          <w:lang w:val="en-US"/>
        </w:rPr>
        <w:t>th</w:t>
      </w:r>
      <w:r>
        <w:rPr>
          <w:rFonts w:ascii="Verdana" w:hAnsi="Verdana" w:cs="Arial"/>
          <w:color w:val="232120"/>
          <w:sz w:val="28"/>
          <w:szCs w:val="28"/>
          <w:lang w:val="en-US"/>
        </w:rPr>
        <w:t xml:space="preserve"> Floor, Alfred House, 19-21 Alfred Street, Belfast, BT2 8ED</w:t>
      </w:r>
    </w:p>
    <w:p w14:paraId="509E4E7A" w14:textId="77777777" w:rsidR="00F56C78" w:rsidRPr="00331C61" w:rsidRDefault="00F56C78" w:rsidP="003B7D0E">
      <w:pPr>
        <w:spacing w:line="288" w:lineRule="auto"/>
        <w:jc w:val="center"/>
        <w:rPr>
          <w:rFonts w:ascii="Verdana" w:hAnsi="Verdana" w:cs="Arial"/>
          <w:b/>
          <w:color w:val="232120"/>
          <w:sz w:val="28"/>
          <w:szCs w:val="28"/>
        </w:rPr>
      </w:pPr>
    </w:p>
    <w:p w14:paraId="64357995" w14:textId="77777777" w:rsidR="00F56C78" w:rsidRPr="00331C61" w:rsidRDefault="00F56C78" w:rsidP="003B7D0E">
      <w:pPr>
        <w:spacing w:line="288" w:lineRule="auto"/>
        <w:jc w:val="center"/>
        <w:rPr>
          <w:rFonts w:ascii="Verdana" w:hAnsi="Verdana" w:cs="Arial"/>
          <w:color w:val="232120"/>
          <w:sz w:val="20"/>
          <w:szCs w:val="20"/>
        </w:rPr>
      </w:pPr>
    </w:p>
    <w:p w14:paraId="72862C1B" w14:textId="77777777" w:rsidR="00705833" w:rsidRPr="00331C61" w:rsidRDefault="00F56C78" w:rsidP="003B7D0E">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6DAB86ED" wp14:editId="1829EE4E">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705833" w:rsidRPr="00331C61" w:rsidSect="003B7D0E">
      <w:footerReference w:type="default" r:id="rId16"/>
      <w:footerReference w:type="first" r:id="rId17"/>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D6176" w14:textId="77777777" w:rsidR="00DB65DA" w:rsidRDefault="00DB65DA" w:rsidP="00962B2B">
      <w:r>
        <w:separator/>
      </w:r>
    </w:p>
  </w:endnote>
  <w:endnote w:type="continuationSeparator" w:id="0">
    <w:p w14:paraId="751238DA" w14:textId="77777777" w:rsidR="00DB65DA" w:rsidRDefault="00DB65DA" w:rsidP="00962B2B">
      <w:r>
        <w:continuationSeparator/>
      </w:r>
    </w:p>
  </w:endnote>
  <w:endnote w:type="continuationNotice" w:id="1">
    <w:p w14:paraId="68F4AF36" w14:textId="77777777" w:rsidR="00DB65DA" w:rsidRDefault="00DB65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AB64" w14:textId="77777777" w:rsidR="00D2770F" w:rsidRDefault="00D2770F" w:rsidP="00656ECD">
    <w:pPr>
      <w:pStyle w:val="Footer"/>
      <w:jc w:val="right"/>
      <w:rPr>
        <w:rStyle w:val="PageNumber"/>
        <w:rFonts w:ascii="Arial" w:hAnsi="Arial" w:cs="Arial"/>
        <w:b/>
        <w:sz w:val="16"/>
        <w:szCs w:val="16"/>
      </w:rPr>
    </w:pPr>
  </w:p>
  <w:p w14:paraId="2658F578" w14:textId="77777777" w:rsidR="00D2770F" w:rsidRPr="007569C1" w:rsidRDefault="00D2770F" w:rsidP="00656ECD">
    <w:pPr>
      <w:pStyle w:val="Footer"/>
      <w:jc w:val="right"/>
      <w:rPr>
        <w:rFonts w:ascii="Arial" w:hAnsi="Arial" w:cs="Arial"/>
        <w:b/>
        <w:color w:val="77328A"/>
        <w:sz w:val="16"/>
        <w:szCs w:val="16"/>
      </w:rPr>
    </w:pPr>
    <w:r w:rsidRPr="007569C1">
      <w:rPr>
        <w:rStyle w:val="PageNumber"/>
        <w:rFonts w:ascii="Arial" w:hAnsi="Arial" w:cs="Arial"/>
        <w:b/>
        <w:color w:val="77328A"/>
        <w:sz w:val="16"/>
        <w:szCs w:val="16"/>
      </w:rPr>
      <w:fldChar w:fldCharType="begin"/>
    </w:r>
    <w:r w:rsidRPr="007569C1">
      <w:rPr>
        <w:rStyle w:val="PageNumber"/>
        <w:rFonts w:ascii="Arial" w:hAnsi="Arial" w:cs="Arial"/>
        <w:b/>
        <w:color w:val="77328A"/>
        <w:sz w:val="16"/>
        <w:szCs w:val="16"/>
      </w:rPr>
      <w:instrText xml:space="preserve"> PAGE </w:instrText>
    </w:r>
    <w:r w:rsidRPr="007569C1">
      <w:rPr>
        <w:rStyle w:val="PageNumber"/>
        <w:rFonts w:ascii="Arial" w:hAnsi="Arial" w:cs="Arial"/>
        <w:b/>
        <w:color w:val="77328A"/>
        <w:sz w:val="16"/>
        <w:szCs w:val="16"/>
      </w:rPr>
      <w:fldChar w:fldCharType="separate"/>
    </w:r>
    <w:r w:rsidR="00801600">
      <w:rPr>
        <w:rStyle w:val="PageNumber"/>
        <w:rFonts w:ascii="Arial" w:hAnsi="Arial" w:cs="Arial"/>
        <w:b/>
        <w:noProof/>
        <w:color w:val="77328A"/>
        <w:sz w:val="16"/>
        <w:szCs w:val="16"/>
      </w:rPr>
      <w:t>2</w:t>
    </w:r>
    <w:r w:rsidRPr="007569C1">
      <w:rPr>
        <w:rStyle w:val="PageNumber"/>
        <w:rFonts w:ascii="Arial" w:hAnsi="Arial" w:cs="Arial"/>
        <w:b/>
        <w:color w:val="77328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7233" w14:textId="77777777" w:rsidR="00D2770F" w:rsidRDefault="00D2770F" w:rsidP="00046705">
    <w:pPr>
      <w:pStyle w:val="Footer"/>
      <w:jc w:val="right"/>
      <w:rPr>
        <w:rStyle w:val="PageNumber"/>
        <w:rFonts w:ascii="Arial" w:hAnsi="Arial" w:cs="Arial"/>
        <w:b/>
        <w:sz w:val="16"/>
        <w:szCs w:val="16"/>
      </w:rPr>
    </w:pPr>
  </w:p>
  <w:p w14:paraId="3915DE40" w14:textId="77777777" w:rsidR="00D2770F" w:rsidRPr="00D12EF8" w:rsidRDefault="00D2770F"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CBBEE" w14:textId="77777777" w:rsidR="00DB65DA" w:rsidRDefault="00DB65DA" w:rsidP="00B96D34">
      <w:r>
        <w:continuationSeparator/>
      </w:r>
    </w:p>
    <w:p w14:paraId="50125780" w14:textId="77777777" w:rsidR="00DB65DA" w:rsidRPr="00B96D34" w:rsidRDefault="00DB65DA" w:rsidP="00B96D34">
      <w:pPr>
        <w:pStyle w:val="Footer"/>
      </w:pPr>
    </w:p>
  </w:footnote>
  <w:footnote w:type="continuationSeparator" w:id="0">
    <w:p w14:paraId="0AD877E6" w14:textId="77777777" w:rsidR="00DB65DA" w:rsidRDefault="00DB65DA" w:rsidP="00962B2B">
      <w:r>
        <w:continuationSeparator/>
      </w:r>
    </w:p>
  </w:footnote>
  <w:footnote w:type="continuationNotice" w:id="1">
    <w:p w14:paraId="18D04DAB" w14:textId="77777777" w:rsidR="00DB65DA" w:rsidRDefault="00DB65DA"/>
  </w:footnote>
  <w:footnote w:id="2">
    <w:p w14:paraId="5987EEE1" w14:textId="6D5D1B2C" w:rsidR="005B3AE3" w:rsidRDefault="005B3AE3" w:rsidP="00F367B3">
      <w:pPr>
        <w:pStyle w:val="NIHRCFootnotes"/>
      </w:pPr>
      <w:r>
        <w:rPr>
          <w:rStyle w:val="FootnoteReference"/>
        </w:rPr>
        <w:footnoteRef/>
      </w:r>
      <w:r>
        <w:t xml:space="preserve"> </w:t>
      </w:r>
      <w:r w:rsidR="00F367B3" w:rsidRPr="00F367B3">
        <w:t>The Windsor Framework was formerly known as the Protocol on Ireland/Northern Ireland to the UK-EU Withdrawal Agreement and all references to the Protocol in this document have been updated to reflect this change. (see 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p>
  </w:footnote>
  <w:footnote w:id="3">
    <w:p w14:paraId="74BB10F2" w14:textId="2BA548DB" w:rsidR="004663CE" w:rsidRDefault="004663CE" w:rsidP="00132404">
      <w:pPr>
        <w:pStyle w:val="NIHRCFootnotes"/>
      </w:pPr>
      <w:r>
        <w:rPr>
          <w:rStyle w:val="FootnoteReference"/>
        </w:rPr>
        <w:footnoteRef/>
      </w:r>
      <w:r>
        <w:t xml:space="preserve"> </w:t>
      </w:r>
      <w:r w:rsidR="00132404" w:rsidRPr="00132404">
        <w:t>Ratified by the UK 1951. Further guidance is also taken from the body of case law from the European Court of Human Rights (ECtHR).</w:t>
      </w:r>
    </w:p>
  </w:footnote>
  <w:footnote w:id="4">
    <w:p w14:paraId="4AA68CD1" w14:textId="3C0F639D" w:rsidR="001260B2" w:rsidRDefault="001260B2" w:rsidP="001260B2">
      <w:pPr>
        <w:pStyle w:val="NIHRCFootnotes"/>
      </w:pPr>
      <w:r>
        <w:rPr>
          <w:rStyle w:val="FootnoteReference"/>
        </w:rPr>
        <w:footnoteRef/>
      </w:r>
      <w:r>
        <w:t xml:space="preserve"> Ratified by the UK in 1976.</w:t>
      </w:r>
    </w:p>
  </w:footnote>
  <w:footnote w:id="5">
    <w:p w14:paraId="62E7A883" w14:textId="64E335A8" w:rsidR="003D5FD1" w:rsidRDefault="003D5FD1" w:rsidP="00290653">
      <w:pPr>
        <w:pStyle w:val="NIHRCFootnotes"/>
      </w:pPr>
      <w:r>
        <w:rPr>
          <w:rStyle w:val="FootnoteReference"/>
        </w:rPr>
        <w:footnoteRef/>
      </w:r>
      <w:r>
        <w:t xml:space="preserve"> </w:t>
      </w:r>
      <w:r w:rsidR="00290653" w:rsidRPr="00290653">
        <w:t>Ratified by the UK in 1976</w:t>
      </w:r>
    </w:p>
  </w:footnote>
  <w:footnote w:id="6">
    <w:p w14:paraId="77F55ABF" w14:textId="07C64230" w:rsidR="00290653" w:rsidRDefault="00290653" w:rsidP="00752BAB">
      <w:pPr>
        <w:pStyle w:val="NIHRCFootnotes"/>
      </w:pPr>
      <w:r>
        <w:rPr>
          <w:rStyle w:val="FootnoteReference"/>
        </w:rPr>
        <w:footnoteRef/>
      </w:r>
      <w:r>
        <w:t xml:space="preserve"> </w:t>
      </w:r>
      <w:r w:rsidRPr="00290653">
        <w:t>Ratified by the UK in 1969.</w:t>
      </w:r>
    </w:p>
  </w:footnote>
  <w:footnote w:id="7">
    <w:p w14:paraId="2CB7A5D9" w14:textId="5203959D" w:rsidR="00290653" w:rsidRDefault="00290653" w:rsidP="00752BAB">
      <w:pPr>
        <w:pStyle w:val="NIHRCFootnotes"/>
      </w:pPr>
      <w:r>
        <w:rPr>
          <w:rStyle w:val="FootnoteReference"/>
        </w:rPr>
        <w:footnoteRef/>
      </w:r>
      <w:r>
        <w:t xml:space="preserve"> </w:t>
      </w:r>
      <w:r w:rsidR="00752BAB" w:rsidRPr="00752BAB">
        <w:t>Ratified by the UK in 19</w:t>
      </w:r>
      <w:r w:rsidR="00752BAB">
        <w:t>86</w:t>
      </w:r>
      <w:r w:rsidR="00752BAB" w:rsidRPr="00752BAB">
        <w:t>.</w:t>
      </w:r>
    </w:p>
  </w:footnote>
  <w:footnote w:id="8">
    <w:p w14:paraId="6F4D1641" w14:textId="6E8F9714" w:rsidR="00752BAB" w:rsidRDefault="00752BAB" w:rsidP="00752BAB">
      <w:pPr>
        <w:pStyle w:val="NIHRCFootnotes"/>
      </w:pPr>
      <w:r>
        <w:rPr>
          <w:rStyle w:val="FootnoteReference"/>
        </w:rPr>
        <w:footnoteRef/>
      </w:r>
      <w:r>
        <w:t xml:space="preserve"> </w:t>
      </w:r>
      <w:r w:rsidRPr="00752BAB">
        <w:t>Ratified by the UK 1991</w:t>
      </w:r>
      <w:r>
        <w:t>.</w:t>
      </w:r>
    </w:p>
  </w:footnote>
  <w:footnote w:id="9">
    <w:p w14:paraId="455AF4E2" w14:textId="29E099EB" w:rsidR="00752BAB" w:rsidRDefault="00752BAB" w:rsidP="00752BAB">
      <w:pPr>
        <w:pStyle w:val="NIHRCFootnotes"/>
      </w:pPr>
      <w:r>
        <w:rPr>
          <w:rStyle w:val="FootnoteReference"/>
        </w:rPr>
        <w:footnoteRef/>
      </w:r>
      <w:r>
        <w:t xml:space="preserve"> </w:t>
      </w:r>
      <w:r w:rsidRPr="00752BAB">
        <w:t xml:space="preserve">Ratified by the UK </w:t>
      </w:r>
      <w:r>
        <w:t>2009.</w:t>
      </w:r>
    </w:p>
  </w:footnote>
  <w:footnote w:id="10">
    <w:p w14:paraId="7E14E498" w14:textId="77777777" w:rsidR="006E1AAA" w:rsidRDefault="006E1AAA" w:rsidP="006E1AAA">
      <w:pPr>
        <w:pStyle w:val="NIHRCFootnotes"/>
      </w:pPr>
      <w:r>
        <w:rPr>
          <w:rStyle w:val="FootnoteReference"/>
        </w:rPr>
        <w:footnoteRef/>
      </w:r>
      <w:r>
        <w:t xml:space="preserve"> ‘UN CEDAW Committee, General Recommendation No. 18 on Disabled Women’, 1991.</w:t>
      </w:r>
    </w:p>
  </w:footnote>
  <w:footnote w:id="11">
    <w:p w14:paraId="3187AECF" w14:textId="3E626F19" w:rsidR="00085731" w:rsidRDefault="00085731" w:rsidP="00085731">
      <w:pPr>
        <w:pStyle w:val="NIHRCFootnotes"/>
      </w:pPr>
      <w:r>
        <w:rPr>
          <w:rStyle w:val="FootnoteReference"/>
        </w:rPr>
        <w:footnoteRef/>
      </w:r>
      <w:r>
        <w:t xml:space="preserve"> CCPR/C/21/Rev.1/Add.7, ‘UN Human Rights Committee General Comment No 25 on the Right to Participate in Public Affairs, Voting Rights and the Right of Equal Access to Public Service’, 12 July 1996.</w:t>
      </w:r>
    </w:p>
  </w:footnote>
  <w:footnote w:id="12">
    <w:p w14:paraId="791A673D" w14:textId="77777777" w:rsidR="006E1AAA" w:rsidRDefault="006E1AAA" w:rsidP="006E1AAA">
      <w:pPr>
        <w:pStyle w:val="NIHRCFootnotes"/>
      </w:pPr>
      <w:r>
        <w:rPr>
          <w:rStyle w:val="FootnoteReference"/>
        </w:rPr>
        <w:footnoteRef/>
      </w:r>
      <w:r>
        <w:t xml:space="preserve"> CRC/C/GC/9, ‘UN CRC Committee General Comment No 9 on the Rights of Children with Disabilities’, 27 February 2007.</w:t>
      </w:r>
    </w:p>
  </w:footnote>
  <w:footnote w:id="13">
    <w:p w14:paraId="404F80FD" w14:textId="77777777" w:rsidR="006E1AAA" w:rsidRDefault="006E1AAA" w:rsidP="006E1AAA">
      <w:pPr>
        <w:pStyle w:val="NIHRCFootnotes"/>
      </w:pPr>
      <w:r>
        <w:rPr>
          <w:rStyle w:val="FootnoteReference"/>
        </w:rPr>
        <w:footnoteRef/>
      </w:r>
      <w:r>
        <w:t xml:space="preserve"> E/C.12/GC/19, ‘UN ICESCR Committee General Comment No 19 on the Right to Social Security’, 4 February 2008.</w:t>
      </w:r>
    </w:p>
  </w:footnote>
  <w:footnote w:id="14">
    <w:p w14:paraId="17439B5B" w14:textId="51779FB8" w:rsidR="00085731" w:rsidRDefault="00085731" w:rsidP="00085731">
      <w:pPr>
        <w:pStyle w:val="NIHRCFootnotes"/>
      </w:pPr>
      <w:r>
        <w:rPr>
          <w:rStyle w:val="FootnoteReference"/>
        </w:rPr>
        <w:footnoteRef/>
      </w:r>
      <w:r>
        <w:t xml:space="preserve"> CRC/C/GC/12, ‘UN CRC Committee General Comment No 12 on the Right of the Child to be Heard’, 1 July 2009.</w:t>
      </w:r>
    </w:p>
  </w:footnote>
  <w:footnote w:id="15">
    <w:p w14:paraId="2CC0494F" w14:textId="4C708268" w:rsidR="007C6BE5" w:rsidRDefault="007C6BE5" w:rsidP="007C6BE5">
      <w:pPr>
        <w:pStyle w:val="NIHRCFootnotes"/>
      </w:pPr>
      <w:r>
        <w:rPr>
          <w:rStyle w:val="FootnoteReference"/>
        </w:rPr>
        <w:footnoteRef/>
      </w:r>
      <w:r>
        <w:t xml:space="preserve"> CPRD/C/GC/5, ‘UN CRPD Committee General Comment No 5 on Living Independently and Being Included in the Community’, 27 October 2017.</w:t>
      </w:r>
    </w:p>
  </w:footnote>
  <w:footnote w:id="16">
    <w:p w14:paraId="4E04C3AE" w14:textId="77777777" w:rsidR="007F5B1E" w:rsidRDefault="007F5B1E" w:rsidP="007F5B1E">
      <w:pPr>
        <w:pStyle w:val="NIHRCFootnotes"/>
      </w:pPr>
      <w:r>
        <w:rPr>
          <w:rStyle w:val="FootnoteReference"/>
        </w:rPr>
        <w:footnoteRef/>
      </w:r>
      <w:r>
        <w:t xml:space="preserve"> CRPD/C/15/4, ‘UN CRPD Committee Inquiry Concerning the UK of Great Britain and NI carried out by the Committee Under Article 6 of the Optional Protocol to the Convention’, 24 October 2017.</w:t>
      </w:r>
    </w:p>
  </w:footnote>
  <w:footnote w:id="17">
    <w:p w14:paraId="15F034E1" w14:textId="77777777" w:rsidR="007F5B1E" w:rsidRDefault="007F5B1E" w:rsidP="007F5B1E">
      <w:pPr>
        <w:pStyle w:val="NIHRCFootnotes"/>
      </w:pPr>
      <w:r>
        <w:rPr>
          <w:rStyle w:val="FootnoteReference"/>
        </w:rPr>
        <w:footnoteRef/>
      </w:r>
      <w:r>
        <w:t xml:space="preserve"> CRPD/C/GBR/CO/1, ‘UN CRPD Committee Concluding Observations on the Initial Report of the UK of Great Britain and NI’, 3 October 2017.</w:t>
      </w:r>
    </w:p>
  </w:footnote>
  <w:footnote w:id="18">
    <w:p w14:paraId="2D2C3A2C" w14:textId="110A6F64" w:rsidR="00C906D6" w:rsidRDefault="00C906D6" w:rsidP="00C906D6">
      <w:pPr>
        <w:pStyle w:val="NIHRCFootnotes"/>
      </w:pPr>
      <w:r>
        <w:rPr>
          <w:rStyle w:val="FootnoteReference"/>
        </w:rPr>
        <w:footnoteRef/>
      </w:r>
      <w:r>
        <w:t xml:space="preserve"> </w:t>
      </w:r>
      <w:r w:rsidRPr="00C647C8">
        <w:t>CRPD/C/GC/7, ‘UN CRPD Committee General Comment No 7: Participation of Persons with Disabilities Including Children with Disabilities, Through Their Representative Organisations, In the Implementation and Monitoring of the UN CRPD’, 9 November 2018,</w:t>
      </w:r>
    </w:p>
  </w:footnote>
  <w:footnote w:id="19">
    <w:p w14:paraId="39961506" w14:textId="77777777" w:rsidR="007F5B1E" w:rsidRDefault="007F5B1E" w:rsidP="007F5B1E">
      <w:pPr>
        <w:pStyle w:val="NIHRCFootnotes"/>
      </w:pPr>
      <w:r>
        <w:rPr>
          <w:rStyle w:val="FootnoteReference"/>
        </w:rPr>
        <w:footnoteRef/>
      </w:r>
      <w:r>
        <w:t xml:space="preserve"> A/HRC/41/39/Add.1, ‘Special Rapporteur on Extreme Poverty and Human Rights Visit to the UK of Great Britain and NI’, 23 April 2019.</w:t>
      </w:r>
    </w:p>
  </w:footnote>
  <w:footnote w:id="20">
    <w:p w14:paraId="24B63E69" w14:textId="77777777" w:rsidR="007F5B1E" w:rsidRDefault="007F5B1E" w:rsidP="007F5B1E">
      <w:pPr>
        <w:pStyle w:val="NIHRCFootnotes"/>
      </w:pPr>
      <w:r>
        <w:rPr>
          <w:rStyle w:val="FootnoteReference"/>
        </w:rPr>
        <w:footnoteRef/>
      </w:r>
      <w:r>
        <w:t xml:space="preserve"> CRC/C/GBR/CO/6-7, ‘UN CRC Committee Concluding Observations on the Combined Sixth and Seventh Periodic Reports of the UK of Great Britain and NI’, 22 June 2023.</w:t>
      </w:r>
    </w:p>
  </w:footnote>
  <w:footnote w:id="21">
    <w:p w14:paraId="797357F7" w14:textId="051B3121" w:rsidR="007E2829" w:rsidRDefault="007E2829" w:rsidP="007E2829">
      <w:pPr>
        <w:pStyle w:val="NIHRCFootnotes"/>
      </w:pPr>
      <w:r>
        <w:rPr>
          <w:rStyle w:val="FootnoteReference"/>
        </w:rPr>
        <w:footnoteRef/>
      </w:r>
      <w:r>
        <w:t xml:space="preserve"> CRPD/C/GBR/FUIR/1, ‘UN CRPD Committee Report on Follow-Up to the Inquiry Concerning the UK of Great Britain and NI’, 22 March 2024.</w:t>
      </w:r>
    </w:p>
  </w:footnote>
  <w:footnote w:id="22">
    <w:p w14:paraId="5689C2CE" w14:textId="77777777" w:rsidR="007F5B1E" w:rsidRDefault="007F5B1E" w:rsidP="007F5B1E">
      <w:pPr>
        <w:pStyle w:val="NIHRCFootnotes"/>
      </w:pPr>
      <w:r>
        <w:rPr>
          <w:rStyle w:val="FootnoteReference"/>
        </w:rPr>
        <w:footnoteRef/>
      </w:r>
      <w:r>
        <w:t xml:space="preserve"> CERD/C/GBR/CO/24-26, ‘UN CERD Committee Concluding Observations on the Combined Twenty-Fourth to Twenty-Sixth Periodic Reports of the UK of Great Britain and NI’, 24 September 2024.</w:t>
      </w:r>
    </w:p>
  </w:footnote>
  <w:footnote w:id="23">
    <w:p w14:paraId="6991BA6F" w14:textId="3B3D816D" w:rsidR="00107715" w:rsidRDefault="00107715" w:rsidP="00107715">
      <w:pPr>
        <w:pStyle w:val="NIHRCFootnotes"/>
      </w:pPr>
      <w:r>
        <w:rPr>
          <w:rStyle w:val="FootnoteReference"/>
        </w:rPr>
        <w:footnoteRef/>
      </w:r>
      <w:r>
        <w:t xml:space="preserve"> E/C.12/GBR/CO/7, ‘UN ICESCR Committee Concluding Observations on the Seventh Periodic Report of the UK of Great Britain and NI’, 12 March 2025.</w:t>
      </w:r>
    </w:p>
  </w:footnote>
  <w:footnote w:id="24">
    <w:p w14:paraId="4DEAED03" w14:textId="6B1089D9" w:rsidR="00B41496" w:rsidRDefault="00B41496" w:rsidP="00DD1BB6">
      <w:pPr>
        <w:pStyle w:val="NIHRCFootnotes"/>
      </w:pPr>
      <w:r>
        <w:rPr>
          <w:rStyle w:val="FootnoteReference"/>
        </w:rPr>
        <w:footnoteRef/>
      </w:r>
      <w:r>
        <w:t xml:space="preserve"> </w:t>
      </w:r>
      <w:r w:rsidR="00FE5E2C">
        <w:t xml:space="preserve">Esme Kirk-Wade at </w:t>
      </w:r>
      <w:proofErr w:type="spellStart"/>
      <w:r w:rsidR="00FE5E2C">
        <w:t>al</w:t>
      </w:r>
      <w:proofErr w:type="spellEnd"/>
      <w:r w:rsidR="00DD1BB6">
        <w:t>,</w:t>
      </w:r>
      <w:r w:rsidR="00FE5E2C">
        <w:t xml:space="preserve"> ‘UK Disability Statistics</w:t>
      </w:r>
      <w:r w:rsidR="00DD1BB6">
        <w:t>: Prevalence of Life Experiences’ (</w:t>
      </w:r>
      <w:proofErr w:type="spellStart"/>
      <w:r w:rsidR="00DD1BB6">
        <w:t>HoC</w:t>
      </w:r>
      <w:proofErr w:type="spellEnd"/>
      <w:r w:rsidR="00DD1BB6">
        <w:t xml:space="preserve"> Library, 2024), at 29.</w:t>
      </w:r>
    </w:p>
  </w:footnote>
  <w:footnote w:id="25">
    <w:p w14:paraId="57F19ED1" w14:textId="7ABF11D4" w:rsidR="00F72956" w:rsidRDefault="00F72956" w:rsidP="00376717">
      <w:pPr>
        <w:pStyle w:val="NIHRCFootnotes"/>
      </w:pPr>
      <w:r>
        <w:rPr>
          <w:rStyle w:val="FootnoteReference"/>
        </w:rPr>
        <w:footnoteRef/>
      </w:r>
      <w:r>
        <w:t xml:space="preserve"> </w:t>
      </w:r>
      <w:r w:rsidR="00376717">
        <w:t>Department for Work and Pensions, ‘Spring Statement Health and Disability Benefit Reforms: Equality Analysis’ (DWP, 2025).</w:t>
      </w:r>
    </w:p>
  </w:footnote>
  <w:footnote w:id="26">
    <w:p w14:paraId="0CAD027C" w14:textId="554D7901" w:rsidR="00487654" w:rsidRDefault="00487654" w:rsidP="00616A49">
      <w:pPr>
        <w:pStyle w:val="NIHRCFootnotes"/>
      </w:pPr>
      <w:r>
        <w:rPr>
          <w:rStyle w:val="FootnoteReference"/>
        </w:rPr>
        <w:footnoteRef/>
      </w:r>
      <w:r>
        <w:t xml:space="preserve"> </w:t>
      </w:r>
      <w:r w:rsidR="00616A49">
        <w:t>NI Statistics and Research Agency, ‘Disability Employment Gap in NI 2020’ (NISRA, 2021).</w:t>
      </w:r>
    </w:p>
  </w:footnote>
  <w:footnote w:id="27">
    <w:p w14:paraId="273806A0" w14:textId="1FA16711" w:rsidR="001371C1" w:rsidRDefault="001371C1" w:rsidP="003948EB">
      <w:pPr>
        <w:pStyle w:val="NIHRCFootnotes"/>
      </w:pPr>
      <w:r>
        <w:rPr>
          <w:rStyle w:val="FootnoteReference"/>
        </w:rPr>
        <w:footnoteRef/>
      </w:r>
      <w:r>
        <w:t xml:space="preserve"> </w:t>
      </w:r>
      <w:r w:rsidR="00722FA8">
        <w:t>NI Statistics and Research Agency, ‘Disability Employment Gap in NI 2020</w:t>
      </w:r>
      <w:r w:rsidR="003948EB">
        <w:t>’ (NISRA, 2021).</w:t>
      </w:r>
    </w:p>
  </w:footnote>
  <w:footnote w:id="28">
    <w:p w14:paraId="460B179E" w14:textId="6023E87E" w:rsidR="00593774" w:rsidRDefault="00593774" w:rsidP="00593774">
      <w:pPr>
        <w:pStyle w:val="NIHRCFootnotes"/>
      </w:pPr>
      <w:r>
        <w:rPr>
          <w:rStyle w:val="FootnoteReference"/>
        </w:rPr>
        <w:footnoteRef/>
      </w:r>
      <w:r>
        <w:t xml:space="preserve"> Siobhán O’Neill ‘Overview of Mental Health in NI’ (Mental Health Champion, 2025).</w:t>
      </w:r>
    </w:p>
  </w:footnote>
  <w:footnote w:id="29">
    <w:p w14:paraId="2DEE05F5" w14:textId="2D6A081F" w:rsidR="00846F93" w:rsidRDefault="00846F93" w:rsidP="00593774">
      <w:pPr>
        <w:pStyle w:val="NIHRCFootnotes"/>
      </w:pPr>
      <w:r>
        <w:rPr>
          <w:rStyle w:val="FootnoteReference"/>
        </w:rPr>
        <w:footnoteRef/>
      </w:r>
      <w:r>
        <w:t xml:space="preserve"> </w:t>
      </w:r>
      <w:r w:rsidR="006A3C69" w:rsidRPr="006A3C69">
        <w:t>Raymond Russell and James Bamford, ‘Personal Independence Payment in NI: An Analysis of Personal Development Payment Recipients by Parliamentary Constituency’ (NI Assembly, 2025</w:t>
      </w:r>
      <w:r w:rsidR="00F307CF" w:rsidRPr="006A3C69">
        <w:t>).</w:t>
      </w:r>
      <w:r w:rsidR="00F307CF">
        <w:t xml:space="preserve"> Siobhán</w:t>
      </w:r>
      <w:r w:rsidR="00274E09">
        <w:t xml:space="preserve"> O’Neill</w:t>
      </w:r>
      <w:r w:rsidR="00DF3538">
        <w:t xml:space="preserve"> ‘Overview of Mental Health in NI’ (Mental Health Cham</w:t>
      </w:r>
      <w:r w:rsidR="00593774">
        <w:t>p</w:t>
      </w:r>
      <w:r w:rsidR="00DF3538">
        <w:t>ion, 2025</w:t>
      </w:r>
      <w:r w:rsidR="00593774">
        <w:t>).</w:t>
      </w:r>
    </w:p>
  </w:footnote>
  <w:footnote w:id="30">
    <w:p w14:paraId="2CB98364" w14:textId="3E1A8845" w:rsidR="007F6499" w:rsidRDefault="007F6499" w:rsidP="00C86DF7">
      <w:pPr>
        <w:pStyle w:val="NIHRCFootnotes"/>
      </w:pPr>
      <w:r>
        <w:rPr>
          <w:rStyle w:val="FootnoteReference"/>
        </w:rPr>
        <w:footnoteRef/>
      </w:r>
      <w:r>
        <w:t xml:space="preserve"> Centre for Mental Health, ‘A Broken Safety Net? Social Security and Mental Health’. Available at: </w:t>
      </w:r>
      <w:hyperlink r:id="rId1" w:history="1">
        <w:r w:rsidR="00C86DF7" w:rsidRPr="00C86DF7">
          <w:rPr>
            <w:rStyle w:val="Hyperlink"/>
          </w:rPr>
          <w:t>A broken safety net? Social security and mental health - Centre for Mental Health</w:t>
        </w:r>
      </w:hyperlink>
    </w:p>
  </w:footnote>
  <w:footnote w:id="31">
    <w:p w14:paraId="7E34F4F2" w14:textId="7C8B3049" w:rsidR="00722FA8" w:rsidRDefault="00722FA8" w:rsidP="00E91792">
      <w:pPr>
        <w:pStyle w:val="NIHRCFootnotes"/>
      </w:pPr>
      <w:r>
        <w:rPr>
          <w:rStyle w:val="FootnoteReference"/>
        </w:rPr>
        <w:footnoteRef/>
      </w:r>
      <w:r>
        <w:t xml:space="preserve"> </w:t>
      </w:r>
      <w:r w:rsidR="00E91792">
        <w:t>NI Statistics and Research Agency, ‘Disability Employment Gap in NI 2020’ (NISRA, 2021).</w:t>
      </w:r>
    </w:p>
  </w:footnote>
  <w:footnote w:id="32">
    <w:p w14:paraId="79D617A0" w14:textId="34020410" w:rsidR="006D4331" w:rsidRDefault="006D4331" w:rsidP="00F95D41">
      <w:pPr>
        <w:pStyle w:val="NIHRCFootnotes"/>
      </w:pPr>
      <w:r>
        <w:rPr>
          <w:rStyle w:val="FootnoteReference"/>
        </w:rPr>
        <w:footnoteRef/>
      </w:r>
      <w:r>
        <w:t xml:space="preserve"> </w:t>
      </w:r>
      <w:r w:rsidR="00E5015C">
        <w:t>NI Human Rights Commission, ‘</w:t>
      </w:r>
      <w:r>
        <w:t>C</w:t>
      </w:r>
      <w:r w:rsidR="00FC496F">
        <w:t>umulative Impact Assessment of Tax and Social Security Reforms in NI’ (NIHRC, 20</w:t>
      </w:r>
      <w:r w:rsidR="00F95D41">
        <w:t xml:space="preserve">19), </w:t>
      </w:r>
      <w:r>
        <w:t>at 22</w:t>
      </w:r>
      <w:r w:rsidR="00F95D41">
        <w:t>.</w:t>
      </w:r>
    </w:p>
  </w:footnote>
  <w:footnote w:id="33">
    <w:p w14:paraId="2991762C" w14:textId="6AE4D191" w:rsidR="00C85D9A" w:rsidRDefault="00C85D9A" w:rsidP="00F95D41">
      <w:pPr>
        <w:pStyle w:val="NIHRCFootnotes"/>
      </w:pPr>
      <w:r>
        <w:rPr>
          <w:rStyle w:val="FootnoteReference"/>
        </w:rPr>
        <w:footnoteRef/>
      </w:r>
      <w:r>
        <w:t xml:space="preserve"> </w:t>
      </w:r>
      <w:r w:rsidR="00F95D41">
        <w:t>NI Human Rights Commission, ‘Cumulative Impact Assessment of Tax and Social Security Reforms in NI’ (NIHRC, 2019).</w:t>
      </w:r>
    </w:p>
  </w:footnote>
  <w:footnote w:id="34">
    <w:p w14:paraId="658A7F72" w14:textId="77777777" w:rsidR="00E627FA" w:rsidRDefault="00E627FA" w:rsidP="00E627FA">
      <w:pPr>
        <w:pStyle w:val="NIHRCFootnotes"/>
      </w:pPr>
      <w:r>
        <w:rPr>
          <w:rStyle w:val="FootnoteReference"/>
        </w:rPr>
        <w:footnoteRef/>
      </w:r>
      <w:r>
        <w:t xml:space="preserve"> NI Assembly Hansard, ‘Written Answers: Poverty – Gordon Lyons MLA – AQW 27632/22-27, 28 May 2025.</w:t>
      </w:r>
    </w:p>
  </w:footnote>
  <w:footnote w:id="35">
    <w:p w14:paraId="0466CDDB" w14:textId="7D56B264" w:rsidR="00381FD6" w:rsidRDefault="00381FD6" w:rsidP="00597F69">
      <w:pPr>
        <w:pStyle w:val="NIHRCFootnotes"/>
      </w:pPr>
      <w:r>
        <w:rPr>
          <w:rStyle w:val="FootnoteReference"/>
        </w:rPr>
        <w:footnoteRef/>
      </w:r>
      <w:r>
        <w:t xml:space="preserve"> </w:t>
      </w:r>
      <w:r w:rsidR="00BF4BDD">
        <w:t>NI Assembly Hansard</w:t>
      </w:r>
      <w:r w:rsidR="005C5403">
        <w:t xml:space="preserve">, ‘Written Answers: </w:t>
      </w:r>
      <w:r w:rsidR="00FF1F85">
        <w:t xml:space="preserve">Social Security Benefits </w:t>
      </w:r>
      <w:r w:rsidR="00391074">
        <w:t>–</w:t>
      </w:r>
      <w:r w:rsidR="00FF1F85">
        <w:t xml:space="preserve"> Gordon</w:t>
      </w:r>
      <w:r w:rsidR="00391074">
        <w:t xml:space="preserve"> Lyons MLA – AQW 25226/22-27</w:t>
      </w:r>
      <w:r w:rsidR="00597F69">
        <w:t>’, 28 April 2025.</w:t>
      </w:r>
    </w:p>
  </w:footnote>
  <w:footnote w:id="36">
    <w:p w14:paraId="0FB54743" w14:textId="307A330F" w:rsidR="006443F3" w:rsidRDefault="006443F3" w:rsidP="00953666">
      <w:pPr>
        <w:pStyle w:val="NIHRCFootnotes"/>
      </w:pPr>
      <w:r>
        <w:rPr>
          <w:rStyle w:val="FootnoteReference"/>
        </w:rPr>
        <w:footnoteRef/>
      </w:r>
      <w:r>
        <w:t xml:space="preserve"> </w:t>
      </w:r>
      <w:r w:rsidR="00597F69">
        <w:t xml:space="preserve">NI Assembly Hansard, ‘Written Answers: Social Security </w:t>
      </w:r>
      <w:r w:rsidR="00085A7B">
        <w:t>Benefits – Gordon Lyons MLA – AQW 24631/22-27</w:t>
      </w:r>
      <w:r w:rsidR="00953666">
        <w:t>’, 25 April 2025.</w:t>
      </w:r>
    </w:p>
  </w:footnote>
  <w:footnote w:id="37">
    <w:p w14:paraId="246E28F7" w14:textId="026FB116" w:rsidR="009D50D3" w:rsidRDefault="009D50D3" w:rsidP="008A1507">
      <w:pPr>
        <w:pStyle w:val="NIHRCFootnotes"/>
      </w:pPr>
      <w:r>
        <w:rPr>
          <w:rStyle w:val="FootnoteReference"/>
        </w:rPr>
        <w:footnoteRef/>
      </w:r>
      <w:r>
        <w:t xml:space="preserve"> </w:t>
      </w:r>
      <w:r w:rsidR="00AA72E6">
        <w:t>Department for Work and Pensions ‘Pathways to Work: Reforming Benefits and Support to Get Britain Working</w:t>
      </w:r>
      <w:r w:rsidR="008A1507">
        <w:t>’ (DWP, 2025).</w:t>
      </w:r>
    </w:p>
  </w:footnote>
  <w:footnote w:id="38">
    <w:p w14:paraId="30151F3F" w14:textId="6EF08CC1" w:rsidR="00DE0D02" w:rsidRDefault="00DE0D02" w:rsidP="00EB4837">
      <w:pPr>
        <w:pStyle w:val="NIHRCFootnotes"/>
      </w:pPr>
      <w:r>
        <w:rPr>
          <w:rStyle w:val="FootnoteReference"/>
        </w:rPr>
        <w:footnoteRef/>
      </w:r>
      <w:r>
        <w:t xml:space="preserve"> </w:t>
      </w:r>
      <w:r w:rsidR="00312135">
        <w:t>CCPR/C/</w:t>
      </w:r>
      <w:r w:rsidR="00690CCF">
        <w:t>21/Rev.1/Add.7, ‘UN Human Rights Committee General Comment No 25 on the Right to Participa</w:t>
      </w:r>
      <w:r w:rsidR="00741E1A">
        <w:t xml:space="preserve">te in Public Affairs, Voting Rights and the Right of Equal Access to </w:t>
      </w:r>
      <w:r w:rsidR="00AF3847">
        <w:t>Public Service’, 12 July 1996.</w:t>
      </w:r>
    </w:p>
  </w:footnote>
  <w:footnote w:id="39">
    <w:p w14:paraId="2E475570" w14:textId="24B7DDC8" w:rsidR="00CE33B4" w:rsidRDefault="00CE33B4" w:rsidP="00CE33B4">
      <w:pPr>
        <w:pStyle w:val="NIHRCFootnotes"/>
      </w:pPr>
      <w:r>
        <w:rPr>
          <w:rStyle w:val="FootnoteReference"/>
        </w:rPr>
        <w:footnoteRef/>
      </w:r>
      <w:r>
        <w:t xml:space="preserve"> CCPR/C/21/Rev.1/Add.7, ‘UN Human Rights Committee General Comment No 25 on the Right to Participate in Public Affairs, Voting Rights and the Right of Equal Access to Public Service’, 12 July 1996.</w:t>
      </w:r>
    </w:p>
  </w:footnote>
  <w:footnote w:id="40">
    <w:p w14:paraId="551B95BB" w14:textId="30E686FC" w:rsidR="001F11A2" w:rsidRDefault="001F11A2" w:rsidP="001F11A2">
      <w:pPr>
        <w:pStyle w:val="NIHRCFootnotes"/>
      </w:pPr>
      <w:r>
        <w:rPr>
          <w:rStyle w:val="FootnoteReference"/>
        </w:rPr>
        <w:footnoteRef/>
      </w:r>
      <w:r>
        <w:t xml:space="preserve"> Article 12, UN Convention on the Rights of the Child.</w:t>
      </w:r>
    </w:p>
  </w:footnote>
  <w:footnote w:id="41">
    <w:p w14:paraId="73150EB6" w14:textId="7054FA47" w:rsidR="00F13525" w:rsidRDefault="00F13525" w:rsidP="003C6FF5">
      <w:pPr>
        <w:pStyle w:val="NIHRCFootnotes"/>
      </w:pPr>
      <w:r>
        <w:rPr>
          <w:rStyle w:val="FootnoteReference"/>
        </w:rPr>
        <w:footnoteRef/>
      </w:r>
      <w:r>
        <w:t xml:space="preserve"> </w:t>
      </w:r>
      <w:r w:rsidR="003C6FF5">
        <w:t>CRC/C/GC/12, ‘UN CRC Committee General Comment No 12 on the Right of the Child to be Heard’, 1 July 2009, at para 12.</w:t>
      </w:r>
    </w:p>
  </w:footnote>
  <w:footnote w:id="42">
    <w:p w14:paraId="6887E0E4" w14:textId="7E22BB38" w:rsidR="00C74050" w:rsidRDefault="00C74050" w:rsidP="003C6FF5">
      <w:pPr>
        <w:pStyle w:val="NIHRCFootnotes"/>
      </w:pPr>
      <w:r>
        <w:rPr>
          <w:rStyle w:val="FootnoteReference"/>
        </w:rPr>
        <w:footnoteRef/>
      </w:r>
      <w:r>
        <w:t xml:space="preserve"> </w:t>
      </w:r>
      <w:r w:rsidR="003C6FF5">
        <w:t>CRC/C/GC/12, ‘UN CRC Committee General Comment No 12 on the Right of the Child to be Heard’, 1 July 2009, at para 13.</w:t>
      </w:r>
    </w:p>
  </w:footnote>
  <w:footnote w:id="43">
    <w:p w14:paraId="058FD04B" w14:textId="6D87D576" w:rsidR="001F11A2" w:rsidRDefault="001F11A2" w:rsidP="001F11A2">
      <w:pPr>
        <w:pStyle w:val="NIHRCFootnotes"/>
      </w:pPr>
      <w:r>
        <w:rPr>
          <w:rStyle w:val="FootnoteReference"/>
        </w:rPr>
        <w:footnoteRef/>
      </w:r>
      <w:r>
        <w:t xml:space="preserve"> Article 4(3), UN Convention on the Rights of Persons with Disabilities.</w:t>
      </w:r>
    </w:p>
  </w:footnote>
  <w:footnote w:id="44">
    <w:p w14:paraId="7A779C27" w14:textId="77777777" w:rsidR="001145D5" w:rsidRDefault="001145D5" w:rsidP="00272FD8">
      <w:pPr>
        <w:pStyle w:val="NIHRCFootnotes"/>
      </w:pPr>
      <w:r w:rsidRPr="00C647C8">
        <w:rPr>
          <w:vertAlign w:val="superscript"/>
        </w:rPr>
        <w:footnoteRef/>
      </w:r>
      <w:r w:rsidRPr="00C647C8">
        <w:rPr>
          <w:vertAlign w:val="superscript"/>
        </w:rPr>
        <w:t xml:space="preserve"> </w:t>
      </w:r>
      <w:r w:rsidRPr="00C647C8">
        <w:t>CRPD/C/GC/7, ‘UN CRPD Committee General Comment No 7: Participation of Persons with Disabilities Including Children with Disabilities, Through Their Representative Organisations, In the Implementation and Monitoring of the UN CRPD’, 9 November 2018, at paras 11 and 22.</w:t>
      </w:r>
    </w:p>
  </w:footnote>
  <w:footnote w:id="45">
    <w:p w14:paraId="2DD951B9" w14:textId="5E081D10" w:rsidR="00677798" w:rsidRDefault="00677798" w:rsidP="007B56A8">
      <w:pPr>
        <w:pStyle w:val="NIHRCFootnotes"/>
      </w:pPr>
      <w:r>
        <w:rPr>
          <w:rStyle w:val="FootnoteReference"/>
        </w:rPr>
        <w:footnoteRef/>
      </w:r>
      <w:r>
        <w:t xml:space="preserve"> </w:t>
      </w:r>
      <w:r w:rsidR="00DC0BA1">
        <w:t>CRPD/C/15/4, ‘UN CRPD Committee Inquiry Concerning the UK of Great Br</w:t>
      </w:r>
      <w:r w:rsidR="001459D1">
        <w:t>i</w:t>
      </w:r>
      <w:r w:rsidR="00DC0BA1">
        <w:t>tain and NI</w:t>
      </w:r>
      <w:r w:rsidR="007B56A8">
        <w:t xml:space="preserve"> carried out by the Committee Under Article 6 of the Optional Protocol to the Convention’, 24 October 2017, at p</w:t>
      </w:r>
      <w:r>
        <w:t>ara 86.</w:t>
      </w:r>
    </w:p>
  </w:footnote>
  <w:footnote w:id="46">
    <w:p w14:paraId="5FDEE874" w14:textId="0156A32F" w:rsidR="0057217F" w:rsidRDefault="0057217F" w:rsidP="001459D1">
      <w:pPr>
        <w:pStyle w:val="NIHRCFootnotes"/>
      </w:pPr>
      <w:r>
        <w:rPr>
          <w:rStyle w:val="FootnoteReference"/>
        </w:rPr>
        <w:footnoteRef/>
      </w:r>
      <w:r>
        <w:t xml:space="preserve"> </w:t>
      </w:r>
      <w:r w:rsidR="001459D1">
        <w:t>CRPD/C/15/4, ‘UN CRPD Committee Inquiry Concerning the UK of Great Britain and NI carried out by the Committee Under Article 6 of the Optional Protocol to the Convention’, 24 October 2017, at p</w:t>
      </w:r>
      <w:r w:rsidR="00E8238B">
        <w:t>ara 114(g)</w:t>
      </w:r>
      <w:r w:rsidR="001459D1">
        <w:t>.</w:t>
      </w:r>
    </w:p>
  </w:footnote>
  <w:footnote w:id="47">
    <w:p w14:paraId="53BFDF0D" w14:textId="4BB61DB5" w:rsidR="00C4081A" w:rsidRDefault="00C4081A" w:rsidP="00257077">
      <w:pPr>
        <w:pStyle w:val="NIHRCFootnotes"/>
      </w:pPr>
      <w:r>
        <w:rPr>
          <w:rStyle w:val="FootnoteReference"/>
        </w:rPr>
        <w:footnoteRef/>
      </w:r>
      <w:r>
        <w:t xml:space="preserve"> </w:t>
      </w:r>
      <w:r w:rsidR="000B337D">
        <w:t>CRPD/C/GBR</w:t>
      </w:r>
      <w:r w:rsidR="00663B75">
        <w:t xml:space="preserve">/FUIR/1, ‘UN CRPD Committee Report on Follow-Up </w:t>
      </w:r>
      <w:r w:rsidR="00257077">
        <w:t xml:space="preserve">to the Inquiry Concerning the UK of Great Britain and NI’, 22 March 2024, at paras </w:t>
      </w:r>
      <w:r>
        <w:t>88-90</w:t>
      </w:r>
      <w:r w:rsidR="00257077">
        <w:t>.</w:t>
      </w:r>
    </w:p>
  </w:footnote>
  <w:footnote w:id="48">
    <w:p w14:paraId="1F2B461E" w14:textId="77777777" w:rsidR="00C81ABB" w:rsidRDefault="00C81ABB" w:rsidP="00C81ABB">
      <w:pPr>
        <w:pStyle w:val="NIHRCFootnotes"/>
      </w:pPr>
      <w:r>
        <w:rPr>
          <w:rStyle w:val="FootnoteReference"/>
        </w:rPr>
        <w:footnoteRef/>
      </w:r>
      <w:r>
        <w:t xml:space="preserve"> Department for Work and Pensions ‘Pathways to Work: Reforming Benefits and Support to Get Britain Working’ (DWP, 2025), at para 210.</w:t>
      </w:r>
    </w:p>
  </w:footnote>
  <w:footnote w:id="49">
    <w:p w14:paraId="795A3FA7" w14:textId="53D39908" w:rsidR="00725C83" w:rsidRDefault="00725C83" w:rsidP="00725C83">
      <w:pPr>
        <w:pStyle w:val="NIHRCFootnotes"/>
      </w:pPr>
      <w:r>
        <w:rPr>
          <w:rStyle w:val="FootnoteReference"/>
        </w:rPr>
        <w:footnoteRef/>
      </w:r>
      <w:r>
        <w:t xml:space="preserve"> Department for Work and Pensions ‘Pathways to Work: Reforming Benefits and Support to Get Britain Working’ (DWP, 2025), at Annex B.</w:t>
      </w:r>
    </w:p>
  </w:footnote>
  <w:footnote w:id="50">
    <w:p w14:paraId="19349AAE" w14:textId="114C00C3" w:rsidR="001F11A2" w:rsidRDefault="001F11A2" w:rsidP="001F11A2">
      <w:pPr>
        <w:pStyle w:val="NIHRCFootnotes"/>
      </w:pPr>
      <w:r>
        <w:rPr>
          <w:rStyle w:val="FootnoteReference"/>
        </w:rPr>
        <w:footnoteRef/>
      </w:r>
      <w:r>
        <w:t xml:space="preserve"> Article 9, UN International Covenant on Economic, Social and Cultural Rights.</w:t>
      </w:r>
    </w:p>
  </w:footnote>
  <w:footnote w:id="51">
    <w:p w14:paraId="78522912" w14:textId="683FFAFF" w:rsidR="00B81595" w:rsidRDefault="00B81595" w:rsidP="003317F8">
      <w:pPr>
        <w:pStyle w:val="NIHRCFootnotes"/>
      </w:pPr>
      <w:r>
        <w:rPr>
          <w:rStyle w:val="FootnoteReference"/>
        </w:rPr>
        <w:footnoteRef/>
      </w:r>
      <w:r>
        <w:t xml:space="preserve"> </w:t>
      </w:r>
      <w:r w:rsidR="00C71F02">
        <w:t>E/C.12</w:t>
      </w:r>
      <w:r w:rsidR="00EB256B">
        <w:t xml:space="preserve">/GC/19, ‘UN ICESCR Committee General Comment No 19 on the Right to Social Security’, 4 February 2008, </w:t>
      </w:r>
      <w:r w:rsidR="003317F8">
        <w:t xml:space="preserve">at </w:t>
      </w:r>
      <w:r w:rsidR="00EB256B">
        <w:t>p</w:t>
      </w:r>
      <w:r w:rsidR="00571133">
        <w:t>aras 10-27</w:t>
      </w:r>
      <w:r w:rsidR="00EB256B">
        <w:t>.</w:t>
      </w:r>
    </w:p>
  </w:footnote>
  <w:footnote w:id="52">
    <w:p w14:paraId="7872EC08" w14:textId="2D9DDB3D" w:rsidR="0036167E" w:rsidRDefault="0036167E" w:rsidP="003317F8">
      <w:pPr>
        <w:pStyle w:val="NIHRCFootnotes"/>
      </w:pPr>
      <w:r>
        <w:rPr>
          <w:rStyle w:val="FootnoteReference"/>
        </w:rPr>
        <w:footnoteRef/>
      </w:r>
      <w:r>
        <w:t xml:space="preserve"> </w:t>
      </w:r>
      <w:r w:rsidR="00EB256B">
        <w:t xml:space="preserve">E/C.12/GC/19, ‘UN ICESCR Committee General Comment No 19 on the Right to Social Security’, 4 February 2008, </w:t>
      </w:r>
      <w:r w:rsidR="003317F8">
        <w:t>at p</w:t>
      </w:r>
      <w:r>
        <w:t>ara 20</w:t>
      </w:r>
      <w:r w:rsidR="003317F8">
        <w:t>.</w:t>
      </w:r>
    </w:p>
  </w:footnote>
  <w:footnote w:id="53">
    <w:p w14:paraId="6B30572B" w14:textId="73546B45" w:rsidR="004574F2" w:rsidRDefault="004574F2" w:rsidP="003317F8">
      <w:pPr>
        <w:pStyle w:val="NIHRCFootnotes"/>
      </w:pPr>
      <w:r>
        <w:rPr>
          <w:rStyle w:val="FootnoteReference"/>
        </w:rPr>
        <w:footnoteRef/>
      </w:r>
      <w:r>
        <w:t xml:space="preserve"> </w:t>
      </w:r>
      <w:r w:rsidR="00EB256B">
        <w:t xml:space="preserve">E/C.12/GC/19, ‘UN ICESCR Committee General Comment No 19 on the Right to Social Security’, 4 February 2008, </w:t>
      </w:r>
      <w:r w:rsidR="005959D1">
        <w:t xml:space="preserve">at </w:t>
      </w:r>
      <w:r w:rsidR="003317F8">
        <w:t>p</w:t>
      </w:r>
      <w:r>
        <w:t>ara 1</w:t>
      </w:r>
      <w:r w:rsidR="005459EA">
        <w:t>4</w:t>
      </w:r>
      <w:r w:rsidR="003317F8">
        <w:t>.</w:t>
      </w:r>
    </w:p>
  </w:footnote>
  <w:footnote w:id="54">
    <w:p w14:paraId="4BF4D62E" w14:textId="35D5122E" w:rsidR="002062F8" w:rsidRDefault="002062F8" w:rsidP="005959D1">
      <w:pPr>
        <w:pStyle w:val="NIHRCFootnotes"/>
      </w:pPr>
      <w:r>
        <w:rPr>
          <w:rStyle w:val="FootnoteReference"/>
        </w:rPr>
        <w:footnoteRef/>
      </w:r>
      <w:r>
        <w:t xml:space="preserve"> </w:t>
      </w:r>
      <w:r w:rsidR="00FC0DAE">
        <w:t>E/C.12/GC/19, ‘UN ICESCR Committee General Comment No 19 on the Right to Social Security’, 4 February 2008,</w:t>
      </w:r>
      <w:r w:rsidR="005959D1">
        <w:t xml:space="preserve"> </w:t>
      </w:r>
      <w:r w:rsidR="00571133">
        <w:t>at para 28.</w:t>
      </w:r>
    </w:p>
  </w:footnote>
  <w:footnote w:id="55">
    <w:p w14:paraId="277075D8" w14:textId="6F300A05" w:rsidR="00366AFE" w:rsidRDefault="00366AFE" w:rsidP="005959D1">
      <w:pPr>
        <w:pStyle w:val="NIHRCFootnotes"/>
      </w:pPr>
      <w:r>
        <w:rPr>
          <w:rStyle w:val="FootnoteReference"/>
        </w:rPr>
        <w:footnoteRef/>
      </w:r>
      <w:r>
        <w:t xml:space="preserve"> </w:t>
      </w:r>
      <w:r w:rsidR="005959D1">
        <w:t>E/C.12/GC/19, ‘UN ICESCR Committee General Comment No 19 on the Right to Social Security’, 4 February 2008, at p</w:t>
      </w:r>
      <w:r>
        <w:t>ara 29</w:t>
      </w:r>
      <w:r w:rsidR="005959D1">
        <w:t>.</w:t>
      </w:r>
    </w:p>
  </w:footnote>
  <w:footnote w:id="56">
    <w:p w14:paraId="6CCBC905" w14:textId="519BFBE5" w:rsidR="00A97428" w:rsidRDefault="00A97428" w:rsidP="003317F8">
      <w:pPr>
        <w:pStyle w:val="NIHRCFootnotes"/>
      </w:pPr>
      <w:r>
        <w:rPr>
          <w:rStyle w:val="FootnoteReference"/>
        </w:rPr>
        <w:footnoteRef/>
      </w:r>
      <w:r>
        <w:t xml:space="preserve"> </w:t>
      </w:r>
      <w:r w:rsidR="003317F8">
        <w:t>E/C.12/GC/19, ‘UN ICESCR Committee General Comment No 19 on the Right to Social Security’, 4 February 2008, at para</w:t>
      </w:r>
      <w:r w:rsidR="00D86FC8">
        <w:t xml:space="preserve"> 41</w:t>
      </w:r>
      <w:r w:rsidR="003317F8">
        <w:t>.</w:t>
      </w:r>
    </w:p>
  </w:footnote>
  <w:footnote w:id="57">
    <w:p w14:paraId="542DE34C" w14:textId="27844224" w:rsidR="00623750" w:rsidRDefault="00623750" w:rsidP="003317F8">
      <w:pPr>
        <w:pStyle w:val="NIHRCFootnotes"/>
      </w:pPr>
      <w:r>
        <w:rPr>
          <w:rStyle w:val="FootnoteReference"/>
        </w:rPr>
        <w:footnoteRef/>
      </w:r>
      <w:r>
        <w:t xml:space="preserve"> </w:t>
      </w:r>
      <w:r w:rsidR="003317F8">
        <w:t>E/C.12/GC/19, ‘UN ICESCR Committee General Comment No 19 on the Right to Social Security’, 4 February 2008, at para 42.</w:t>
      </w:r>
    </w:p>
  </w:footnote>
  <w:footnote w:id="58">
    <w:p w14:paraId="2C787F11" w14:textId="7865A3B0" w:rsidR="00917ADE" w:rsidRDefault="00917ADE" w:rsidP="00810177">
      <w:pPr>
        <w:pStyle w:val="NIHRCFootnotes"/>
      </w:pPr>
      <w:r>
        <w:rPr>
          <w:rStyle w:val="FootnoteReference"/>
        </w:rPr>
        <w:footnoteRef/>
      </w:r>
      <w:r>
        <w:t xml:space="preserve"> </w:t>
      </w:r>
      <w:r w:rsidR="00810177">
        <w:t>E/C.12/GC/19, ‘UN ICESCR Committee General Comment No 19 on the Right to Social Security’, 4 February 2008, at para 42.</w:t>
      </w:r>
    </w:p>
  </w:footnote>
  <w:footnote w:id="59">
    <w:p w14:paraId="28CD0E53" w14:textId="34AF3B25" w:rsidR="008D3379" w:rsidRDefault="008D3379" w:rsidP="00810177">
      <w:pPr>
        <w:pStyle w:val="NIHRCFootnotes"/>
      </w:pPr>
      <w:r>
        <w:rPr>
          <w:rStyle w:val="FootnoteReference"/>
        </w:rPr>
        <w:footnoteRef/>
      </w:r>
      <w:r>
        <w:t xml:space="preserve"> </w:t>
      </w:r>
      <w:r w:rsidR="00810177">
        <w:t xml:space="preserve">E/C.12/GC/19, ‘UN ICESCR Committee General Comment No 19 on the Right to Social Security’, 4 February 2008, at para </w:t>
      </w:r>
      <w:r>
        <w:t>42</w:t>
      </w:r>
      <w:r w:rsidR="00810177">
        <w:t>.</w:t>
      </w:r>
    </w:p>
  </w:footnote>
  <w:footnote w:id="60">
    <w:p w14:paraId="7A3FB862" w14:textId="7F6DC09E" w:rsidR="002F6D9B" w:rsidRDefault="002F6D9B" w:rsidP="009B78CD">
      <w:pPr>
        <w:pStyle w:val="NIHRCFootnotes"/>
      </w:pPr>
      <w:r>
        <w:rPr>
          <w:rStyle w:val="FootnoteReference"/>
        </w:rPr>
        <w:footnoteRef/>
      </w:r>
      <w:r>
        <w:t xml:space="preserve"> E/</w:t>
      </w:r>
      <w:r w:rsidR="007E4518">
        <w:t>C</w:t>
      </w:r>
      <w:r>
        <w:t xml:space="preserve">.12/GBR/CO/7, </w:t>
      </w:r>
      <w:r w:rsidR="006E0785">
        <w:t>‘UN ICESCR</w:t>
      </w:r>
      <w:r w:rsidR="003A7064">
        <w:t xml:space="preserve"> Committee Concluding Observations on the Seventh Periodic Report of the UK of Great Britain and NI</w:t>
      </w:r>
      <w:r w:rsidR="009B78CD">
        <w:t xml:space="preserve">’, 12 March 2025, </w:t>
      </w:r>
      <w:r>
        <w:t xml:space="preserve">at para </w:t>
      </w:r>
      <w:r w:rsidR="00167402">
        <w:t>40</w:t>
      </w:r>
      <w:r w:rsidR="009B78CD">
        <w:t>.</w:t>
      </w:r>
    </w:p>
  </w:footnote>
  <w:footnote w:id="61">
    <w:p w14:paraId="76C04FD2" w14:textId="1F41C516" w:rsidR="00F563CF" w:rsidRDefault="00F563CF" w:rsidP="009B78CD">
      <w:pPr>
        <w:pStyle w:val="NIHRCFootnotes"/>
      </w:pPr>
      <w:r>
        <w:rPr>
          <w:rStyle w:val="FootnoteReference"/>
        </w:rPr>
        <w:footnoteRef/>
      </w:r>
      <w:r>
        <w:t xml:space="preserve"> </w:t>
      </w:r>
      <w:r w:rsidR="00DB2922">
        <w:t>E</w:t>
      </w:r>
      <w:r w:rsidR="009B78CD">
        <w:t>/C.12/GBR/CO/7, ‘UN ICESCR Committee Concluding Observations on the Seventh Periodic Report of the UK of Great Britain and NI’, 12 March 2025, at p</w:t>
      </w:r>
      <w:r>
        <w:t>ara 41(d)</w:t>
      </w:r>
      <w:r w:rsidR="009B78CD">
        <w:t>.</w:t>
      </w:r>
    </w:p>
  </w:footnote>
  <w:footnote w:id="62">
    <w:p w14:paraId="3DF86C53" w14:textId="1BF59388" w:rsidR="00DB2922" w:rsidRDefault="00DB2922" w:rsidP="00DB2922">
      <w:pPr>
        <w:pStyle w:val="NIHRCFootnotes"/>
      </w:pPr>
      <w:r>
        <w:rPr>
          <w:rStyle w:val="FootnoteReference"/>
        </w:rPr>
        <w:footnoteRef/>
      </w:r>
      <w:r>
        <w:t xml:space="preserve"> E/C.12/GBR/CO/7, ‘UN ICESCR Committee Concluding Observations on the Seventh Periodic Report of the UK of Great Britain and NI’, 12 March 2025, at para 18.</w:t>
      </w:r>
    </w:p>
  </w:footnote>
  <w:footnote w:id="63">
    <w:p w14:paraId="1B782B76" w14:textId="050187AB" w:rsidR="00F362B9" w:rsidRDefault="00F362B9" w:rsidP="00D15891">
      <w:pPr>
        <w:pStyle w:val="NIHRCFootnotes"/>
      </w:pPr>
      <w:r>
        <w:rPr>
          <w:rStyle w:val="FootnoteReference"/>
        </w:rPr>
        <w:footnoteRef/>
      </w:r>
      <w:r>
        <w:t xml:space="preserve"> E/C.12/GBR/CO/7, ‘UN ICESCR Committee Concluding Observations on the Seventh Periodic Report of the UK of Great Britain and NI’, 12 March 2025, at para 19.</w:t>
      </w:r>
    </w:p>
  </w:footnote>
  <w:footnote w:id="64">
    <w:p w14:paraId="3FDCEAEF" w14:textId="1441F39C" w:rsidR="001D1014" w:rsidRDefault="001D1014" w:rsidP="00524E9C">
      <w:pPr>
        <w:pStyle w:val="NIHRCFootnotes"/>
      </w:pPr>
      <w:r>
        <w:rPr>
          <w:rStyle w:val="FootnoteReference"/>
        </w:rPr>
        <w:footnoteRef/>
      </w:r>
      <w:r>
        <w:t xml:space="preserve"> </w:t>
      </w:r>
      <w:r w:rsidR="00524E9C">
        <w:t>Department for Work and Pensions, ‘Spring Statement Health and Disability Benefit Reforms: Impacts’ (DWP, 2025), at 3.</w:t>
      </w:r>
    </w:p>
  </w:footnote>
  <w:footnote w:id="65">
    <w:p w14:paraId="7195AA9E" w14:textId="4B9B1F4B" w:rsidR="00543D90" w:rsidRDefault="00543D90" w:rsidP="00D46D11">
      <w:pPr>
        <w:pStyle w:val="NIHRCFootnotes"/>
      </w:pPr>
      <w:r>
        <w:rPr>
          <w:rStyle w:val="FootnoteReference"/>
        </w:rPr>
        <w:footnoteRef/>
      </w:r>
      <w:r>
        <w:t xml:space="preserve"> </w:t>
      </w:r>
      <w:r w:rsidR="00D46D11">
        <w:t xml:space="preserve">Joseph Roundtree Foundation, ‘How Health-Related Benefit Cuts Add Up’. Available at: </w:t>
      </w:r>
      <w:hyperlink r:id="rId2" w:history="1">
        <w:r w:rsidRPr="00543D90">
          <w:rPr>
            <w:rStyle w:val="Hyperlink"/>
          </w:rPr>
          <w:t>How health-related benefit cuts add up | Joseph Rowntree Foundation</w:t>
        </w:r>
      </w:hyperlink>
    </w:p>
  </w:footnote>
  <w:footnote w:id="66">
    <w:p w14:paraId="07AEA3FA" w14:textId="77777777" w:rsidR="006638D8" w:rsidRDefault="006638D8" w:rsidP="006638D8">
      <w:pPr>
        <w:pStyle w:val="NIHRCFootnotes"/>
      </w:pPr>
      <w:r>
        <w:rPr>
          <w:rStyle w:val="FootnoteReference"/>
        </w:rPr>
        <w:footnoteRef/>
      </w:r>
      <w:r>
        <w:t xml:space="preserve"> CPRD/C/GC/5, ‘UN CRPD Committee General Comment No 5 on Living Independently and Being Included in the Community’, 27 October 2017, at para 16(a).</w:t>
      </w:r>
    </w:p>
  </w:footnote>
  <w:footnote w:id="67">
    <w:p w14:paraId="51D561BF" w14:textId="77777777" w:rsidR="006638D8" w:rsidRDefault="006638D8" w:rsidP="006638D8">
      <w:pPr>
        <w:pStyle w:val="NIHRCFootnotes"/>
      </w:pPr>
      <w:r>
        <w:rPr>
          <w:rStyle w:val="FootnoteReference"/>
        </w:rPr>
        <w:footnoteRef/>
      </w:r>
      <w:r>
        <w:t xml:space="preserve"> CPRD/C/GC/5, ‘UN CRPD Committee General Comment No 5 on Living Independently and Being Included in the Community’, 27 October 2017, at para 59.</w:t>
      </w:r>
    </w:p>
  </w:footnote>
  <w:footnote w:id="68">
    <w:p w14:paraId="0213B182" w14:textId="77777777" w:rsidR="006638D8" w:rsidRDefault="006638D8" w:rsidP="006638D8">
      <w:pPr>
        <w:pStyle w:val="NIHRCFootnotes"/>
      </w:pPr>
      <w:r>
        <w:rPr>
          <w:rStyle w:val="FootnoteReference"/>
        </w:rPr>
        <w:footnoteRef/>
      </w:r>
      <w:r>
        <w:t xml:space="preserve"> CRPD/C/GC/8, ‘UN CRPD Committee Gender Comment No 8 on the Right of Persons with Disabilities to Work and Employment’, 7 October 2022, at para 78.</w:t>
      </w:r>
    </w:p>
  </w:footnote>
  <w:footnote w:id="69">
    <w:p w14:paraId="488D88E4" w14:textId="77777777" w:rsidR="006638D8" w:rsidRDefault="006638D8" w:rsidP="006638D8">
      <w:pPr>
        <w:pStyle w:val="NIHRCFootnotes"/>
      </w:pPr>
      <w:r>
        <w:rPr>
          <w:rStyle w:val="FootnoteReference"/>
        </w:rPr>
        <w:footnoteRef/>
      </w:r>
      <w:r>
        <w:t xml:space="preserve"> CRPD/C/15/4, ‘UN CRPD Committee Inquiry Concerning the UK of Great Britain and NI carried out by the Committee Under Article 6 of the Optional Protocol to the Convention’, 24 October 2017, at para 95.</w:t>
      </w:r>
    </w:p>
  </w:footnote>
  <w:footnote w:id="70">
    <w:p w14:paraId="78C9634D" w14:textId="77777777" w:rsidR="006638D8" w:rsidRDefault="006638D8" w:rsidP="006638D8">
      <w:pPr>
        <w:pStyle w:val="NIHRCFootnotes"/>
      </w:pPr>
      <w:r>
        <w:rPr>
          <w:rStyle w:val="FootnoteReference"/>
        </w:rPr>
        <w:footnoteRef/>
      </w:r>
      <w:r>
        <w:t xml:space="preserve"> CRPD/C/15/4, ‘UN CRPD Committee Inquiry Concerning the UK of Great Britain and NI carried out by the Committee Under Article 6 of the Optional Protocol to the Convention’, 24 October 2017, at para 111.</w:t>
      </w:r>
    </w:p>
  </w:footnote>
  <w:footnote w:id="71">
    <w:p w14:paraId="1D4BBEA8" w14:textId="6F8A1B4A" w:rsidR="00FE0B8A" w:rsidRDefault="00FE0B8A" w:rsidP="00FE0B8A">
      <w:pPr>
        <w:pStyle w:val="NIHRCFootnotes"/>
      </w:pPr>
      <w:r>
        <w:rPr>
          <w:rStyle w:val="FootnoteReference"/>
        </w:rPr>
        <w:footnoteRef/>
      </w:r>
      <w:r>
        <w:t xml:space="preserve"> CRPD/C/15/4, ‘UN CRPD Committee Inquiry Concerning the UK of Great Britain and NI carried out by the Committee Under Article 6 of the Optional Protocol to the Convention’, 24 October 2017, at para 113.</w:t>
      </w:r>
    </w:p>
  </w:footnote>
  <w:footnote w:id="72">
    <w:p w14:paraId="25757682" w14:textId="022B571B" w:rsidR="00C94727" w:rsidRDefault="00C94727" w:rsidP="00C94727">
      <w:pPr>
        <w:pStyle w:val="NIHRCFootnotes"/>
      </w:pPr>
      <w:r>
        <w:rPr>
          <w:rStyle w:val="FootnoteReference"/>
        </w:rPr>
        <w:footnoteRef/>
      </w:r>
      <w:r>
        <w:t xml:space="preserve"> CRPD/C/15/4, ‘UN CRPD Committee Inquiry Concerning the UK of Great Britain and NI carried out by the Committee Under Article 6 of the Optional Protocol to the Convention’, 24 October 2017, at para 114.</w:t>
      </w:r>
    </w:p>
  </w:footnote>
  <w:footnote w:id="73">
    <w:p w14:paraId="009C8DF1" w14:textId="53B969DE" w:rsidR="00C94727" w:rsidRDefault="00C94727" w:rsidP="00C94727">
      <w:pPr>
        <w:pStyle w:val="NIHRCFootnotes"/>
      </w:pPr>
      <w:r>
        <w:rPr>
          <w:rStyle w:val="FootnoteReference"/>
        </w:rPr>
        <w:footnoteRef/>
      </w:r>
      <w:r>
        <w:t xml:space="preserve"> CRPD/C/15/4, ‘UN CRPD Committee Inquiry Concerning the UK of Great Britain and NI carried out by the Committee Under Article 6 of the Optional Protocol to the Convention’, 24 October 2017, at para 11.</w:t>
      </w:r>
    </w:p>
  </w:footnote>
  <w:footnote w:id="74">
    <w:p w14:paraId="589EEAF5" w14:textId="64DDCDCA" w:rsidR="008E6A11" w:rsidRDefault="008E6A11" w:rsidP="00BC6239">
      <w:pPr>
        <w:pStyle w:val="NIHRCFootnotes"/>
      </w:pPr>
      <w:r>
        <w:rPr>
          <w:rStyle w:val="FootnoteReference"/>
        </w:rPr>
        <w:footnoteRef/>
      </w:r>
      <w:r>
        <w:t xml:space="preserve"> </w:t>
      </w:r>
      <w:r w:rsidR="00BC6239">
        <w:t>CRPD/C/GBR/FUIR/1, ‘UN CRPD Committee Report on Follow-Up to the Inquiry Concerning the UK of Great Britain and NI’, 22 March 2024, at para 88.</w:t>
      </w:r>
    </w:p>
  </w:footnote>
  <w:footnote w:id="75">
    <w:p w14:paraId="23D2EEEB" w14:textId="063999ED" w:rsidR="004F6810" w:rsidRDefault="004F6810" w:rsidP="004F6810">
      <w:pPr>
        <w:pStyle w:val="NIHRCFootnotes"/>
      </w:pPr>
      <w:r>
        <w:rPr>
          <w:rStyle w:val="FootnoteReference"/>
        </w:rPr>
        <w:footnoteRef/>
      </w:r>
      <w:r>
        <w:t xml:space="preserve"> CRPD/C/GBR/FUIR/1, ‘UN CRPD Committee Report on Follow-Up to the Inquiry Concerning the UK of Great Britain and NI’, 22 March 2024, at para 90(f).</w:t>
      </w:r>
    </w:p>
  </w:footnote>
  <w:footnote w:id="76">
    <w:p w14:paraId="60F374F6" w14:textId="77777777" w:rsidR="006638D8" w:rsidRDefault="006638D8" w:rsidP="006638D8">
      <w:pPr>
        <w:pStyle w:val="NIHRCFootnotes"/>
      </w:pPr>
      <w:r>
        <w:rPr>
          <w:rStyle w:val="FootnoteReference"/>
        </w:rPr>
        <w:footnoteRef/>
      </w:r>
      <w:r>
        <w:t xml:space="preserve"> CPRD/C/GC/5, ‘UN CRPD Committee General Comment No 5 on Living Independently and Being Included in the Community’, 27 October 2017, at para 5.</w:t>
      </w:r>
    </w:p>
  </w:footnote>
  <w:footnote w:id="77">
    <w:p w14:paraId="00EB1E37" w14:textId="77777777" w:rsidR="006638D8" w:rsidRDefault="006638D8" w:rsidP="006638D8">
      <w:pPr>
        <w:pStyle w:val="NIHRCFootnotes"/>
      </w:pPr>
      <w:r>
        <w:rPr>
          <w:rStyle w:val="FootnoteReference"/>
        </w:rPr>
        <w:footnoteRef/>
      </w:r>
      <w:r>
        <w:t xml:space="preserve"> CRC/C/GBR/CO/6-7, ‘UN CRC Committee Concluding Observations on the Combined Sixth and Seventh Periodic Reports of the UK of Great Britain and NI’, 22 June 2023, para 46.</w:t>
      </w:r>
    </w:p>
  </w:footnote>
  <w:footnote w:id="78">
    <w:p w14:paraId="56F2D2CF" w14:textId="77777777" w:rsidR="006638D8" w:rsidRDefault="006638D8" w:rsidP="006638D8">
      <w:pPr>
        <w:pStyle w:val="NIHRCFootnotes"/>
      </w:pPr>
      <w:r>
        <w:rPr>
          <w:rStyle w:val="FootnoteReference"/>
        </w:rPr>
        <w:footnoteRef/>
      </w:r>
      <w:r>
        <w:t xml:space="preserve"> ‘UN CEDAW Committee, General Recommendation No. 18 on Disabled Women’, 1991.</w:t>
      </w:r>
    </w:p>
  </w:footnote>
  <w:footnote w:id="79">
    <w:p w14:paraId="7B2B1074" w14:textId="77777777" w:rsidR="006638D8" w:rsidRDefault="006638D8" w:rsidP="006638D8">
      <w:pPr>
        <w:pStyle w:val="NIHRCFootnotes"/>
      </w:pPr>
      <w:r>
        <w:rPr>
          <w:rStyle w:val="FootnoteReference"/>
        </w:rPr>
        <w:footnoteRef/>
      </w:r>
      <w:r>
        <w:t xml:space="preserve"> </w:t>
      </w:r>
      <w:r w:rsidRPr="005574E3">
        <w:t>Moskal v Poland [2009] 50 EHRR 22</w:t>
      </w:r>
      <w:r>
        <w:t xml:space="preserve">. See also: </w:t>
      </w:r>
      <w:r w:rsidRPr="005574E3">
        <w:t>Kjartan Ásmundsson v Iceland [2004] ECHR 512</w:t>
      </w:r>
    </w:p>
  </w:footnote>
  <w:footnote w:id="80">
    <w:p w14:paraId="3C7207F4" w14:textId="3A1B7C71" w:rsidR="00C968C9" w:rsidRDefault="00C968C9" w:rsidP="004A19CB">
      <w:pPr>
        <w:pStyle w:val="NIHRCFootnotes"/>
      </w:pPr>
      <w:r>
        <w:rPr>
          <w:rStyle w:val="FootnoteReference"/>
        </w:rPr>
        <w:footnoteRef/>
      </w:r>
      <w:r>
        <w:t xml:space="preserve"> </w:t>
      </w:r>
      <w:proofErr w:type="spellStart"/>
      <w:r w:rsidR="00963A75">
        <w:t>B</w:t>
      </w:r>
      <w:r w:rsidR="00944EF4">
        <w:t>éláné</w:t>
      </w:r>
      <w:proofErr w:type="spellEnd"/>
      <w:r w:rsidR="00944EF4">
        <w:t xml:space="preserve"> Nagy v Hungary [2016] ECHR </w:t>
      </w:r>
      <w:r w:rsidR="004A19CB">
        <w:t xml:space="preserve">1114, at para </w:t>
      </w:r>
      <w:r w:rsidR="00863F23">
        <w:t>115</w:t>
      </w:r>
      <w:r w:rsidR="004A19CB">
        <w:t>.</w:t>
      </w:r>
    </w:p>
  </w:footnote>
  <w:footnote w:id="81">
    <w:p w14:paraId="01890EAF" w14:textId="4891D79B" w:rsidR="00F7691C" w:rsidRDefault="00F7691C" w:rsidP="004A19CB">
      <w:pPr>
        <w:pStyle w:val="NIHRCFootnotes"/>
      </w:pPr>
      <w:r>
        <w:rPr>
          <w:rStyle w:val="FootnoteReference"/>
        </w:rPr>
        <w:footnoteRef/>
      </w:r>
      <w:r>
        <w:t xml:space="preserve"> </w:t>
      </w:r>
      <w:proofErr w:type="spellStart"/>
      <w:r w:rsidR="004A19CB">
        <w:t>Béláné</w:t>
      </w:r>
      <w:proofErr w:type="spellEnd"/>
      <w:r w:rsidR="004A19CB">
        <w:t xml:space="preserve"> Nagy v Hungary [2016] ECHR 1114, at para 115.</w:t>
      </w:r>
    </w:p>
  </w:footnote>
  <w:footnote w:id="82">
    <w:p w14:paraId="3DBED5C9" w14:textId="18420E41" w:rsidR="005D51D3" w:rsidRDefault="005D51D3" w:rsidP="004A19CB">
      <w:pPr>
        <w:pStyle w:val="NIHRCFootnotes"/>
      </w:pPr>
      <w:r>
        <w:rPr>
          <w:rStyle w:val="FootnoteReference"/>
        </w:rPr>
        <w:footnoteRef/>
      </w:r>
      <w:r>
        <w:t xml:space="preserve"> </w:t>
      </w:r>
      <w:proofErr w:type="spellStart"/>
      <w:r w:rsidR="004A19CB">
        <w:t>Béláné</w:t>
      </w:r>
      <w:proofErr w:type="spellEnd"/>
      <w:r w:rsidR="004A19CB">
        <w:t xml:space="preserve"> Nagy v Hungary [2016] ECHR 1114, at para </w:t>
      </w:r>
      <w:r>
        <w:t>126</w:t>
      </w:r>
      <w:r w:rsidR="004A19CB">
        <w:t>.</w:t>
      </w:r>
    </w:p>
  </w:footnote>
  <w:footnote w:id="83">
    <w:p w14:paraId="06B92999" w14:textId="5F2BB8F1" w:rsidR="003B3BE2" w:rsidRDefault="003B3BE2" w:rsidP="003B3BE2">
      <w:pPr>
        <w:pStyle w:val="NIHRCFootnotes"/>
      </w:pPr>
      <w:r>
        <w:rPr>
          <w:rStyle w:val="FootnoteReference"/>
        </w:rPr>
        <w:footnoteRef/>
      </w:r>
      <w:r>
        <w:t xml:space="preserve"> Kjartan Asmundsson v Iceland [2004] ECHR 512.</w:t>
      </w:r>
    </w:p>
  </w:footnote>
  <w:footnote w:id="84">
    <w:p w14:paraId="0A81907E" w14:textId="2EA4CE77" w:rsidR="003B3BE2" w:rsidRDefault="003B3BE2" w:rsidP="003B3BE2">
      <w:pPr>
        <w:pStyle w:val="NIHRCFootnotes"/>
      </w:pPr>
      <w:r>
        <w:rPr>
          <w:rStyle w:val="FootnoteReference"/>
        </w:rPr>
        <w:footnoteRef/>
      </w:r>
      <w:r>
        <w:t xml:space="preserve"> Kjartan Asmundsson v Iceland [2004] ECHR 512.</w:t>
      </w:r>
    </w:p>
  </w:footnote>
  <w:footnote w:id="85">
    <w:p w14:paraId="10C05DD2" w14:textId="4D81374D" w:rsidR="003B3BE2" w:rsidRDefault="003B3BE2" w:rsidP="003B3BE2">
      <w:pPr>
        <w:pStyle w:val="NIHRCFootnotes"/>
      </w:pPr>
      <w:r>
        <w:rPr>
          <w:rStyle w:val="FootnoteReference"/>
        </w:rPr>
        <w:footnoteRef/>
      </w:r>
      <w:r>
        <w:t xml:space="preserve"> Kjartan Asmundsson v Iceland [2004] ECHR 512.</w:t>
      </w:r>
    </w:p>
  </w:footnote>
  <w:footnote w:id="86">
    <w:p w14:paraId="4E71CD13" w14:textId="1533C67D" w:rsidR="006A5364" w:rsidRDefault="006A5364" w:rsidP="00051871">
      <w:pPr>
        <w:pStyle w:val="NIHRCFootnotes"/>
      </w:pPr>
      <w:r>
        <w:rPr>
          <w:rStyle w:val="FootnoteReference"/>
        </w:rPr>
        <w:footnoteRef/>
      </w:r>
      <w:r>
        <w:t xml:space="preserve"> </w:t>
      </w:r>
      <w:r w:rsidR="00CB2922">
        <w:t>Kjart</w:t>
      </w:r>
      <w:r w:rsidR="004C65BE">
        <w:t>an Asmundsson v Iceland [20</w:t>
      </w:r>
      <w:r w:rsidR="00051871">
        <w:t>04] ECHR 512.</w:t>
      </w:r>
    </w:p>
  </w:footnote>
  <w:footnote w:id="87">
    <w:p w14:paraId="3E232D2C" w14:textId="77777777" w:rsidR="006638D8" w:rsidRDefault="006638D8" w:rsidP="006638D8">
      <w:pPr>
        <w:pStyle w:val="NIHRCFootnotes"/>
      </w:pPr>
      <w:r>
        <w:rPr>
          <w:rStyle w:val="FootnoteReference"/>
        </w:rPr>
        <w:footnoteRef/>
      </w:r>
      <w:r>
        <w:t xml:space="preserve"> X and Others v Ireland [2023] ECHR 514, at para 72.</w:t>
      </w:r>
    </w:p>
  </w:footnote>
  <w:footnote w:id="88">
    <w:p w14:paraId="5D42BE22" w14:textId="4E08C768" w:rsidR="004F0155" w:rsidRDefault="004F0155" w:rsidP="004F0155">
      <w:pPr>
        <w:pStyle w:val="NIHRCFootnotes"/>
      </w:pPr>
      <w:r>
        <w:rPr>
          <w:rStyle w:val="FootnoteReference"/>
        </w:rPr>
        <w:footnoteRef/>
      </w:r>
      <w:r>
        <w:t xml:space="preserve"> X and Others v Ireland [2023] ECHR 514, at para 72.</w:t>
      </w:r>
    </w:p>
  </w:footnote>
  <w:footnote w:id="89">
    <w:p w14:paraId="6688D4B6" w14:textId="77777777" w:rsidR="006638D8" w:rsidRDefault="006638D8" w:rsidP="006638D8">
      <w:pPr>
        <w:pStyle w:val="NIHRCFootnotes"/>
      </w:pPr>
      <w:r>
        <w:rPr>
          <w:rStyle w:val="FootnoteReference"/>
        </w:rPr>
        <w:footnoteRef/>
      </w:r>
      <w:r>
        <w:t xml:space="preserve"> X and Others v Ireland [2023] ECHR 514, at para 72.</w:t>
      </w:r>
    </w:p>
  </w:footnote>
  <w:footnote w:id="90">
    <w:p w14:paraId="23C9947F" w14:textId="68CCF4C3" w:rsidR="004F3919" w:rsidRDefault="004F3919" w:rsidP="00CA3DAE">
      <w:pPr>
        <w:pStyle w:val="NIHRCFootnotes"/>
      </w:pPr>
      <w:r>
        <w:rPr>
          <w:rStyle w:val="FootnoteReference"/>
        </w:rPr>
        <w:footnoteRef/>
      </w:r>
      <w:r>
        <w:t xml:space="preserve"> Trussell Trust, ‘End of Year Food Bank Stats</w:t>
      </w:r>
      <w:r w:rsidR="00146792">
        <w:t xml:space="preserve"> 2024/25</w:t>
      </w:r>
      <w:r>
        <w:t xml:space="preserve">’. </w:t>
      </w:r>
      <w:r w:rsidR="00CA3DAE">
        <w:t xml:space="preserve">Available at: </w:t>
      </w:r>
      <w:hyperlink r:id="rId3" w:history="1">
        <w:r w:rsidR="00CA3DAE" w:rsidRPr="00CA3DAE">
          <w:rPr>
            <w:rStyle w:val="Hyperlink"/>
          </w:rPr>
          <w:t>End of year food bank stats | Trussell</w:t>
        </w:r>
      </w:hyperlink>
    </w:p>
  </w:footnote>
  <w:footnote w:id="91">
    <w:p w14:paraId="6FCBBC3F" w14:textId="50B0B2BA" w:rsidR="00183AC1" w:rsidRDefault="00183AC1" w:rsidP="00D46D11">
      <w:pPr>
        <w:pStyle w:val="NIHRCFootnotes"/>
      </w:pPr>
      <w:r>
        <w:rPr>
          <w:rStyle w:val="FootnoteReference"/>
        </w:rPr>
        <w:footnoteRef/>
      </w:r>
      <w:r>
        <w:t xml:space="preserve"> </w:t>
      </w:r>
      <w:r w:rsidR="00D46D11">
        <w:t>NI Human Rights Commission, ‘Cumulative Impact Assessment of Tax and Social Security Reforms in NI’ (NIHRC, 2019).</w:t>
      </w:r>
    </w:p>
  </w:footnote>
  <w:footnote w:id="92">
    <w:p w14:paraId="4C307BB6" w14:textId="1BCD710D" w:rsidR="000E0D06" w:rsidRDefault="000E0D06" w:rsidP="00DD3BF2">
      <w:pPr>
        <w:pStyle w:val="NIHRCFootnotes"/>
      </w:pPr>
      <w:r>
        <w:rPr>
          <w:rStyle w:val="FootnoteReference"/>
        </w:rPr>
        <w:footnoteRef/>
      </w:r>
      <w:r>
        <w:t xml:space="preserve"> </w:t>
      </w:r>
      <w:r w:rsidR="000B73F1" w:rsidRPr="000B73F1">
        <w:t xml:space="preserve">European Network of National Human Rights Institutions, ‘Human Rights-Based Approach’. Available at: </w:t>
      </w:r>
      <w:hyperlink r:id="rId4" w:history="1">
        <w:r w:rsidR="000B73F1" w:rsidRPr="000B73F1">
          <w:rPr>
            <w:rStyle w:val="Hyperlink"/>
          </w:rPr>
          <w:t>Human Rights-Based Approach - ENNHRI</w:t>
        </w:r>
      </w:hyperlink>
    </w:p>
  </w:footnote>
  <w:footnote w:id="93">
    <w:p w14:paraId="2F1E5EF2" w14:textId="5C4FC942" w:rsidR="004803E0" w:rsidRDefault="00645C83" w:rsidP="00DD3BF2">
      <w:pPr>
        <w:pStyle w:val="NIHRCFootnotes"/>
      </w:pPr>
      <w:r>
        <w:rPr>
          <w:rStyle w:val="FootnoteReference"/>
        </w:rPr>
        <w:footnoteRef/>
      </w:r>
      <w:r>
        <w:t xml:space="preserve"> </w:t>
      </w:r>
      <w:r w:rsidR="004803E0">
        <w:t>CRPD/C/15/4, ‘UN CRPD Committee Inquiry Concerning the UK of Great Britain and NI carried out by the Committee Under Article 6 of the Optional Protocol to the Convention’, 24 October 2017.</w:t>
      </w:r>
      <w:r w:rsidR="00DD3BF2">
        <w:t xml:space="preserve"> </w:t>
      </w:r>
      <w:r w:rsidR="004803E0">
        <w:t>CRPD/C/GBR/FUIR/1, ‘UN CRPD Committee Report on Follow-Up to the Inquiry Concerning the UK of Great Britain and NI’, 22 March 2024.</w:t>
      </w:r>
    </w:p>
    <w:p w14:paraId="06D331A0" w14:textId="3B2D3F8F" w:rsidR="00645C83" w:rsidRDefault="00645C83">
      <w:pPr>
        <w:pStyle w:val="FootnoteText"/>
      </w:pPr>
    </w:p>
  </w:footnote>
  <w:footnote w:id="94">
    <w:p w14:paraId="6A99C0B3" w14:textId="4455C52C" w:rsidR="008E576D" w:rsidRDefault="008E576D" w:rsidP="00A82EF4">
      <w:pPr>
        <w:pStyle w:val="NIHRCFootnotes"/>
      </w:pPr>
      <w:r>
        <w:rPr>
          <w:rStyle w:val="FootnoteReference"/>
        </w:rPr>
        <w:footnoteRef/>
      </w:r>
      <w:r>
        <w:t xml:space="preserve"> Department for Work and Pensions ‘Pathways to Work: Reforming Benefits and Support to Get Britain Working’ (DWP, 2025), at para 140</w:t>
      </w:r>
      <w:r w:rsidR="00A82EF4">
        <w:t>.</w:t>
      </w:r>
    </w:p>
  </w:footnote>
  <w:footnote w:id="95">
    <w:p w14:paraId="67A845FA" w14:textId="469D4D8A" w:rsidR="00A82EF4" w:rsidRDefault="00A82EF4" w:rsidP="00A82EF4">
      <w:pPr>
        <w:pStyle w:val="NIHRCFootnotes"/>
      </w:pPr>
      <w:r>
        <w:rPr>
          <w:rStyle w:val="FootnoteReference"/>
        </w:rPr>
        <w:footnoteRef/>
      </w:r>
      <w:r>
        <w:t xml:space="preserve"> Department for Work and Pensions ‘Pathways to Work: Reforming Benefits and Support to Get Britain Working’ (DWP, 2025), at para 141.</w:t>
      </w:r>
      <w:r w:rsidR="00215B4A">
        <w:t xml:space="preserve"> </w:t>
      </w:r>
      <w:r w:rsidR="00215B4A" w:rsidRPr="00B46AC0">
        <w:t>This will not extend to people who have a higher level of functional need in at least one activity, who will still receive PIP</w:t>
      </w:r>
      <w:r w:rsidR="00215B4A">
        <w:t>.</w:t>
      </w:r>
    </w:p>
  </w:footnote>
  <w:footnote w:id="96">
    <w:p w14:paraId="75404598" w14:textId="277F27A6" w:rsidR="001A185B" w:rsidRDefault="001A185B" w:rsidP="00FF3AE0">
      <w:pPr>
        <w:pStyle w:val="NIHRCFootnotes"/>
      </w:pPr>
      <w:r>
        <w:rPr>
          <w:rStyle w:val="FootnoteReference"/>
        </w:rPr>
        <w:footnoteRef/>
      </w:r>
      <w:r>
        <w:t xml:space="preserve"> </w:t>
      </w:r>
      <w:r w:rsidR="009D4281">
        <w:t xml:space="preserve">Department for Work and Pensions, ‘Benefit and Pension Rates 2025 to 2026’. Available at: </w:t>
      </w:r>
      <w:hyperlink r:id="rId5" w:anchor="personal-independence-payment" w:history="1">
        <w:r w:rsidR="00FF3AE0" w:rsidRPr="00FF3AE0">
          <w:rPr>
            <w:rStyle w:val="Hyperlink"/>
          </w:rPr>
          <w:t>Benefit and pension rates 2025 to 2026 - GOV.UK</w:t>
        </w:r>
      </w:hyperlink>
    </w:p>
  </w:footnote>
  <w:footnote w:id="97">
    <w:p w14:paraId="4EBBED98" w14:textId="1964D181" w:rsidR="00042422" w:rsidRDefault="00042422" w:rsidP="00060355">
      <w:pPr>
        <w:pStyle w:val="NIHRCFootnotes"/>
      </w:pPr>
      <w:r>
        <w:rPr>
          <w:rStyle w:val="FootnoteReference"/>
        </w:rPr>
        <w:footnoteRef/>
      </w:r>
      <w:r>
        <w:t xml:space="preserve"> </w:t>
      </w:r>
      <w:r w:rsidR="00060355">
        <w:t>Department for Work and Pensions ‘Pathways to Work: Reforming Benefits and Support to Get Britain Working’ (DWP, 2025), at para 14</w:t>
      </w:r>
      <w:r w:rsidR="008D0A17">
        <w:t>3</w:t>
      </w:r>
      <w:r w:rsidR="00060355">
        <w:t>.</w:t>
      </w:r>
    </w:p>
  </w:footnote>
  <w:footnote w:id="98">
    <w:p w14:paraId="6142C48A" w14:textId="64FA46A3" w:rsidR="00F91DAB" w:rsidRDefault="00F91DAB" w:rsidP="00F91DAB">
      <w:pPr>
        <w:pStyle w:val="NIHRCFootnotes"/>
      </w:pPr>
      <w:r>
        <w:rPr>
          <w:rStyle w:val="FootnoteReference"/>
        </w:rPr>
        <w:footnoteRef/>
      </w:r>
      <w:r>
        <w:t xml:space="preserve"> Department for Work and Pensions ‘Pathways to Work: Reforming Benefits and Support to Get Britain Working’ (DWP, 2025), at para 133.</w:t>
      </w:r>
    </w:p>
  </w:footnote>
  <w:footnote w:id="99">
    <w:p w14:paraId="5BC156FE" w14:textId="39ED4EF8" w:rsidR="000615D5" w:rsidRDefault="000615D5" w:rsidP="000615D5">
      <w:pPr>
        <w:pStyle w:val="NIHRCFootnotes"/>
      </w:pPr>
      <w:r>
        <w:rPr>
          <w:rStyle w:val="FootnoteReference"/>
        </w:rPr>
        <w:footnoteRef/>
      </w:r>
      <w:r>
        <w:t xml:space="preserve"> Department for Work and Pensions ‘Pathways to Work: Reforming Benefits and Support to Get Britain Working’ (DWP, 2025), at para 133.</w:t>
      </w:r>
    </w:p>
  </w:footnote>
  <w:footnote w:id="100">
    <w:p w14:paraId="325D5A6B" w14:textId="3D68A7A0" w:rsidR="00E70B1A" w:rsidRDefault="00E70B1A" w:rsidP="00E70B1A">
      <w:pPr>
        <w:pStyle w:val="NIHRCFootnotes"/>
      </w:pPr>
      <w:r>
        <w:rPr>
          <w:rStyle w:val="FootnoteReference"/>
        </w:rPr>
        <w:footnoteRef/>
      </w:r>
      <w:r>
        <w:t xml:space="preserve"> Department for Work and Pensions ‘Pathways to Work: Reforming Benefits and Support to Get Britain Working’ (DWP, 2025), at para 134.</w:t>
      </w:r>
    </w:p>
  </w:footnote>
  <w:footnote w:id="101">
    <w:p w14:paraId="0F08DBAD" w14:textId="48AC0A3D" w:rsidR="00914BFD" w:rsidRDefault="00914BFD" w:rsidP="00914BFD">
      <w:pPr>
        <w:pStyle w:val="NIHRCFootnotes"/>
      </w:pPr>
      <w:r>
        <w:rPr>
          <w:rStyle w:val="FootnoteReference"/>
        </w:rPr>
        <w:footnoteRef/>
      </w:r>
      <w:r>
        <w:t xml:space="preserve"> Department for Work and Pensions ‘Pathways to Work: Reforming Benefits and Support to Get Britain Working’ (DWP, 2025), at 3.</w:t>
      </w:r>
    </w:p>
  </w:footnote>
  <w:footnote w:id="102">
    <w:p w14:paraId="6112EE27" w14:textId="68887197" w:rsidR="00D47E90" w:rsidRDefault="00D47E90" w:rsidP="00871499">
      <w:pPr>
        <w:pStyle w:val="NIHRCFootnotes"/>
      </w:pPr>
      <w:r>
        <w:rPr>
          <w:rStyle w:val="FootnoteReference"/>
        </w:rPr>
        <w:footnoteRef/>
      </w:r>
      <w:r>
        <w:t xml:space="preserve"> </w:t>
      </w:r>
      <w:r w:rsidR="00871499">
        <w:t xml:space="preserve">NI Human Rights Commission, ‘Cumulative Impact Assessment of Tax and Social Security Reforms in NI’ (NIHRC, 2019), at </w:t>
      </w:r>
      <w:r>
        <w:t>55-56.</w:t>
      </w:r>
    </w:p>
  </w:footnote>
  <w:footnote w:id="103">
    <w:p w14:paraId="2E474767" w14:textId="77777777" w:rsidR="00D47E90" w:rsidRDefault="00D47E90" w:rsidP="00D47E90">
      <w:pPr>
        <w:pStyle w:val="NIHRCFootnotes"/>
      </w:pPr>
      <w:r>
        <w:rPr>
          <w:rStyle w:val="FootnoteReference"/>
        </w:rPr>
        <w:footnoteRef/>
      </w:r>
      <w:r>
        <w:t xml:space="preserve"> Disability Benefits Consortium, ‘The Millions Missing Out’ (DBC, 2021).</w:t>
      </w:r>
    </w:p>
  </w:footnote>
  <w:footnote w:id="104">
    <w:p w14:paraId="1A7FA44A" w14:textId="680E08ED" w:rsidR="007E048E" w:rsidRDefault="007E048E" w:rsidP="00593DF5">
      <w:pPr>
        <w:pStyle w:val="NIHRCFootnotes"/>
      </w:pPr>
      <w:r>
        <w:rPr>
          <w:rStyle w:val="FootnoteReference"/>
        </w:rPr>
        <w:footnoteRef/>
      </w:r>
      <w:r>
        <w:t xml:space="preserve"> </w:t>
      </w:r>
      <w:r w:rsidR="00593DF5">
        <w:t xml:space="preserve">CRPD/C/15/4, ‘UN CRPD Committee Inquiry Concerning the UK of Great Britain and NI carried out by the Committee Under Article 6 of the Optional Protocol to the Convention’, 24 October 2017, </w:t>
      </w:r>
      <w:r>
        <w:t xml:space="preserve">at para </w:t>
      </w:r>
      <w:r w:rsidR="00593DF5">
        <w:t>113</w:t>
      </w:r>
      <w:r>
        <w:t>.</w:t>
      </w:r>
    </w:p>
  </w:footnote>
  <w:footnote w:id="105">
    <w:p w14:paraId="0A6CE63C" w14:textId="0AD44E42" w:rsidR="004C6FD2" w:rsidRDefault="004C6FD2" w:rsidP="00201CA5">
      <w:pPr>
        <w:pStyle w:val="NIHRCFootnotes"/>
      </w:pPr>
      <w:r>
        <w:rPr>
          <w:rStyle w:val="FootnoteReference"/>
        </w:rPr>
        <w:footnoteRef/>
      </w:r>
      <w:r>
        <w:t xml:space="preserve"> </w:t>
      </w:r>
      <w:r w:rsidR="00593DF5">
        <w:t>CRPD/C/15/4, ‘UN CRPD Committee Inquiry Concerning the UK of Great Britain and NI carried out by the Committee Under Article 6 of the Optional Protocol to the Convention’, 24 October 2017,</w:t>
      </w:r>
      <w:r>
        <w:t xml:space="preserve"> at para 32.</w:t>
      </w:r>
    </w:p>
  </w:footnote>
  <w:footnote w:id="106">
    <w:p w14:paraId="02D292B0" w14:textId="3DFB81B1" w:rsidR="00D10F69" w:rsidRDefault="00D10F69" w:rsidP="00201CA5">
      <w:pPr>
        <w:pStyle w:val="NIHRCFootnotes"/>
      </w:pPr>
      <w:r>
        <w:rPr>
          <w:rStyle w:val="FootnoteReference"/>
        </w:rPr>
        <w:footnoteRef/>
      </w:r>
      <w:r>
        <w:t xml:space="preserve"> </w:t>
      </w:r>
      <w:r w:rsidR="00593DF5">
        <w:t xml:space="preserve">CRPD/C/15/4, ‘UN CRPD Committee Inquiry Concerning the UK of Great Britain and NI carried out by the Committee Under Article 6 of the Optional Protocol to the Convention’, 24 October 2017, at </w:t>
      </w:r>
      <w:r w:rsidR="00AA18C3">
        <w:t>para 114(d)-(e).</w:t>
      </w:r>
    </w:p>
  </w:footnote>
  <w:footnote w:id="107">
    <w:p w14:paraId="70D94E75" w14:textId="433C3198" w:rsidR="00546D05" w:rsidRDefault="00546D05" w:rsidP="005535E7">
      <w:pPr>
        <w:pStyle w:val="NIHRCFootnotes"/>
      </w:pPr>
      <w:r>
        <w:rPr>
          <w:rStyle w:val="FootnoteReference"/>
        </w:rPr>
        <w:footnoteRef/>
      </w:r>
      <w:r>
        <w:t xml:space="preserve"> Department for Work and Pensions, ‘Spring Statement Health and Disability Benefit Reforms</w:t>
      </w:r>
      <w:r w:rsidR="005535E7">
        <w:t>: Equality Analysis’ (DWP, 2025).</w:t>
      </w:r>
    </w:p>
  </w:footnote>
  <w:footnote w:id="108">
    <w:p w14:paraId="04B48585" w14:textId="3DD1C437" w:rsidR="007C3BC4" w:rsidRDefault="007C3BC4" w:rsidP="006D2415">
      <w:pPr>
        <w:pStyle w:val="NIHRCFootnotes"/>
      </w:pPr>
      <w:r>
        <w:rPr>
          <w:rStyle w:val="FootnoteReference"/>
        </w:rPr>
        <w:footnoteRef/>
      </w:r>
      <w:r>
        <w:t xml:space="preserve"> Department for Work and Pensions, ‘Spring Statement Health and Disability Benefit Reforms: Impacts’ (DWP, 2025)</w:t>
      </w:r>
      <w:r w:rsidR="006D2415">
        <w:t>, at 4.</w:t>
      </w:r>
    </w:p>
  </w:footnote>
  <w:footnote w:id="109">
    <w:p w14:paraId="4A6DB210" w14:textId="5C6D85BD" w:rsidR="008939A5" w:rsidRDefault="008939A5" w:rsidP="001F613A">
      <w:pPr>
        <w:pStyle w:val="NIHRCFootnotes"/>
      </w:pPr>
      <w:r>
        <w:rPr>
          <w:rStyle w:val="FootnoteReference"/>
        </w:rPr>
        <w:footnoteRef/>
      </w:r>
      <w:r>
        <w:t xml:space="preserve"> </w:t>
      </w:r>
      <w:r w:rsidR="00805CC3">
        <w:t>Child Poverty Action Group, ‘Short Briefing on Pathways to Work Green Paper</w:t>
      </w:r>
      <w:r w:rsidR="001F613A">
        <w:t xml:space="preserve">’. Available at: </w:t>
      </w:r>
      <w:hyperlink r:id="rId6" w:history="1">
        <w:r w:rsidR="001F613A" w:rsidRPr="001F613A">
          <w:rPr>
            <w:rStyle w:val="Hyperlink"/>
          </w:rPr>
          <w:t>Short briefing on Pathways to Work green paper | CPAG</w:t>
        </w:r>
      </w:hyperlink>
    </w:p>
  </w:footnote>
  <w:footnote w:id="110">
    <w:p w14:paraId="64309C39" w14:textId="258ED8FF" w:rsidR="004551EE" w:rsidRDefault="004551EE" w:rsidP="002C5B47">
      <w:pPr>
        <w:pStyle w:val="NIHRCFootnotes"/>
      </w:pPr>
      <w:r>
        <w:rPr>
          <w:rStyle w:val="FootnoteReference"/>
        </w:rPr>
        <w:footnoteRef/>
      </w:r>
      <w:r>
        <w:t xml:space="preserve"> </w:t>
      </w:r>
      <w:r w:rsidR="00FA734F">
        <w:t>Ulster University Economic Policy Centre, ‘</w:t>
      </w:r>
      <w:r w:rsidR="005B2B4C">
        <w:t xml:space="preserve">Maximising Potential: </w:t>
      </w:r>
      <w:r w:rsidR="002C5B47">
        <w:t>A</w:t>
      </w:r>
      <w:r w:rsidR="005B2B4C">
        <w:t xml:space="preserve"> Review of the Labour Market Outcomes for People with Disabilities in NI’, </w:t>
      </w:r>
      <w:r w:rsidR="002C5B47">
        <w:t xml:space="preserve">(UUEPC, 2022). </w:t>
      </w:r>
    </w:p>
  </w:footnote>
  <w:footnote w:id="111">
    <w:p w14:paraId="0FE181F0" w14:textId="3F2E9282" w:rsidR="001241E4" w:rsidRDefault="001241E4" w:rsidP="0023628D">
      <w:pPr>
        <w:pStyle w:val="NIHRCFootnotes"/>
      </w:pPr>
      <w:r>
        <w:rPr>
          <w:rStyle w:val="FootnoteReference"/>
        </w:rPr>
        <w:footnoteRef/>
      </w:r>
      <w:r>
        <w:t xml:space="preserve"> </w:t>
      </w:r>
      <w:r w:rsidR="008C3782">
        <w:t xml:space="preserve">‘Long </w:t>
      </w:r>
      <w:r w:rsidR="00BE6722">
        <w:t xml:space="preserve">term plan needed to tackle child poverty </w:t>
      </w:r>
      <w:r w:rsidR="0023628D">
        <w:t>–</w:t>
      </w:r>
      <w:r w:rsidR="00BE6722">
        <w:t xml:space="preserve"> minister</w:t>
      </w:r>
      <w:r w:rsidR="0023628D">
        <w:t xml:space="preserve">’, </w:t>
      </w:r>
      <w:r w:rsidR="0023628D" w:rsidRPr="0023628D">
        <w:rPr>
          <w:i/>
          <w:iCs/>
        </w:rPr>
        <w:t>BBC News NI</w:t>
      </w:r>
      <w:r w:rsidR="0023628D">
        <w:t>, 28 March 2025.</w:t>
      </w:r>
    </w:p>
  </w:footnote>
  <w:footnote w:id="112">
    <w:p w14:paraId="0E8F13D1" w14:textId="70F065FA" w:rsidR="00300886" w:rsidRDefault="00300886" w:rsidP="00C726B6">
      <w:pPr>
        <w:pStyle w:val="NIHRCFootnotes"/>
      </w:pPr>
      <w:r>
        <w:rPr>
          <w:rStyle w:val="FootnoteReference"/>
        </w:rPr>
        <w:footnoteRef/>
      </w:r>
      <w:r>
        <w:t xml:space="preserve"> </w:t>
      </w:r>
      <w:r w:rsidR="0055015E">
        <w:t>Department for Work and Pensions ‘Pathways to Work: Reforming Benefits and Support to Get Britain Working’ (DWP, 2025), at para 2.</w:t>
      </w:r>
    </w:p>
  </w:footnote>
  <w:footnote w:id="113">
    <w:p w14:paraId="16546B71" w14:textId="280FC223" w:rsidR="00B61A70" w:rsidRDefault="00B61A70" w:rsidP="007B76C3">
      <w:pPr>
        <w:pStyle w:val="NIHRCFootnotes"/>
      </w:pPr>
      <w:r>
        <w:rPr>
          <w:rStyle w:val="FootnoteReference"/>
        </w:rPr>
        <w:footnoteRef/>
      </w:r>
      <w:r>
        <w:t xml:space="preserve"> </w:t>
      </w:r>
      <w:r w:rsidR="00197730">
        <w:t>‘</w:t>
      </w:r>
      <w:r w:rsidR="002F4B7A">
        <w:t>UK Government’s Green Paper and Implications for NI</w:t>
      </w:r>
      <w:r w:rsidR="00922420">
        <w:t>’, Ulster University and Joseph Rowntree Foundation</w:t>
      </w:r>
      <w:r w:rsidR="004E5FA8">
        <w:t>, Ulster University Belfast, 28</w:t>
      </w:r>
      <w:r w:rsidR="007B76C3">
        <w:t xml:space="preserve"> April 2025.</w:t>
      </w:r>
    </w:p>
  </w:footnote>
  <w:footnote w:id="114">
    <w:p w14:paraId="2C135FB9" w14:textId="6B75F7C0" w:rsidR="00103882" w:rsidRDefault="00103882" w:rsidP="00FA6EAF">
      <w:pPr>
        <w:pStyle w:val="NIHRCFootnotes"/>
      </w:pPr>
      <w:r>
        <w:rPr>
          <w:rStyle w:val="FootnoteReference"/>
        </w:rPr>
        <w:footnoteRef/>
      </w:r>
      <w:r>
        <w:t xml:space="preserve"> </w:t>
      </w:r>
      <w:r w:rsidR="00F941EC">
        <w:t>Citizens Advice, ‘Pathways to Poverty: How Planned Cuts to Disability Benefits will Impact the People We Support</w:t>
      </w:r>
      <w:r w:rsidR="00FA6EAF">
        <w:t>’, (Citizens Advice, 2025).</w:t>
      </w:r>
    </w:p>
  </w:footnote>
  <w:footnote w:id="115">
    <w:p w14:paraId="3D51753C" w14:textId="634F4CF0" w:rsidR="00436CA4" w:rsidRDefault="00436CA4" w:rsidP="00436CA4">
      <w:pPr>
        <w:pStyle w:val="NIHRCFootnotes"/>
      </w:pPr>
      <w:r>
        <w:rPr>
          <w:rStyle w:val="FootnoteReference"/>
        </w:rPr>
        <w:footnoteRef/>
      </w:r>
      <w:r>
        <w:t xml:space="preserve"> E/C.12/GBR/CO/7, ‘UN ICESCR Committee Concluding Observations on the Seventh Periodic Report of the UK of Great Britain and NI’, 12 March 2025, at para 44.</w:t>
      </w:r>
    </w:p>
  </w:footnote>
  <w:footnote w:id="116">
    <w:p w14:paraId="5A130816" w14:textId="2B852F90" w:rsidR="00C04918" w:rsidRDefault="00C04918" w:rsidP="00C04918">
      <w:pPr>
        <w:pStyle w:val="NIHRCFootnotes"/>
      </w:pPr>
      <w:r>
        <w:rPr>
          <w:rStyle w:val="FootnoteReference"/>
        </w:rPr>
        <w:footnoteRef/>
      </w:r>
      <w:r>
        <w:t xml:space="preserve"> E/C.12/GBR/CO/7, ‘UN ICESCR Committee Concluding Observations on the Seventh Periodic Report of the UK of Great Britain and NI’, 12 March 2025, at para 44.</w:t>
      </w:r>
    </w:p>
  </w:footnote>
  <w:footnote w:id="117">
    <w:p w14:paraId="66E3F83E" w14:textId="7AECEE6B" w:rsidR="00195323" w:rsidRDefault="00195323" w:rsidP="00730BB0">
      <w:pPr>
        <w:pStyle w:val="NIHRCFootnotes"/>
      </w:pPr>
      <w:r>
        <w:rPr>
          <w:rStyle w:val="FootnoteReference"/>
        </w:rPr>
        <w:footnoteRef/>
      </w:r>
      <w:r>
        <w:t xml:space="preserve"> E/C.12/GBR/CO/7, ‘UN ICESCR Committee Concluding Observations on the Seventh Periodic Report of the UK of Great Britain and NI’, 12 March 2025, at para </w:t>
      </w:r>
      <w:r w:rsidR="00730BB0">
        <w:t>45(a).</w:t>
      </w:r>
    </w:p>
  </w:footnote>
  <w:footnote w:id="118">
    <w:p w14:paraId="6D9DB26A" w14:textId="77777777" w:rsidR="00F71F5D" w:rsidRDefault="00F71F5D" w:rsidP="00F71F5D">
      <w:pPr>
        <w:pStyle w:val="NIHRCFootnotes"/>
      </w:pPr>
      <w:r>
        <w:rPr>
          <w:rStyle w:val="FootnoteReference"/>
        </w:rPr>
        <w:footnoteRef/>
      </w:r>
      <w:r>
        <w:t xml:space="preserve"> CRC/C/GBR/CO/6-7, ‘UN CRC Committee Concluding Observations on the Combined Sixth and Seventh Periodic Reports of the UK of Great Britain and NI’, 22 June 2023, at 46(a).</w:t>
      </w:r>
    </w:p>
  </w:footnote>
  <w:footnote w:id="119">
    <w:p w14:paraId="573A2033" w14:textId="31625D33" w:rsidR="00394951" w:rsidRDefault="00394951" w:rsidP="00DF38BC">
      <w:pPr>
        <w:pStyle w:val="NIHRCFootnotes"/>
      </w:pPr>
      <w:r>
        <w:rPr>
          <w:rStyle w:val="FootnoteReference"/>
        </w:rPr>
        <w:footnoteRef/>
      </w:r>
      <w:r>
        <w:t xml:space="preserve"> CERD/C/GBR/</w:t>
      </w:r>
      <w:r w:rsidR="00DF38BC">
        <w:t>CO/24-26, ‘UN CERD Committee Concluding Observations on the Combined Twenty-Fourth to Twenty-Sixth Periodic Reports of the UK of Great Britain and NI’, 24 September 2024, at para 38.</w:t>
      </w:r>
    </w:p>
  </w:footnote>
  <w:footnote w:id="120">
    <w:p w14:paraId="6CE693FC" w14:textId="75ACB06B" w:rsidR="006A7224" w:rsidRDefault="006A7224" w:rsidP="00111B7B">
      <w:pPr>
        <w:pStyle w:val="NIHRCFootnotes"/>
      </w:pPr>
      <w:r>
        <w:rPr>
          <w:rStyle w:val="FootnoteReference"/>
        </w:rPr>
        <w:footnoteRef/>
      </w:r>
      <w:r>
        <w:t xml:space="preserve"> CRPD/C/GBR/CO/1, ‘UN CRPD Committee Concluding Observations on the </w:t>
      </w:r>
      <w:r w:rsidR="000148D1">
        <w:t xml:space="preserve">Initial Report of the UK of Great Britain and NI’, 3 October 2017, at para </w:t>
      </w:r>
      <w:r w:rsidR="00111B7B">
        <w:t>59(a).</w:t>
      </w:r>
    </w:p>
  </w:footnote>
  <w:footnote w:id="121">
    <w:p w14:paraId="672E414F" w14:textId="3EFE7D79" w:rsidR="00B859FD" w:rsidRDefault="00B859FD" w:rsidP="00B859FD">
      <w:pPr>
        <w:pStyle w:val="NIHRCFootnotes"/>
      </w:pPr>
      <w:r>
        <w:rPr>
          <w:rStyle w:val="FootnoteReference"/>
        </w:rPr>
        <w:footnoteRef/>
      </w:r>
      <w:r>
        <w:t xml:space="preserve"> Citizens Advice, ‘Pathways to Poverty: How Planned Cuts to Disability Benefits will Impact the People We Support’, (Citizens Advice, 2025), at 2.</w:t>
      </w:r>
    </w:p>
  </w:footnote>
  <w:footnote w:id="122">
    <w:p w14:paraId="33CCE5DC" w14:textId="4825CF9B" w:rsidR="003A6F2D" w:rsidRDefault="003A6F2D" w:rsidP="00C726B6">
      <w:pPr>
        <w:pStyle w:val="NIHRCFootnotes"/>
      </w:pPr>
      <w:r>
        <w:rPr>
          <w:rStyle w:val="FootnoteReference"/>
        </w:rPr>
        <w:footnoteRef/>
      </w:r>
      <w:r>
        <w:t xml:space="preserve"> </w:t>
      </w:r>
      <w:r w:rsidR="00C726B6">
        <w:t>Department for Work and Pensions ‘Pathways to Work: Reforming Benefits and Support to Get Britain Working’ (DWP, 2025), at para 37.</w:t>
      </w:r>
    </w:p>
  </w:footnote>
  <w:footnote w:id="123">
    <w:p w14:paraId="07D65CBD" w14:textId="637B6723" w:rsidR="00731194" w:rsidRDefault="00731194" w:rsidP="00731194">
      <w:pPr>
        <w:pStyle w:val="NIHRCFootnotes"/>
      </w:pPr>
      <w:r>
        <w:rPr>
          <w:rStyle w:val="FootnoteReference"/>
        </w:rPr>
        <w:footnoteRef/>
      </w:r>
      <w:r>
        <w:t xml:space="preserve"> Department for Work and Pensions ‘Pathways to Work: Reforming Benefits and Support to Get Britain Working’ (DWP, 2025), at para 37.</w:t>
      </w:r>
    </w:p>
  </w:footnote>
  <w:footnote w:id="124">
    <w:p w14:paraId="20B78681" w14:textId="3CABAC25" w:rsidR="00F8396A" w:rsidRDefault="00F8396A" w:rsidP="00F8396A">
      <w:pPr>
        <w:pStyle w:val="NIHRCFootnotes"/>
      </w:pPr>
      <w:r>
        <w:rPr>
          <w:rStyle w:val="FootnoteReference"/>
        </w:rPr>
        <w:footnoteRef/>
      </w:r>
      <w:r>
        <w:t xml:space="preserve"> Department for Work and Pensions ‘Pathways to Work: Reforming Benefits and Support to Get Britain Working’ (DWP, 2025), at para 112.</w:t>
      </w:r>
    </w:p>
  </w:footnote>
  <w:footnote w:id="125">
    <w:p w14:paraId="42992263" w14:textId="31F76321" w:rsidR="002716D6" w:rsidRDefault="002716D6" w:rsidP="002716D6">
      <w:pPr>
        <w:pStyle w:val="NIHRCFootnotes"/>
      </w:pPr>
      <w:r>
        <w:rPr>
          <w:rStyle w:val="FootnoteReference"/>
        </w:rPr>
        <w:footnoteRef/>
      </w:r>
      <w:r>
        <w:t xml:space="preserve"> Department for Work and Pensions ‘Pathways to Work: Reforming Benefits and Support to Get Britain Working’ (DWP, 2025), at para 113.</w:t>
      </w:r>
    </w:p>
  </w:footnote>
  <w:footnote w:id="126">
    <w:p w14:paraId="48565AE7" w14:textId="5E0A9459" w:rsidR="00AD6A87" w:rsidRDefault="00AD6A87" w:rsidP="00205943">
      <w:pPr>
        <w:pStyle w:val="NIHRCFootnotes"/>
      </w:pPr>
      <w:r>
        <w:rPr>
          <w:rStyle w:val="FootnoteReference"/>
        </w:rPr>
        <w:footnoteRef/>
      </w:r>
      <w:r w:rsidR="00E6148A">
        <w:t xml:space="preserve"> </w:t>
      </w:r>
      <w:r w:rsidR="004127CF">
        <w:t xml:space="preserve">UK </w:t>
      </w:r>
      <w:r w:rsidR="00E16925">
        <w:t>Parliament Hansard, ‘Work and Pensions Committee: PIP and ESA Assessments</w:t>
      </w:r>
      <w:r w:rsidR="00907807">
        <w:t xml:space="preserve"> – HC 829’, 7 February 2018, at para 1</w:t>
      </w:r>
      <w:r w:rsidR="00205943">
        <w:t>3.</w:t>
      </w:r>
    </w:p>
  </w:footnote>
  <w:footnote w:id="127">
    <w:p w14:paraId="2537750F" w14:textId="079DBFAE" w:rsidR="00370E56" w:rsidRDefault="00370E56" w:rsidP="00CB1C97">
      <w:pPr>
        <w:pStyle w:val="NIHRCFootnotes"/>
      </w:pPr>
      <w:r>
        <w:rPr>
          <w:rStyle w:val="FootnoteReference"/>
        </w:rPr>
        <w:footnoteRef/>
      </w:r>
      <w:r>
        <w:t xml:space="preserve"> Benefits and Work</w:t>
      </w:r>
      <w:r w:rsidR="001B3672">
        <w:t>, ‘Personal I</w:t>
      </w:r>
      <w:r w:rsidR="00EF5EFA">
        <w:t>nde</w:t>
      </w:r>
      <w:r w:rsidR="00E10C7C">
        <w:t xml:space="preserve">pendence Payment (PIP) Appeals’. Available at: </w:t>
      </w:r>
      <w:hyperlink r:id="rId7" w:history="1">
        <w:r w:rsidR="00CB1C97" w:rsidRPr="00CB1C97">
          <w:rPr>
            <w:rStyle w:val="Hyperlink"/>
          </w:rPr>
          <w:t>Personal Independence Payment (PIP) appeals</w:t>
        </w:r>
      </w:hyperlink>
    </w:p>
  </w:footnote>
  <w:footnote w:id="128">
    <w:p w14:paraId="13BC05AD" w14:textId="67A2F3F0" w:rsidR="003C544A" w:rsidRDefault="003C544A" w:rsidP="00205943">
      <w:pPr>
        <w:pStyle w:val="NIHRCFootnotes"/>
      </w:pPr>
      <w:r>
        <w:rPr>
          <w:rStyle w:val="FootnoteReference"/>
        </w:rPr>
        <w:footnoteRef/>
      </w:r>
      <w:r>
        <w:t xml:space="preserve"> </w:t>
      </w:r>
      <w:r w:rsidR="00FA6EAF">
        <w:t>Citizens Advice, ‘Pathways to Poverty: How Planned Cuts to Disability Benefits will Impact the People We Support’, (Citizens Advice, 2025).</w:t>
      </w:r>
    </w:p>
  </w:footnote>
  <w:footnote w:id="129">
    <w:p w14:paraId="599482FD" w14:textId="372153F2" w:rsidR="00F45E18" w:rsidRDefault="00F45E18" w:rsidP="00763275">
      <w:pPr>
        <w:pStyle w:val="NIHRCFootnotes"/>
      </w:pPr>
      <w:r>
        <w:rPr>
          <w:rStyle w:val="FootnoteReference"/>
        </w:rPr>
        <w:footnoteRef/>
      </w:r>
      <w:r>
        <w:t xml:space="preserve"> </w:t>
      </w:r>
      <w:r w:rsidR="00FA6EAF">
        <w:t>Citizens Advice, ‘Pathways to Poverty: How Planned Cuts to Disability Benefits will Impact the People We Support’, (Citizens Advice, 2025).</w:t>
      </w:r>
    </w:p>
  </w:footnote>
  <w:footnote w:id="130">
    <w:p w14:paraId="718A146D" w14:textId="6A341D7B" w:rsidR="006C18C8" w:rsidRDefault="006C18C8" w:rsidP="00763275">
      <w:pPr>
        <w:pStyle w:val="NIHRCFootnotes"/>
      </w:pPr>
      <w:r>
        <w:rPr>
          <w:rStyle w:val="FootnoteReference"/>
        </w:rPr>
        <w:footnoteRef/>
      </w:r>
      <w:r>
        <w:t xml:space="preserve"> </w:t>
      </w:r>
      <w:r w:rsidR="00763275">
        <w:t xml:space="preserve">Benefits and Work, ‘PIP Reviews’. Available at: </w:t>
      </w:r>
      <w:hyperlink r:id="rId8" w:anchor=":~:text=PIP%20review%20backlogs,award%20extended%20more%20than%20once." w:history="1">
        <w:r w:rsidRPr="006C18C8">
          <w:rPr>
            <w:rStyle w:val="Hyperlink"/>
          </w:rPr>
          <w:t>PIP reviews</w:t>
        </w:r>
      </w:hyperlink>
    </w:p>
  </w:footnote>
  <w:footnote w:id="131">
    <w:p w14:paraId="23A4E095" w14:textId="546F0DF3" w:rsidR="00CE6E16" w:rsidRDefault="00CE6E16" w:rsidP="00505CC6">
      <w:pPr>
        <w:pStyle w:val="NIHRCFootnotes"/>
      </w:pPr>
      <w:r>
        <w:rPr>
          <w:rStyle w:val="FootnoteReference"/>
        </w:rPr>
        <w:footnoteRef/>
      </w:r>
      <w:r>
        <w:t xml:space="preserve"> </w:t>
      </w:r>
      <w:r w:rsidR="000C53BE">
        <w:t xml:space="preserve">Department for Work and Pensions, ‘Personal Independence Payment </w:t>
      </w:r>
      <w:r w:rsidR="0023741D">
        <w:t>Official</w:t>
      </w:r>
      <w:r w:rsidR="000C53BE">
        <w:t xml:space="preserve"> Statistics to January 2025</w:t>
      </w:r>
      <w:r w:rsidR="00505CC6">
        <w:t xml:space="preserve">’. Available at: </w:t>
      </w:r>
      <w:hyperlink r:id="rId9" w:anchor="clearance-and-outstanding-times" w:history="1">
        <w:r w:rsidRPr="00CE6E16">
          <w:rPr>
            <w:rStyle w:val="Hyperlink"/>
          </w:rPr>
          <w:t>Personal Independence Payment Official Statistics to January 2025 - GOV.UK</w:t>
        </w:r>
      </w:hyperlink>
    </w:p>
  </w:footnote>
  <w:footnote w:id="132">
    <w:p w14:paraId="0606CC94" w14:textId="1DC2424D" w:rsidR="00B272FC" w:rsidRDefault="00B272FC" w:rsidP="00763275">
      <w:pPr>
        <w:pStyle w:val="NIHRCFootnotes"/>
      </w:pPr>
      <w:r>
        <w:rPr>
          <w:rStyle w:val="FootnoteReference"/>
        </w:rPr>
        <w:footnoteRef/>
      </w:r>
      <w:r>
        <w:t xml:space="preserve"> </w:t>
      </w:r>
      <w:r w:rsidR="00763275">
        <w:t>Citizens Advice, ‘Pathways to Poverty: How Planned Cuts to Disability Benefits will Impact the People We Support’, (Citizens Advice, 2025).</w:t>
      </w:r>
    </w:p>
  </w:footnote>
  <w:footnote w:id="133">
    <w:p w14:paraId="51CD9C4C" w14:textId="2F438820" w:rsidR="008663BD" w:rsidRDefault="008663BD" w:rsidP="008663BD">
      <w:pPr>
        <w:pStyle w:val="NIHRCFootnotes"/>
      </w:pPr>
      <w:r>
        <w:rPr>
          <w:rStyle w:val="FootnoteReference"/>
        </w:rPr>
        <w:footnoteRef/>
      </w:r>
      <w:r>
        <w:t xml:space="preserve"> Citizens Advice, ‘Pathways to Poverty: How Planned Cuts to Disability Benefits will Impact the People We Support’, (Citizens Advice, 2025).</w:t>
      </w:r>
    </w:p>
  </w:footnote>
  <w:footnote w:id="134">
    <w:p w14:paraId="254BBA37" w14:textId="436FC58E" w:rsidR="0023741D" w:rsidRDefault="0023741D" w:rsidP="001C50D3">
      <w:pPr>
        <w:pStyle w:val="NIHRCFootnotes"/>
      </w:pPr>
      <w:r>
        <w:rPr>
          <w:rStyle w:val="FootnoteReference"/>
        </w:rPr>
        <w:footnoteRef/>
      </w:r>
      <w:r>
        <w:t xml:space="preserve"> </w:t>
      </w:r>
      <w:bookmarkStart w:id="18" w:name="_Hlk199512127"/>
      <w:r>
        <w:t xml:space="preserve">Department for Work and Pensions ‘Pathways to Work: Reforming Benefits and Support to Get Britain Working’ (DWP, 2025), at para </w:t>
      </w:r>
      <w:r w:rsidR="001C50D3">
        <w:t>259.</w:t>
      </w:r>
      <w:bookmarkEnd w:id="18"/>
    </w:p>
  </w:footnote>
  <w:footnote w:id="135">
    <w:p w14:paraId="6810D1C8" w14:textId="743EBDFC" w:rsidR="004B4644" w:rsidRDefault="004B4644" w:rsidP="00F220EF">
      <w:pPr>
        <w:pStyle w:val="NIHRCFootnotes"/>
      </w:pPr>
      <w:r>
        <w:rPr>
          <w:rStyle w:val="FootnoteReference"/>
        </w:rPr>
        <w:footnoteRef/>
      </w:r>
      <w:r>
        <w:t xml:space="preserve"> Department for Work and Pensions ‘Pathways to Work: Reforming Benefits and Support to Get Britain Working’ (DWP, 2025), at para</w:t>
      </w:r>
      <w:r w:rsidR="00F220EF">
        <w:t>s</w:t>
      </w:r>
      <w:r>
        <w:t xml:space="preserve"> 2</w:t>
      </w:r>
      <w:r w:rsidR="0027480D">
        <w:t>55</w:t>
      </w:r>
      <w:r w:rsidR="00F220EF">
        <w:t>-258</w:t>
      </w:r>
      <w:r w:rsidR="0027480D">
        <w:t>.</w:t>
      </w:r>
    </w:p>
  </w:footnote>
  <w:footnote w:id="136">
    <w:p w14:paraId="45BECD94" w14:textId="50E327D1" w:rsidR="004917AF" w:rsidRDefault="004917AF" w:rsidP="004917AF">
      <w:pPr>
        <w:pStyle w:val="NIHRCFootnotes"/>
      </w:pPr>
      <w:r>
        <w:rPr>
          <w:rStyle w:val="FootnoteReference"/>
        </w:rPr>
        <w:footnoteRef/>
      </w:r>
      <w:r>
        <w:t xml:space="preserve"> Department for Work and Pensions ‘Pathways to Work: Reforming Benefits and Support to Get Britain Working’ (DWP, 2025), at para 255.</w:t>
      </w:r>
    </w:p>
  </w:footnote>
  <w:footnote w:id="137">
    <w:p w14:paraId="3DEAFB82" w14:textId="5F95C310" w:rsidR="009D2B86" w:rsidRDefault="009D2B86" w:rsidP="00806A9B">
      <w:pPr>
        <w:pStyle w:val="NIHRCFootnotes"/>
      </w:pPr>
      <w:r>
        <w:rPr>
          <w:rStyle w:val="FootnoteReference"/>
        </w:rPr>
        <w:footnoteRef/>
      </w:r>
      <w:r>
        <w:t xml:space="preserve"> </w:t>
      </w:r>
      <w:r w:rsidR="008A1C62">
        <w:t>Department for the Economy NI, ‘Young People Inequalities in NI Skills System</w:t>
      </w:r>
      <w:r w:rsidR="00806A9B">
        <w:t xml:space="preserve">’. Available at: </w:t>
      </w:r>
      <w:hyperlink r:id="rId10" w:history="1">
        <w:r w:rsidR="00806A9B" w:rsidRPr="00806A9B">
          <w:rPr>
            <w:rStyle w:val="Hyperlink"/>
          </w:rPr>
          <w:t>Young People Inequalities in the Northern Ireland skills system - accessible text version | Department for the Economy</w:t>
        </w:r>
      </w:hyperlink>
    </w:p>
  </w:footnote>
  <w:footnote w:id="138">
    <w:p w14:paraId="0F869094" w14:textId="7728D7D8" w:rsidR="002F16AA" w:rsidRDefault="002F16AA" w:rsidP="004C1F99">
      <w:pPr>
        <w:pStyle w:val="NIHRCFootnotes"/>
      </w:pPr>
      <w:r>
        <w:rPr>
          <w:rStyle w:val="FootnoteReference"/>
        </w:rPr>
        <w:footnoteRef/>
      </w:r>
      <w:r>
        <w:t xml:space="preserve"> Joseph Rowntree Foundation, ‘Young people caught in crosshairs of health and disability </w:t>
      </w:r>
      <w:proofErr w:type="gramStart"/>
      <w:r>
        <w:t>reforms’</w:t>
      </w:r>
      <w:proofErr w:type="gramEnd"/>
      <w:r>
        <w:t xml:space="preserve">. Available at: </w:t>
      </w:r>
      <w:hyperlink r:id="rId11" w:history="1">
        <w:r w:rsidR="004C1F99" w:rsidRPr="004C1F99">
          <w:rPr>
            <w:rStyle w:val="Hyperlink"/>
          </w:rPr>
          <w:t>Young people caught in crosshairs of health and disability reforms | Joseph Rowntree Foundation</w:t>
        </w:r>
      </w:hyperlink>
    </w:p>
  </w:footnote>
  <w:footnote w:id="139">
    <w:p w14:paraId="580699AE" w14:textId="533955D5" w:rsidR="00874C42" w:rsidRDefault="00874C42" w:rsidP="00874C42">
      <w:pPr>
        <w:pStyle w:val="NIHRCFootnotes"/>
      </w:pPr>
      <w:r>
        <w:rPr>
          <w:rStyle w:val="FootnoteReference"/>
        </w:rPr>
        <w:footnoteRef/>
      </w:r>
      <w:r>
        <w:t xml:space="preserve"> Department for Work and Pensions ‘Pathways to Work: Reforming Benefits and Support to Get Britain Working’ (DWP, 2025), at para 260.</w:t>
      </w:r>
    </w:p>
  </w:footnote>
  <w:footnote w:id="140">
    <w:p w14:paraId="1BCC7FDF" w14:textId="7F4B9FD1" w:rsidR="003146E1" w:rsidRDefault="003146E1" w:rsidP="003146E1">
      <w:pPr>
        <w:pStyle w:val="NIHRCFootnotes"/>
      </w:pPr>
      <w:r>
        <w:rPr>
          <w:rStyle w:val="FootnoteReference"/>
        </w:rPr>
        <w:footnoteRef/>
      </w:r>
      <w:r>
        <w:t xml:space="preserve"> Department for Work and Pensions ‘Pathways to Work: Reforming Benefits and Support to Get Britain Working’ (DWP, 2025), at para 260.</w:t>
      </w:r>
    </w:p>
  </w:footnote>
  <w:footnote w:id="141">
    <w:p w14:paraId="4C6EBFFC" w14:textId="2B2D8426" w:rsidR="001752BE" w:rsidRPr="001752BE" w:rsidRDefault="001752BE" w:rsidP="001752BE">
      <w:pPr>
        <w:pStyle w:val="NIHRCFootnotes"/>
        <w:rPr>
          <w:b/>
          <w:bCs/>
        </w:rPr>
      </w:pPr>
      <w:r>
        <w:rPr>
          <w:rStyle w:val="FootnoteReference"/>
        </w:rPr>
        <w:footnoteRef/>
      </w:r>
      <w:r>
        <w:t xml:space="preserve"> Department for Work and Pensions ‘Pathways to Work: Reforming Benefits and Support to Get Britain Working’ (DWP, 2025), at para 260.</w:t>
      </w:r>
    </w:p>
  </w:footnote>
  <w:footnote w:id="142">
    <w:p w14:paraId="7EED24EC" w14:textId="77777777" w:rsidR="004059B4" w:rsidRDefault="004059B4" w:rsidP="004059B4">
      <w:pPr>
        <w:pStyle w:val="NIHRCFootnotes"/>
      </w:pPr>
      <w:r>
        <w:rPr>
          <w:rStyle w:val="FootnoteReference"/>
        </w:rPr>
        <w:footnoteRef/>
      </w:r>
      <w:r>
        <w:t xml:space="preserve"> CRC/C/GC/9, ‘UN CRC Committee General Comment No 9 on the Rights of Children with Disabilities’, 27 February 2007, at para 32.</w:t>
      </w:r>
    </w:p>
  </w:footnote>
  <w:footnote w:id="143">
    <w:p w14:paraId="6AAE6DF7" w14:textId="77777777" w:rsidR="004059B4" w:rsidRDefault="004059B4" w:rsidP="004059B4">
      <w:pPr>
        <w:pStyle w:val="NIHRCFootnotes"/>
      </w:pPr>
      <w:r>
        <w:rPr>
          <w:rStyle w:val="FootnoteReference"/>
        </w:rPr>
        <w:footnoteRef/>
      </w:r>
      <w:r>
        <w:t xml:space="preserve"> CRC/C/GC/9, ‘UN CRC Committee General Comment No 9 on the Rights of Children with Disabilities’, 27 February 2007, at para 32.</w:t>
      </w:r>
    </w:p>
  </w:footnote>
  <w:footnote w:id="144">
    <w:p w14:paraId="40BD7CDD" w14:textId="77777777" w:rsidR="004059B4" w:rsidRDefault="004059B4" w:rsidP="004059B4">
      <w:pPr>
        <w:pStyle w:val="NIHRCFootnotes"/>
      </w:pPr>
      <w:r>
        <w:rPr>
          <w:rStyle w:val="FootnoteReference"/>
        </w:rPr>
        <w:footnoteRef/>
      </w:r>
      <w:r>
        <w:t xml:space="preserve"> CRC/C/GBR/CO/6-7, ‘UN CRC Committee Concluding Observations on the Combined Sixth and Seventh Periodic Reports of the UK of Great Britain and NI’, 22 June 2023, at para 23.</w:t>
      </w:r>
    </w:p>
  </w:footnote>
  <w:footnote w:id="145">
    <w:p w14:paraId="406C05D9" w14:textId="77777777" w:rsidR="004059B4" w:rsidRDefault="004059B4" w:rsidP="004059B4">
      <w:pPr>
        <w:pStyle w:val="NIHRCFootnotes"/>
      </w:pPr>
      <w:r>
        <w:rPr>
          <w:rStyle w:val="FootnoteReference"/>
        </w:rPr>
        <w:footnoteRef/>
      </w:r>
      <w:r>
        <w:t xml:space="preserve"> CRC/C/GBR/CO/6-7, ‘UN CRC Committee Concluding Observations on the Combined Sixth and Seventh Periodic Reports of the UK of Great Britain and NI’, 22 June 2023, at para 23.</w:t>
      </w:r>
    </w:p>
  </w:footnote>
  <w:footnote w:id="146">
    <w:p w14:paraId="2B20AD76" w14:textId="29A161A5" w:rsidR="005D5D98" w:rsidRDefault="005D5D98" w:rsidP="00D906F1">
      <w:pPr>
        <w:pStyle w:val="NIHRCFootnotes"/>
      </w:pPr>
      <w:r>
        <w:rPr>
          <w:rStyle w:val="FootnoteReference"/>
        </w:rPr>
        <w:footnoteRef/>
      </w:r>
      <w:r>
        <w:t xml:space="preserve"> UK Government, ‘Disability Living Allowance for Children’. Available at: </w:t>
      </w:r>
      <w:hyperlink r:id="rId12" w:history="1">
        <w:r w:rsidR="00D906F1" w:rsidRPr="00D906F1">
          <w:rPr>
            <w:rStyle w:val="Hyperlink"/>
          </w:rPr>
          <w:t>Disability Living Allowance (DLA) for children: DLA rates for children - GOV.UK</w:t>
        </w:r>
      </w:hyperlink>
    </w:p>
  </w:footnote>
  <w:footnote w:id="147">
    <w:p w14:paraId="5FEC50F2" w14:textId="7F36B289" w:rsidR="004A4E63" w:rsidRDefault="004A4E63" w:rsidP="004A4E63">
      <w:pPr>
        <w:pStyle w:val="NIHRCFootnotes"/>
      </w:pPr>
      <w:r>
        <w:rPr>
          <w:rStyle w:val="FootnoteReference"/>
        </w:rPr>
        <w:footnoteRef/>
      </w:r>
      <w:r>
        <w:t xml:space="preserve"> Department for Work and Pensions, ‘Benefit and Pension Rates 2025 to 2026’. Available at: </w:t>
      </w:r>
      <w:hyperlink r:id="rId13" w:anchor="personal-independence-payment" w:history="1">
        <w:r w:rsidRPr="00FF3AE0">
          <w:rPr>
            <w:rStyle w:val="Hyperlink"/>
          </w:rPr>
          <w:t>Benefit and pension rates 2025 to 2026 - GOV.UK</w:t>
        </w:r>
      </w:hyperlink>
    </w:p>
  </w:footnote>
  <w:footnote w:id="148">
    <w:p w14:paraId="651FB0DC" w14:textId="30921D15" w:rsidR="00162574" w:rsidRDefault="00162574" w:rsidP="00321D16">
      <w:pPr>
        <w:pStyle w:val="NIHRCFootnotes"/>
      </w:pPr>
      <w:r>
        <w:rPr>
          <w:rStyle w:val="FootnoteReference"/>
        </w:rPr>
        <w:footnoteRef/>
      </w:r>
      <w:r>
        <w:t xml:space="preserve"> Action for Children, ‘</w:t>
      </w:r>
      <w:r w:rsidR="00321D16">
        <w:t>Child Poverty and Barriers to Work’, (</w:t>
      </w:r>
      <w:proofErr w:type="spellStart"/>
      <w:r w:rsidR="00321D16">
        <w:t>AfC</w:t>
      </w:r>
      <w:proofErr w:type="spellEnd"/>
      <w:r w:rsidR="00321D16">
        <w:t>, 2024).</w:t>
      </w:r>
    </w:p>
  </w:footnote>
  <w:footnote w:id="149">
    <w:p w14:paraId="07971FA0" w14:textId="00435B95" w:rsidR="001F101B" w:rsidRDefault="001F101B" w:rsidP="009557F8">
      <w:pPr>
        <w:pStyle w:val="NIHRCFootnotes"/>
      </w:pPr>
      <w:r>
        <w:rPr>
          <w:rStyle w:val="FootnoteReference"/>
        </w:rPr>
        <w:footnoteRef/>
      </w:r>
      <w:r>
        <w:t xml:space="preserve"> Carers NI, ‘Policy Measures to Takle Poverty Among </w:t>
      </w:r>
      <w:r w:rsidR="009557F8">
        <w:t xml:space="preserve">Unpaid </w:t>
      </w:r>
      <w:r>
        <w:t xml:space="preserve">Carers </w:t>
      </w:r>
      <w:r w:rsidR="009557F8">
        <w:t>in NI’, (Carers NI, 2023).</w:t>
      </w:r>
    </w:p>
  </w:footnote>
  <w:footnote w:id="150">
    <w:p w14:paraId="462F4216" w14:textId="0314C811" w:rsidR="006C36D2" w:rsidRDefault="006C36D2" w:rsidP="00367837">
      <w:pPr>
        <w:pStyle w:val="NIHRCFootnotes"/>
      </w:pPr>
      <w:r>
        <w:rPr>
          <w:rStyle w:val="FootnoteReference"/>
        </w:rPr>
        <w:footnoteRef/>
      </w:r>
      <w:r>
        <w:t xml:space="preserve"> </w:t>
      </w:r>
      <w:r w:rsidR="00367837">
        <w:t>CRPD/C/GBR/CO/1, ‘UN CRPD Committee Concluding Observations on the Initial Report of the UK of Great Britain and NI’, 3 October 2017, at para 21(a).</w:t>
      </w:r>
    </w:p>
  </w:footnote>
  <w:footnote w:id="151">
    <w:p w14:paraId="5E67D2A8" w14:textId="0ED438BB" w:rsidR="00E60EF2" w:rsidRDefault="00E60EF2" w:rsidP="00E60EF2">
      <w:pPr>
        <w:pStyle w:val="NIHRCFootnotes"/>
      </w:pPr>
      <w:r>
        <w:rPr>
          <w:rStyle w:val="FootnoteReference"/>
        </w:rPr>
        <w:footnoteRef/>
      </w:r>
      <w:r>
        <w:t xml:space="preserve"> Department for Work and Pensions ‘Pathways to Work: Reforming Benefits and Support to Get Britain Working’ (DWP, 2025), at para 210.</w:t>
      </w:r>
    </w:p>
  </w:footnote>
  <w:footnote w:id="152">
    <w:p w14:paraId="3EC11005" w14:textId="77777777" w:rsidR="00D221A2" w:rsidRDefault="00D221A2" w:rsidP="00D221A2">
      <w:pPr>
        <w:pStyle w:val="NIHRCFootnotes"/>
      </w:pPr>
      <w:r>
        <w:rPr>
          <w:rStyle w:val="FootnoteReference"/>
        </w:rPr>
        <w:footnoteRef/>
      </w:r>
      <w:r>
        <w:t xml:space="preserve"> Department for Work and Pensions ‘Pathways to Work: Reforming Benefits and Support to Get Britain Working’ (DWP, 2025), at para 208.</w:t>
      </w:r>
    </w:p>
  </w:footnote>
  <w:footnote w:id="153">
    <w:p w14:paraId="0F9068C2" w14:textId="77777777" w:rsidR="00D221A2" w:rsidRDefault="00D221A2" w:rsidP="00D221A2">
      <w:pPr>
        <w:pStyle w:val="NIHRCFootnotes"/>
      </w:pPr>
      <w:r>
        <w:rPr>
          <w:rStyle w:val="FootnoteReference"/>
        </w:rPr>
        <w:footnoteRef/>
      </w:r>
      <w:r>
        <w:t xml:space="preserve"> E/C.12/GBR/CO/7, ‘UN ICESCR Committee Concluding Observations on the Seventh Periodic Report of the UK of Great Britain and NI’, 12 March 2025, at paras 36-37.</w:t>
      </w:r>
    </w:p>
  </w:footnote>
  <w:footnote w:id="154">
    <w:p w14:paraId="320FA542" w14:textId="77777777" w:rsidR="00D221A2" w:rsidRDefault="00D221A2" w:rsidP="00D221A2">
      <w:pPr>
        <w:pStyle w:val="NIHRCFootnotes"/>
      </w:pPr>
      <w:r>
        <w:rPr>
          <w:rStyle w:val="FootnoteReference"/>
        </w:rPr>
        <w:footnoteRef/>
      </w:r>
      <w:r>
        <w:t xml:space="preserve"> CRPD/C/GBR/CO/1, ‘UN CRPD Committee Concluding Observations on the Initial Report of the UK of Great Britain and NI’, 3 October 2017, at para 56(b).</w:t>
      </w:r>
    </w:p>
  </w:footnote>
  <w:footnote w:id="155">
    <w:p w14:paraId="1D439318" w14:textId="77777777" w:rsidR="00D221A2" w:rsidRDefault="00D221A2" w:rsidP="00D221A2">
      <w:pPr>
        <w:pStyle w:val="NIHRCFootnotes"/>
      </w:pPr>
      <w:r>
        <w:rPr>
          <w:rStyle w:val="FootnoteReference"/>
        </w:rPr>
        <w:footnoteRef/>
      </w:r>
      <w:r>
        <w:t xml:space="preserve"> CRPD/C/GBR/CO/1, ‘UN CRPD Committee Concluding Observations on the Initial Report of the UK of Great Britain and NI’, 3 October 2017, at para 57(b).</w:t>
      </w:r>
    </w:p>
  </w:footnote>
  <w:footnote w:id="156">
    <w:p w14:paraId="446EC973" w14:textId="63F11FDD" w:rsidR="00D221A2" w:rsidRDefault="00D221A2" w:rsidP="0088790C">
      <w:pPr>
        <w:pStyle w:val="NIHRCFootnotes"/>
      </w:pPr>
      <w:r>
        <w:rPr>
          <w:rStyle w:val="FootnoteReference"/>
        </w:rPr>
        <w:footnoteRef/>
      </w:r>
      <w:r>
        <w:t xml:space="preserve"> </w:t>
      </w:r>
      <w:r w:rsidR="00A30F8D">
        <w:t xml:space="preserve">Equality Commission for NI, ‘Key Inequalities in Employment’, </w:t>
      </w:r>
      <w:r w:rsidR="0088790C">
        <w:t xml:space="preserve">(ECNI, 2018). </w:t>
      </w:r>
    </w:p>
  </w:footnote>
  <w:footnote w:id="157">
    <w:p w14:paraId="16B511D6" w14:textId="77777777" w:rsidR="007E295F" w:rsidRDefault="007E295F" w:rsidP="007E295F">
      <w:pPr>
        <w:pStyle w:val="NIHRCFootnotes"/>
      </w:pPr>
      <w:r>
        <w:rPr>
          <w:rStyle w:val="FootnoteReference"/>
        </w:rPr>
        <w:footnoteRef/>
      </w:r>
      <w:r>
        <w:t xml:space="preserve"> NI Statistics and Research Agency, ‘Disability Within the NI Labour Market’ (NISRA, 2022), at 12.</w:t>
      </w:r>
    </w:p>
  </w:footnote>
  <w:footnote w:id="158">
    <w:p w14:paraId="3B79F0DF" w14:textId="77777777" w:rsidR="007E295F" w:rsidRDefault="007E295F" w:rsidP="007E295F">
      <w:pPr>
        <w:pStyle w:val="NIHRCFootnotes"/>
      </w:pPr>
      <w:r>
        <w:rPr>
          <w:rStyle w:val="FootnoteReference"/>
        </w:rPr>
        <w:footnoteRef/>
      </w:r>
      <w:r>
        <w:t xml:space="preserve"> NI Statistics and Research Agency, ‘Disability Within the NI Labour Market’ (NISRA, 2022), at 13.</w:t>
      </w:r>
    </w:p>
  </w:footnote>
  <w:footnote w:id="159">
    <w:p w14:paraId="501A6258" w14:textId="77777777" w:rsidR="007E295F" w:rsidRDefault="007E295F" w:rsidP="007E295F">
      <w:pPr>
        <w:pStyle w:val="NIHRCFootnotes"/>
      </w:pPr>
      <w:r>
        <w:rPr>
          <w:rStyle w:val="FootnoteReference"/>
        </w:rPr>
        <w:footnoteRef/>
      </w:r>
      <w:r>
        <w:t xml:space="preserve"> NI Statistics and Research Agency, ‘Disability Within the NI Labour Market’ (NISRA, 2022), at 13-14.</w:t>
      </w:r>
    </w:p>
  </w:footnote>
  <w:footnote w:id="160">
    <w:p w14:paraId="1F3BA0D0" w14:textId="77777777" w:rsidR="007E295F" w:rsidRDefault="007E295F" w:rsidP="007E295F">
      <w:pPr>
        <w:pStyle w:val="NIHRCFootnotes"/>
      </w:pPr>
      <w:r>
        <w:rPr>
          <w:rStyle w:val="FootnoteReference"/>
        </w:rPr>
        <w:footnoteRef/>
      </w:r>
      <w:r>
        <w:t xml:space="preserve"> NI Statistics and Research Agency, ‘Disability Within the NI Labour Market’ (NISRA, 2022), at 14.</w:t>
      </w:r>
    </w:p>
  </w:footnote>
  <w:footnote w:id="161">
    <w:p w14:paraId="612DD5E0" w14:textId="6C1847B2" w:rsidR="00493C41" w:rsidRDefault="00493C41" w:rsidP="00A361AB">
      <w:pPr>
        <w:pStyle w:val="NIHRCFootnotes"/>
      </w:pPr>
      <w:r>
        <w:rPr>
          <w:rStyle w:val="FootnoteReference"/>
        </w:rPr>
        <w:footnoteRef/>
      </w:r>
      <w:r>
        <w:t xml:space="preserve"> </w:t>
      </w:r>
      <w:r w:rsidR="001106D6">
        <w:t>Equality Commission for NI and Ulster University, ‘Impact of Brexit on Section 75 Equality Groups in NI</w:t>
      </w:r>
      <w:r w:rsidR="00A361AB">
        <w:t xml:space="preserve">: EU Funding’, (ECNI and UU, 2022), at </w:t>
      </w:r>
      <w:r w:rsidR="00580265">
        <w:t>29</w:t>
      </w:r>
      <w:r w:rsidR="00A361AB">
        <w:t>.</w:t>
      </w:r>
    </w:p>
  </w:footnote>
  <w:footnote w:id="162">
    <w:p w14:paraId="32525D88" w14:textId="1C596317" w:rsidR="005C7DAE" w:rsidRDefault="005C7DAE" w:rsidP="00A361AB">
      <w:pPr>
        <w:pStyle w:val="NIHRCFootnotes"/>
      </w:pPr>
      <w:r>
        <w:rPr>
          <w:rStyle w:val="FootnoteReference"/>
        </w:rPr>
        <w:footnoteRef/>
      </w:r>
      <w:r>
        <w:t xml:space="preserve"> </w:t>
      </w:r>
      <w:r w:rsidR="00A361AB">
        <w:t xml:space="preserve">Equality Commission for NI and Ulster University, ‘Impact of Brexit on Section 75 Equality Groups in NI: EU Funding’, (ECNI and UU, 2022), at </w:t>
      </w:r>
      <w:r>
        <w:t>32</w:t>
      </w:r>
      <w:r w:rsidR="00A361AB">
        <w:t>.</w:t>
      </w:r>
    </w:p>
  </w:footnote>
  <w:footnote w:id="163">
    <w:p w14:paraId="2F2CBD12" w14:textId="2A41D3F4" w:rsidR="00E229EF" w:rsidRDefault="00E229EF" w:rsidP="00823D25">
      <w:pPr>
        <w:pStyle w:val="NIHRCFootnotes"/>
      </w:pPr>
      <w:r>
        <w:rPr>
          <w:rStyle w:val="FootnoteReference"/>
        </w:rPr>
        <w:footnoteRef/>
      </w:r>
      <w:r>
        <w:t xml:space="preserve"> </w:t>
      </w:r>
      <w:r w:rsidR="00823D25">
        <w:t>‘UK Government’s Green Paper and Implications for NI’, Ulster University and Joseph Rowntree Foundation, Ulster University Belfast, 28 April 2025.</w:t>
      </w:r>
    </w:p>
  </w:footnote>
  <w:footnote w:id="164">
    <w:p w14:paraId="051BFFE8" w14:textId="3D7286BE" w:rsidR="002051A1" w:rsidRDefault="002051A1" w:rsidP="002051A1">
      <w:pPr>
        <w:pStyle w:val="NIHRCFootnotes"/>
      </w:pPr>
      <w:r>
        <w:rPr>
          <w:rStyle w:val="FootnoteReference"/>
        </w:rPr>
        <w:footnoteRef/>
      </w:r>
      <w:r>
        <w:t xml:space="preserve"> Department for Work and Pensions ‘Pathways to Work: Reforming Benefits and Support to Get Britain Working’ (DWP, 2025), at para 217.</w:t>
      </w:r>
    </w:p>
  </w:footnote>
  <w:footnote w:id="165">
    <w:p w14:paraId="64FB3742" w14:textId="5EAF4CC5" w:rsidR="00C57793" w:rsidRDefault="00C57793" w:rsidP="00C57793">
      <w:pPr>
        <w:pStyle w:val="NIHRCFootnotes"/>
      </w:pPr>
      <w:r>
        <w:rPr>
          <w:rStyle w:val="FootnoteReference"/>
        </w:rPr>
        <w:footnoteRef/>
      </w:r>
      <w:r>
        <w:t xml:space="preserve"> Department for Work and Pensions ‘Pathways to Work: Reforming Benefits and Support to Get Britain Working’ (DWP, 2025), at para 247.</w:t>
      </w:r>
    </w:p>
  </w:footnote>
  <w:footnote w:id="166">
    <w:p w14:paraId="48CC3631" w14:textId="502386F6" w:rsidR="005871CC" w:rsidRDefault="005871CC" w:rsidP="005871CC">
      <w:pPr>
        <w:pStyle w:val="NIHRCFootnotes"/>
      </w:pPr>
      <w:r>
        <w:rPr>
          <w:rStyle w:val="FootnoteReference"/>
        </w:rPr>
        <w:footnoteRef/>
      </w:r>
      <w:r>
        <w:t xml:space="preserve"> CRPD/C/15/4, ‘UN CRPD Committee Inquiry Concerning the UK of Great Britain and NI carried out by the Committee Under Article 6 of the Optional Protocol to the Convention’, 24 October 2017, at para 106.</w:t>
      </w:r>
    </w:p>
  </w:footnote>
  <w:footnote w:id="167">
    <w:p w14:paraId="2F254419" w14:textId="70732DA6" w:rsidR="003A27DE" w:rsidRDefault="003A27DE" w:rsidP="003A27DE">
      <w:pPr>
        <w:pStyle w:val="NIHRCFootnotes"/>
      </w:pPr>
      <w:r>
        <w:rPr>
          <w:rStyle w:val="FootnoteReference"/>
        </w:rPr>
        <w:footnoteRef/>
      </w:r>
      <w:r>
        <w:t xml:space="preserve"> CRPD/C/GBR/CO/1, ‘UN CRPD Committee Concluding Observations on the Initial Report of the UK of Great Britain and NI’, 3 October 2017, at para 57(c).</w:t>
      </w:r>
    </w:p>
  </w:footnote>
  <w:footnote w:id="168">
    <w:p w14:paraId="6A13226A" w14:textId="1659A52D" w:rsidR="00E0528A" w:rsidRDefault="00E0528A" w:rsidP="00AB139A">
      <w:pPr>
        <w:pStyle w:val="NIHRCFootnotes"/>
      </w:pPr>
      <w:r>
        <w:rPr>
          <w:rStyle w:val="FootnoteReference"/>
        </w:rPr>
        <w:footnoteRef/>
      </w:r>
      <w:r>
        <w:t xml:space="preserve"> A/HRC/41/39/Add.1, ‘S</w:t>
      </w:r>
      <w:r w:rsidR="00AB139A">
        <w:t>pecial Rapporteur on Extreme Poverty and Human Rights Visit to the UK of Great Britain and NI’, 23 April 2019, at para 57.</w:t>
      </w:r>
    </w:p>
  </w:footnote>
  <w:footnote w:id="169">
    <w:p w14:paraId="1975E66B" w14:textId="4326A5B3" w:rsidR="00B142E8" w:rsidRDefault="00B142E8" w:rsidP="00032964">
      <w:pPr>
        <w:pStyle w:val="NIHRCFootnotes"/>
      </w:pPr>
      <w:r>
        <w:rPr>
          <w:rStyle w:val="FootnoteReference"/>
        </w:rPr>
        <w:footnoteRef/>
      </w:r>
      <w:r>
        <w:t xml:space="preserve"> </w:t>
      </w:r>
      <w:r w:rsidR="00E54847">
        <w:t>UK Parliament Hansard</w:t>
      </w:r>
      <w:r w:rsidR="00F16E32">
        <w:t>, ‘Work and Pensions Committee: Benefit Sanctions’, 6 November 201</w:t>
      </w:r>
      <w:r w:rsidR="00032964">
        <w:t>8.</w:t>
      </w:r>
    </w:p>
  </w:footnote>
  <w:footnote w:id="170">
    <w:p w14:paraId="16284E70" w14:textId="2AB0340E" w:rsidR="00173E9C" w:rsidRDefault="00173E9C" w:rsidP="0074262A">
      <w:pPr>
        <w:pStyle w:val="NIHRCFootnotes"/>
      </w:pPr>
      <w:r>
        <w:rPr>
          <w:rStyle w:val="FootnoteReference"/>
        </w:rPr>
        <w:footnoteRef/>
      </w:r>
      <w:r>
        <w:t xml:space="preserve"> Department for Work and Pensions ‘Pathways to Work: Reforming Benefits and Support to Get Britain Working’ (DWP, 2025), at para 12</w:t>
      </w:r>
      <w:r w:rsidR="0074262A">
        <w:t>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50E4D"/>
    <w:multiLevelType w:val="multilevel"/>
    <w:tmpl w:val="BDC6E922"/>
    <w:lvl w:ilvl="0">
      <w:start w:val="4"/>
      <w:numFmt w:val="decimal"/>
      <w:lvlText w:val="%1"/>
      <w:lvlJc w:val="left"/>
      <w:pPr>
        <w:ind w:left="608" w:hanging="608"/>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12853E6F"/>
    <w:multiLevelType w:val="multilevel"/>
    <w:tmpl w:val="EDA20532"/>
    <w:lvl w:ilvl="0">
      <w:start w:val="2"/>
      <w:numFmt w:val="decimal"/>
      <w:lvlText w:val="%1"/>
      <w:lvlJc w:val="left"/>
      <w:pPr>
        <w:ind w:left="435" w:hanging="435"/>
      </w:pPr>
      <w:rPr>
        <w:rFonts w:hint="default"/>
        <w:b/>
      </w:rPr>
    </w:lvl>
    <w:lvl w:ilvl="1">
      <w:start w:val="8"/>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2" w15:restartNumberingAfterBreak="0">
    <w:nsid w:val="12880CB4"/>
    <w:multiLevelType w:val="hybridMultilevel"/>
    <w:tmpl w:val="0BA2883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136F3C4C"/>
    <w:multiLevelType w:val="multilevel"/>
    <w:tmpl w:val="03E00542"/>
    <w:lvl w:ilvl="0">
      <w:start w:val="3"/>
      <w:numFmt w:val="decimal"/>
      <w:lvlText w:val="%1"/>
      <w:lvlJc w:val="left"/>
      <w:pPr>
        <w:ind w:left="608" w:hanging="608"/>
      </w:pPr>
      <w:rPr>
        <w:rFonts w:hint="default"/>
        <w:b/>
      </w:rPr>
    </w:lvl>
    <w:lvl w:ilvl="1">
      <w:start w:val="32"/>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4" w15:restartNumberingAfterBreak="0">
    <w:nsid w:val="1857018A"/>
    <w:multiLevelType w:val="hybridMultilevel"/>
    <w:tmpl w:val="8A30D634"/>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AC52A2"/>
    <w:multiLevelType w:val="multilevel"/>
    <w:tmpl w:val="52DE9E2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ascii="Verdana" w:hAnsi="Verdana" w:hint="default"/>
        <w:b w:val="0"/>
        <w:bCs/>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6" w15:restartNumberingAfterBreak="0">
    <w:nsid w:val="2139525F"/>
    <w:multiLevelType w:val="hybridMultilevel"/>
    <w:tmpl w:val="8CF40FB0"/>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964CA8"/>
    <w:multiLevelType w:val="multilevel"/>
    <w:tmpl w:val="113C7346"/>
    <w:lvl w:ilvl="0">
      <w:start w:val="4"/>
      <w:numFmt w:val="decimal"/>
      <w:lvlText w:val="%1"/>
      <w:lvlJc w:val="left"/>
      <w:pPr>
        <w:ind w:left="608" w:hanging="608"/>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30CA695D"/>
    <w:multiLevelType w:val="multilevel"/>
    <w:tmpl w:val="08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7F4DD4"/>
    <w:multiLevelType w:val="multilevel"/>
    <w:tmpl w:val="EE66609E"/>
    <w:lvl w:ilvl="0">
      <w:start w:val="3"/>
      <w:numFmt w:val="decimal"/>
      <w:lvlText w:val="%1"/>
      <w:lvlJc w:val="left"/>
      <w:pPr>
        <w:ind w:left="608" w:hanging="608"/>
      </w:pPr>
      <w:rPr>
        <w:rFonts w:hint="default"/>
        <w:b/>
      </w:rPr>
    </w:lvl>
    <w:lvl w:ilvl="1">
      <w:start w:val="28"/>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10" w15:restartNumberingAfterBreak="0">
    <w:nsid w:val="34833069"/>
    <w:multiLevelType w:val="multilevel"/>
    <w:tmpl w:val="52DE9E2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ascii="Verdana" w:hAnsi="Verdana" w:hint="default"/>
        <w:b w:val="0"/>
        <w:bCs/>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1" w15:restartNumberingAfterBreak="0">
    <w:nsid w:val="36447DFB"/>
    <w:multiLevelType w:val="hybridMultilevel"/>
    <w:tmpl w:val="A3B84D18"/>
    <w:lvl w:ilvl="0" w:tplc="50960044">
      <w:start w:val="1"/>
      <w:numFmt w:val="decimal"/>
      <w:lvlText w:val="%1."/>
      <w:lvlJc w:val="left"/>
      <w:pPr>
        <w:ind w:left="360" w:hanging="360"/>
      </w:pPr>
      <w:rPr>
        <w:rFonts w:hint="default"/>
        <w:color w:val="7347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7A57C83"/>
    <w:multiLevelType w:val="multilevel"/>
    <w:tmpl w:val="1F7C4752"/>
    <w:lvl w:ilvl="0">
      <w:start w:val="2"/>
      <w:numFmt w:val="decimal"/>
      <w:lvlText w:val="%1"/>
      <w:lvlJc w:val="left"/>
      <w:pPr>
        <w:ind w:left="608" w:hanging="608"/>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3E422170"/>
    <w:multiLevelType w:val="hybridMultilevel"/>
    <w:tmpl w:val="E522FDC6"/>
    <w:lvl w:ilvl="0" w:tplc="9174B4FC">
      <w:start w:val="1"/>
      <w:numFmt w:val="bullet"/>
      <w:lvlText w:val=""/>
      <w:lvlJc w:val="left"/>
      <w:pPr>
        <w:ind w:left="360" w:hanging="360"/>
      </w:pPr>
      <w:rPr>
        <w:rFonts w:ascii="Symbol" w:hAnsi="Symbol" w:hint="default"/>
        <w:color w:val="77328A"/>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7A5C60"/>
    <w:multiLevelType w:val="multilevel"/>
    <w:tmpl w:val="50DC8C34"/>
    <w:lvl w:ilvl="0">
      <w:start w:val="3"/>
      <w:numFmt w:val="decimal"/>
      <w:lvlText w:val="%1"/>
      <w:lvlJc w:val="left"/>
      <w:pPr>
        <w:ind w:left="608" w:hanging="608"/>
      </w:pPr>
      <w:rPr>
        <w:rFonts w:hint="default"/>
        <w:b/>
      </w:rPr>
    </w:lvl>
    <w:lvl w:ilvl="1">
      <w:start w:val="29"/>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15" w15:restartNumberingAfterBreak="0">
    <w:nsid w:val="40F35F46"/>
    <w:multiLevelType w:val="hybridMultilevel"/>
    <w:tmpl w:val="BB623A3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42AE4B12"/>
    <w:multiLevelType w:val="multilevel"/>
    <w:tmpl w:val="807E06B0"/>
    <w:lvl w:ilvl="0">
      <w:start w:val="4"/>
      <w:numFmt w:val="decimal"/>
      <w:lvlText w:val="%1"/>
      <w:lvlJc w:val="left"/>
      <w:pPr>
        <w:ind w:left="608" w:hanging="608"/>
      </w:pPr>
      <w:rPr>
        <w:rFonts w:hint="default"/>
        <w:b/>
      </w:rPr>
    </w:lvl>
    <w:lvl w:ilvl="1">
      <w:start w:val="46"/>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17" w15:restartNumberingAfterBreak="0">
    <w:nsid w:val="44360A21"/>
    <w:multiLevelType w:val="multilevel"/>
    <w:tmpl w:val="8B56EF5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8" w15:restartNumberingAfterBreak="0">
    <w:nsid w:val="4CA17DAC"/>
    <w:multiLevelType w:val="multilevel"/>
    <w:tmpl w:val="11EE3234"/>
    <w:lvl w:ilvl="0">
      <w:start w:val="2"/>
      <w:numFmt w:val="decimal"/>
      <w:lvlText w:val="%1"/>
      <w:lvlJc w:val="left"/>
      <w:pPr>
        <w:ind w:left="608" w:hanging="608"/>
      </w:pPr>
      <w:rPr>
        <w:rFonts w:hint="default"/>
        <w:b/>
      </w:rPr>
    </w:lvl>
    <w:lvl w:ilvl="1">
      <w:start w:val="15"/>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19" w15:restartNumberingAfterBreak="0">
    <w:nsid w:val="4ECD46DA"/>
    <w:multiLevelType w:val="hybridMultilevel"/>
    <w:tmpl w:val="A198F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EEC7677"/>
    <w:multiLevelType w:val="multilevel"/>
    <w:tmpl w:val="349C8C8E"/>
    <w:lvl w:ilvl="0">
      <w:start w:val="4"/>
      <w:numFmt w:val="decimal"/>
      <w:lvlText w:val="%1"/>
      <w:lvlJc w:val="left"/>
      <w:pPr>
        <w:ind w:left="540" w:hanging="540"/>
      </w:pPr>
      <w:rPr>
        <w:rFonts w:hint="default"/>
        <w:b w:val="0"/>
      </w:rPr>
    </w:lvl>
    <w:lvl w:ilvl="1">
      <w:start w:val="52"/>
      <w:numFmt w:val="decimal"/>
      <w:lvlText w:val="%1.%2"/>
      <w:lvlJc w:val="left"/>
      <w:pPr>
        <w:ind w:left="720" w:hanging="720"/>
      </w:pPr>
      <w:rPr>
        <w:rFonts w:hint="default"/>
        <w:b/>
        <w:bCs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880" w:hanging="2880"/>
      </w:pPr>
      <w:rPr>
        <w:rFonts w:hint="default"/>
        <w:b w:val="0"/>
      </w:rPr>
    </w:lvl>
  </w:abstractNum>
  <w:abstractNum w:abstractNumId="21" w15:restartNumberingAfterBreak="0">
    <w:nsid w:val="5080077D"/>
    <w:multiLevelType w:val="multilevel"/>
    <w:tmpl w:val="E138D8F6"/>
    <w:lvl w:ilvl="0">
      <w:start w:val="2"/>
      <w:numFmt w:val="decimal"/>
      <w:lvlText w:val="%1.0"/>
      <w:lvlJc w:val="left"/>
      <w:pPr>
        <w:ind w:left="720" w:hanging="720"/>
      </w:pPr>
      <w:rPr>
        <w:rFonts w:hint="default"/>
        <w:b/>
      </w:rPr>
    </w:lvl>
    <w:lvl w:ilvl="1">
      <w:start w:val="1"/>
      <w:numFmt w:val="decimal"/>
      <w:lvlText w:val="%1.%2"/>
      <w:lvlJc w:val="left"/>
      <w:pPr>
        <w:ind w:left="1440" w:hanging="720"/>
      </w:pPr>
      <w:rPr>
        <w:rFonts w:ascii="Verdana" w:hAnsi="Verdana" w:hint="default"/>
        <w:b w:val="0"/>
        <w:bCs/>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2" w15:restartNumberingAfterBreak="0">
    <w:nsid w:val="553509E3"/>
    <w:multiLevelType w:val="hybridMultilevel"/>
    <w:tmpl w:val="D8E6742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66D4103C"/>
    <w:multiLevelType w:val="multilevel"/>
    <w:tmpl w:val="52DE9E2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ascii="Verdana" w:hAnsi="Verdana" w:hint="default"/>
        <w:b w:val="0"/>
        <w:bCs/>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4" w15:restartNumberingAfterBreak="0">
    <w:nsid w:val="6761430A"/>
    <w:multiLevelType w:val="multilevel"/>
    <w:tmpl w:val="52DE9E2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ascii="Verdana" w:hAnsi="Verdana" w:hint="default"/>
        <w:b w:val="0"/>
        <w:bCs/>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5" w15:restartNumberingAfterBreak="0">
    <w:nsid w:val="732D4628"/>
    <w:multiLevelType w:val="hybridMultilevel"/>
    <w:tmpl w:val="7BB07136"/>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895382E"/>
    <w:multiLevelType w:val="multilevel"/>
    <w:tmpl w:val="52DE9E2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ascii="Verdana" w:hAnsi="Verdana" w:hint="default"/>
        <w:b w:val="0"/>
        <w:bCs/>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7" w15:restartNumberingAfterBreak="0">
    <w:nsid w:val="7B647580"/>
    <w:multiLevelType w:val="multilevel"/>
    <w:tmpl w:val="1E52B9E0"/>
    <w:lvl w:ilvl="0">
      <w:start w:val="4"/>
      <w:numFmt w:val="decimal"/>
      <w:lvlText w:val="%1"/>
      <w:lvlJc w:val="left"/>
      <w:pPr>
        <w:ind w:left="608" w:hanging="608"/>
      </w:pPr>
      <w:rPr>
        <w:rFonts w:hint="default"/>
        <w:b/>
      </w:rPr>
    </w:lvl>
    <w:lvl w:ilvl="1">
      <w:start w:val="36"/>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28" w15:restartNumberingAfterBreak="0">
    <w:nsid w:val="7E2E08FB"/>
    <w:multiLevelType w:val="hybridMultilevel"/>
    <w:tmpl w:val="7F569DE2"/>
    <w:lvl w:ilvl="0" w:tplc="B6DEEB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F08301D"/>
    <w:multiLevelType w:val="multilevel"/>
    <w:tmpl w:val="52DE9E2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ascii="Verdana" w:hAnsi="Verdana" w:hint="default"/>
        <w:b w:val="0"/>
        <w:bCs/>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30" w15:restartNumberingAfterBreak="0">
    <w:nsid w:val="7FD15C39"/>
    <w:multiLevelType w:val="multilevel"/>
    <w:tmpl w:val="52DE9E2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ascii="Verdana" w:hAnsi="Verdana" w:hint="default"/>
        <w:b w:val="0"/>
        <w:bCs/>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num w:numId="1" w16cid:durableId="286670594">
    <w:abstractNumId w:val="19"/>
  </w:num>
  <w:num w:numId="2" w16cid:durableId="223569096">
    <w:abstractNumId w:val="28"/>
  </w:num>
  <w:num w:numId="3" w16cid:durableId="483594744">
    <w:abstractNumId w:val="4"/>
  </w:num>
  <w:num w:numId="4" w16cid:durableId="175273022">
    <w:abstractNumId w:val="11"/>
  </w:num>
  <w:num w:numId="5" w16cid:durableId="1851138301">
    <w:abstractNumId w:val="25"/>
  </w:num>
  <w:num w:numId="6" w16cid:durableId="233515907">
    <w:abstractNumId w:val="6"/>
  </w:num>
  <w:num w:numId="7" w16cid:durableId="1153519815">
    <w:abstractNumId w:val="13"/>
  </w:num>
  <w:num w:numId="8" w16cid:durableId="2044668245">
    <w:abstractNumId w:val="8"/>
  </w:num>
  <w:num w:numId="9" w16cid:durableId="287246470">
    <w:abstractNumId w:val="17"/>
  </w:num>
  <w:num w:numId="10" w16cid:durableId="1922715462">
    <w:abstractNumId w:val="23"/>
  </w:num>
  <w:num w:numId="11" w16cid:durableId="832068699">
    <w:abstractNumId w:val="21"/>
  </w:num>
  <w:num w:numId="12" w16cid:durableId="1668440607">
    <w:abstractNumId w:val="2"/>
  </w:num>
  <w:num w:numId="13" w16cid:durableId="1883977766">
    <w:abstractNumId w:val="22"/>
  </w:num>
  <w:num w:numId="14" w16cid:durableId="600531125">
    <w:abstractNumId w:val="15"/>
  </w:num>
  <w:num w:numId="15" w16cid:durableId="1345093310">
    <w:abstractNumId w:val="1"/>
  </w:num>
  <w:num w:numId="16" w16cid:durableId="960259163">
    <w:abstractNumId w:val="18"/>
  </w:num>
  <w:num w:numId="17" w16cid:durableId="1198084653">
    <w:abstractNumId w:val="12"/>
  </w:num>
  <w:num w:numId="18" w16cid:durableId="78403738">
    <w:abstractNumId w:val="14"/>
  </w:num>
  <w:num w:numId="19" w16cid:durableId="211695458">
    <w:abstractNumId w:val="9"/>
  </w:num>
  <w:num w:numId="20" w16cid:durableId="262539793">
    <w:abstractNumId w:val="3"/>
  </w:num>
  <w:num w:numId="21" w16cid:durableId="84502730">
    <w:abstractNumId w:val="30"/>
  </w:num>
  <w:num w:numId="22" w16cid:durableId="1456677212">
    <w:abstractNumId w:val="5"/>
  </w:num>
  <w:num w:numId="23" w16cid:durableId="210189888">
    <w:abstractNumId w:val="24"/>
  </w:num>
  <w:num w:numId="24" w16cid:durableId="945581716">
    <w:abstractNumId w:val="0"/>
  </w:num>
  <w:num w:numId="25" w16cid:durableId="209535002">
    <w:abstractNumId w:val="26"/>
  </w:num>
  <w:num w:numId="26" w16cid:durableId="1729454830">
    <w:abstractNumId w:val="7"/>
  </w:num>
  <w:num w:numId="27" w16cid:durableId="1160148333">
    <w:abstractNumId w:val="29"/>
  </w:num>
  <w:num w:numId="28" w16cid:durableId="1802112279">
    <w:abstractNumId w:val="10"/>
  </w:num>
  <w:num w:numId="29" w16cid:durableId="673261903">
    <w:abstractNumId w:val="27"/>
  </w:num>
  <w:num w:numId="30" w16cid:durableId="2083983816">
    <w:abstractNumId w:val="16"/>
  </w:num>
  <w:num w:numId="31" w16cid:durableId="3091380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000BE"/>
    <w:rsid w:val="0000074C"/>
    <w:rsid w:val="00000FC3"/>
    <w:rsid w:val="00003F19"/>
    <w:rsid w:val="000044FE"/>
    <w:rsid w:val="0000466F"/>
    <w:rsid w:val="00005D2A"/>
    <w:rsid w:val="000072DB"/>
    <w:rsid w:val="00010941"/>
    <w:rsid w:val="000130F4"/>
    <w:rsid w:val="00014243"/>
    <w:rsid w:val="00014249"/>
    <w:rsid w:val="000148D1"/>
    <w:rsid w:val="00014DAF"/>
    <w:rsid w:val="0002090D"/>
    <w:rsid w:val="0002379B"/>
    <w:rsid w:val="0002397A"/>
    <w:rsid w:val="00025903"/>
    <w:rsid w:val="00026D72"/>
    <w:rsid w:val="00031964"/>
    <w:rsid w:val="0003210B"/>
    <w:rsid w:val="0003247A"/>
    <w:rsid w:val="00032964"/>
    <w:rsid w:val="00032D98"/>
    <w:rsid w:val="00032DE5"/>
    <w:rsid w:val="00035607"/>
    <w:rsid w:val="000368CB"/>
    <w:rsid w:val="00037C0D"/>
    <w:rsid w:val="00041397"/>
    <w:rsid w:val="00042422"/>
    <w:rsid w:val="000437E2"/>
    <w:rsid w:val="00043E45"/>
    <w:rsid w:val="0004482A"/>
    <w:rsid w:val="00044E0D"/>
    <w:rsid w:val="000465AA"/>
    <w:rsid w:val="00046705"/>
    <w:rsid w:val="00046B59"/>
    <w:rsid w:val="00046BDE"/>
    <w:rsid w:val="000509FF"/>
    <w:rsid w:val="000512FC"/>
    <w:rsid w:val="00051871"/>
    <w:rsid w:val="0005379E"/>
    <w:rsid w:val="000537ED"/>
    <w:rsid w:val="0005478B"/>
    <w:rsid w:val="00056070"/>
    <w:rsid w:val="00060355"/>
    <w:rsid w:val="000615D5"/>
    <w:rsid w:val="00063801"/>
    <w:rsid w:val="000647EC"/>
    <w:rsid w:val="00066400"/>
    <w:rsid w:val="00067EA1"/>
    <w:rsid w:val="00071A4F"/>
    <w:rsid w:val="000722AD"/>
    <w:rsid w:val="0007257E"/>
    <w:rsid w:val="00072A3B"/>
    <w:rsid w:val="00073485"/>
    <w:rsid w:val="00082644"/>
    <w:rsid w:val="00085731"/>
    <w:rsid w:val="00085A7B"/>
    <w:rsid w:val="000867A6"/>
    <w:rsid w:val="00086A8A"/>
    <w:rsid w:val="00086E91"/>
    <w:rsid w:val="000874A6"/>
    <w:rsid w:val="0009039E"/>
    <w:rsid w:val="00092085"/>
    <w:rsid w:val="0009339F"/>
    <w:rsid w:val="00095DAD"/>
    <w:rsid w:val="00097E65"/>
    <w:rsid w:val="000A2204"/>
    <w:rsid w:val="000A28A0"/>
    <w:rsid w:val="000A2E3B"/>
    <w:rsid w:val="000A4122"/>
    <w:rsid w:val="000A4611"/>
    <w:rsid w:val="000A5CEC"/>
    <w:rsid w:val="000A6B2B"/>
    <w:rsid w:val="000A6D2C"/>
    <w:rsid w:val="000B300B"/>
    <w:rsid w:val="000B337D"/>
    <w:rsid w:val="000B3CD0"/>
    <w:rsid w:val="000B441B"/>
    <w:rsid w:val="000B687D"/>
    <w:rsid w:val="000B720C"/>
    <w:rsid w:val="000B73F1"/>
    <w:rsid w:val="000C233C"/>
    <w:rsid w:val="000C35D0"/>
    <w:rsid w:val="000C3BCE"/>
    <w:rsid w:val="000C53BE"/>
    <w:rsid w:val="000C58B1"/>
    <w:rsid w:val="000C5C30"/>
    <w:rsid w:val="000C6B56"/>
    <w:rsid w:val="000D1AFC"/>
    <w:rsid w:val="000D2FA2"/>
    <w:rsid w:val="000D30DD"/>
    <w:rsid w:val="000D66DA"/>
    <w:rsid w:val="000D7617"/>
    <w:rsid w:val="000D77D7"/>
    <w:rsid w:val="000E0D06"/>
    <w:rsid w:val="000E16F9"/>
    <w:rsid w:val="000E1A92"/>
    <w:rsid w:val="000E1F61"/>
    <w:rsid w:val="000E2727"/>
    <w:rsid w:val="000E375D"/>
    <w:rsid w:val="000E7B4A"/>
    <w:rsid w:val="000E7F0C"/>
    <w:rsid w:val="000F2BB7"/>
    <w:rsid w:val="000F39B4"/>
    <w:rsid w:val="000F3A17"/>
    <w:rsid w:val="000F44C4"/>
    <w:rsid w:val="000F6FD5"/>
    <w:rsid w:val="0010027E"/>
    <w:rsid w:val="00102FD0"/>
    <w:rsid w:val="00103882"/>
    <w:rsid w:val="00105EBA"/>
    <w:rsid w:val="00107715"/>
    <w:rsid w:val="001106D6"/>
    <w:rsid w:val="00111385"/>
    <w:rsid w:val="0011171D"/>
    <w:rsid w:val="00111B7B"/>
    <w:rsid w:val="001145D5"/>
    <w:rsid w:val="00114E8C"/>
    <w:rsid w:val="001161B3"/>
    <w:rsid w:val="00116D69"/>
    <w:rsid w:val="00120C96"/>
    <w:rsid w:val="00121752"/>
    <w:rsid w:val="00121B10"/>
    <w:rsid w:val="001239B0"/>
    <w:rsid w:val="001241E4"/>
    <w:rsid w:val="00124791"/>
    <w:rsid w:val="001260B2"/>
    <w:rsid w:val="00126C9D"/>
    <w:rsid w:val="00130D4F"/>
    <w:rsid w:val="001322E5"/>
    <w:rsid w:val="00132404"/>
    <w:rsid w:val="00134032"/>
    <w:rsid w:val="00134739"/>
    <w:rsid w:val="00135BFE"/>
    <w:rsid w:val="00135EED"/>
    <w:rsid w:val="001371C1"/>
    <w:rsid w:val="0014048E"/>
    <w:rsid w:val="00144BD9"/>
    <w:rsid w:val="001459D1"/>
    <w:rsid w:val="00146792"/>
    <w:rsid w:val="00147258"/>
    <w:rsid w:val="001477E8"/>
    <w:rsid w:val="00150BEB"/>
    <w:rsid w:val="001529E2"/>
    <w:rsid w:val="00152D06"/>
    <w:rsid w:val="00152DBF"/>
    <w:rsid w:val="0015360E"/>
    <w:rsid w:val="00153A0F"/>
    <w:rsid w:val="001548B0"/>
    <w:rsid w:val="00154B7A"/>
    <w:rsid w:val="001619DC"/>
    <w:rsid w:val="00162574"/>
    <w:rsid w:val="00164400"/>
    <w:rsid w:val="00165603"/>
    <w:rsid w:val="00165823"/>
    <w:rsid w:val="00165867"/>
    <w:rsid w:val="001662AC"/>
    <w:rsid w:val="00166F7B"/>
    <w:rsid w:val="00167402"/>
    <w:rsid w:val="00170E12"/>
    <w:rsid w:val="001710C8"/>
    <w:rsid w:val="00171F24"/>
    <w:rsid w:val="00173E9C"/>
    <w:rsid w:val="001743BA"/>
    <w:rsid w:val="001752BE"/>
    <w:rsid w:val="001765A3"/>
    <w:rsid w:val="0017723C"/>
    <w:rsid w:val="0018229B"/>
    <w:rsid w:val="00183AC1"/>
    <w:rsid w:val="00183ED5"/>
    <w:rsid w:val="00185E46"/>
    <w:rsid w:val="001902D9"/>
    <w:rsid w:val="00191002"/>
    <w:rsid w:val="00192447"/>
    <w:rsid w:val="0019395F"/>
    <w:rsid w:val="00194F1C"/>
    <w:rsid w:val="00195323"/>
    <w:rsid w:val="0019758A"/>
    <w:rsid w:val="00197730"/>
    <w:rsid w:val="001A185B"/>
    <w:rsid w:val="001A1E8C"/>
    <w:rsid w:val="001A3B12"/>
    <w:rsid w:val="001A3D9B"/>
    <w:rsid w:val="001A77EC"/>
    <w:rsid w:val="001B192E"/>
    <w:rsid w:val="001B2AD1"/>
    <w:rsid w:val="001B3672"/>
    <w:rsid w:val="001B7F0D"/>
    <w:rsid w:val="001C4ABD"/>
    <w:rsid w:val="001C50D3"/>
    <w:rsid w:val="001D0A7C"/>
    <w:rsid w:val="001D1014"/>
    <w:rsid w:val="001D4B9A"/>
    <w:rsid w:val="001D60EE"/>
    <w:rsid w:val="001E1060"/>
    <w:rsid w:val="001E213A"/>
    <w:rsid w:val="001E26F4"/>
    <w:rsid w:val="001E3222"/>
    <w:rsid w:val="001E3673"/>
    <w:rsid w:val="001E6C4F"/>
    <w:rsid w:val="001E79A9"/>
    <w:rsid w:val="001F0AD5"/>
    <w:rsid w:val="001F101B"/>
    <w:rsid w:val="001F11A2"/>
    <w:rsid w:val="001F1543"/>
    <w:rsid w:val="001F1A76"/>
    <w:rsid w:val="001F44B3"/>
    <w:rsid w:val="001F4D37"/>
    <w:rsid w:val="001F50B8"/>
    <w:rsid w:val="001F613A"/>
    <w:rsid w:val="001F73BF"/>
    <w:rsid w:val="001F73E2"/>
    <w:rsid w:val="00200354"/>
    <w:rsid w:val="00201CA5"/>
    <w:rsid w:val="00202373"/>
    <w:rsid w:val="002051A1"/>
    <w:rsid w:val="00205943"/>
    <w:rsid w:val="002062F8"/>
    <w:rsid w:val="00206BF8"/>
    <w:rsid w:val="00207191"/>
    <w:rsid w:val="002078CA"/>
    <w:rsid w:val="00211F74"/>
    <w:rsid w:val="0021266C"/>
    <w:rsid w:val="00213B8A"/>
    <w:rsid w:val="00215B4A"/>
    <w:rsid w:val="00220F56"/>
    <w:rsid w:val="00221458"/>
    <w:rsid w:val="00221EA2"/>
    <w:rsid w:val="00222BB9"/>
    <w:rsid w:val="00222C7E"/>
    <w:rsid w:val="00224140"/>
    <w:rsid w:val="002249C1"/>
    <w:rsid w:val="002256FC"/>
    <w:rsid w:val="00227C3E"/>
    <w:rsid w:val="002305AE"/>
    <w:rsid w:val="00232397"/>
    <w:rsid w:val="00234704"/>
    <w:rsid w:val="002351CB"/>
    <w:rsid w:val="0023628D"/>
    <w:rsid w:val="00236299"/>
    <w:rsid w:val="00236DDE"/>
    <w:rsid w:val="0023741D"/>
    <w:rsid w:val="002428EC"/>
    <w:rsid w:val="00245151"/>
    <w:rsid w:val="00246FF9"/>
    <w:rsid w:val="00247473"/>
    <w:rsid w:val="002477F0"/>
    <w:rsid w:val="002518CD"/>
    <w:rsid w:val="00253C01"/>
    <w:rsid w:val="00255823"/>
    <w:rsid w:val="00257077"/>
    <w:rsid w:val="00260436"/>
    <w:rsid w:val="00261279"/>
    <w:rsid w:val="0026273C"/>
    <w:rsid w:val="0026428F"/>
    <w:rsid w:val="00265C4D"/>
    <w:rsid w:val="002662A6"/>
    <w:rsid w:val="002664B8"/>
    <w:rsid w:val="00266609"/>
    <w:rsid w:val="00267F68"/>
    <w:rsid w:val="00270FEB"/>
    <w:rsid w:val="002716D6"/>
    <w:rsid w:val="00272ADE"/>
    <w:rsid w:val="00272FD8"/>
    <w:rsid w:val="00273D75"/>
    <w:rsid w:val="00273DB6"/>
    <w:rsid w:val="002745ED"/>
    <w:rsid w:val="0027480D"/>
    <w:rsid w:val="00274E09"/>
    <w:rsid w:val="00274F07"/>
    <w:rsid w:val="00275B50"/>
    <w:rsid w:val="00276235"/>
    <w:rsid w:val="00277070"/>
    <w:rsid w:val="00280776"/>
    <w:rsid w:val="00281152"/>
    <w:rsid w:val="002818DC"/>
    <w:rsid w:val="00282574"/>
    <w:rsid w:val="00282B8E"/>
    <w:rsid w:val="00284C8E"/>
    <w:rsid w:val="00284FD8"/>
    <w:rsid w:val="00287305"/>
    <w:rsid w:val="002901C0"/>
    <w:rsid w:val="00290653"/>
    <w:rsid w:val="00290A52"/>
    <w:rsid w:val="00292932"/>
    <w:rsid w:val="00292DEC"/>
    <w:rsid w:val="0029310A"/>
    <w:rsid w:val="0029427C"/>
    <w:rsid w:val="00295ADE"/>
    <w:rsid w:val="00295E09"/>
    <w:rsid w:val="002970D8"/>
    <w:rsid w:val="00297288"/>
    <w:rsid w:val="00297496"/>
    <w:rsid w:val="002974EE"/>
    <w:rsid w:val="002A02D7"/>
    <w:rsid w:val="002A3906"/>
    <w:rsid w:val="002A3C9D"/>
    <w:rsid w:val="002A63F2"/>
    <w:rsid w:val="002A64FD"/>
    <w:rsid w:val="002B0055"/>
    <w:rsid w:val="002B1272"/>
    <w:rsid w:val="002B2885"/>
    <w:rsid w:val="002B382E"/>
    <w:rsid w:val="002B6739"/>
    <w:rsid w:val="002B7234"/>
    <w:rsid w:val="002C0FFC"/>
    <w:rsid w:val="002C1040"/>
    <w:rsid w:val="002C1AFE"/>
    <w:rsid w:val="002C3D59"/>
    <w:rsid w:val="002C5B47"/>
    <w:rsid w:val="002C5F12"/>
    <w:rsid w:val="002C5FCB"/>
    <w:rsid w:val="002C66D8"/>
    <w:rsid w:val="002D16D7"/>
    <w:rsid w:val="002D34EF"/>
    <w:rsid w:val="002D5097"/>
    <w:rsid w:val="002E1059"/>
    <w:rsid w:val="002E58D4"/>
    <w:rsid w:val="002E59B0"/>
    <w:rsid w:val="002E65B8"/>
    <w:rsid w:val="002F00DA"/>
    <w:rsid w:val="002F16AA"/>
    <w:rsid w:val="002F2D35"/>
    <w:rsid w:val="002F30B0"/>
    <w:rsid w:val="002F379C"/>
    <w:rsid w:val="002F4B7A"/>
    <w:rsid w:val="002F5088"/>
    <w:rsid w:val="002F5E64"/>
    <w:rsid w:val="002F655F"/>
    <w:rsid w:val="002F68F0"/>
    <w:rsid w:val="002F6D9B"/>
    <w:rsid w:val="00300478"/>
    <w:rsid w:val="00300886"/>
    <w:rsid w:val="003019C6"/>
    <w:rsid w:val="00301F07"/>
    <w:rsid w:val="0030532A"/>
    <w:rsid w:val="00306317"/>
    <w:rsid w:val="00307CE4"/>
    <w:rsid w:val="003117A7"/>
    <w:rsid w:val="00312135"/>
    <w:rsid w:val="00312399"/>
    <w:rsid w:val="003126A7"/>
    <w:rsid w:val="00313CA9"/>
    <w:rsid w:val="003146E1"/>
    <w:rsid w:val="00315375"/>
    <w:rsid w:val="00315BC4"/>
    <w:rsid w:val="0031771B"/>
    <w:rsid w:val="00320BB9"/>
    <w:rsid w:val="00321D16"/>
    <w:rsid w:val="0032231D"/>
    <w:rsid w:val="003232EC"/>
    <w:rsid w:val="003232F3"/>
    <w:rsid w:val="00323A4C"/>
    <w:rsid w:val="00324539"/>
    <w:rsid w:val="003317F8"/>
    <w:rsid w:val="00331C61"/>
    <w:rsid w:val="00333A35"/>
    <w:rsid w:val="00334005"/>
    <w:rsid w:val="00340233"/>
    <w:rsid w:val="00340E1A"/>
    <w:rsid w:val="00341BFE"/>
    <w:rsid w:val="0034389C"/>
    <w:rsid w:val="00344DC6"/>
    <w:rsid w:val="003455BF"/>
    <w:rsid w:val="0035073F"/>
    <w:rsid w:val="00352446"/>
    <w:rsid w:val="00352DCD"/>
    <w:rsid w:val="00353EDC"/>
    <w:rsid w:val="00354E83"/>
    <w:rsid w:val="00356819"/>
    <w:rsid w:val="0035726C"/>
    <w:rsid w:val="00357BDC"/>
    <w:rsid w:val="0036046D"/>
    <w:rsid w:val="00360877"/>
    <w:rsid w:val="0036167E"/>
    <w:rsid w:val="00363CC5"/>
    <w:rsid w:val="00366AFE"/>
    <w:rsid w:val="00367837"/>
    <w:rsid w:val="00367CCA"/>
    <w:rsid w:val="00370E56"/>
    <w:rsid w:val="00371754"/>
    <w:rsid w:val="00373CEF"/>
    <w:rsid w:val="00374249"/>
    <w:rsid w:val="00376717"/>
    <w:rsid w:val="00380032"/>
    <w:rsid w:val="00381F55"/>
    <w:rsid w:val="00381FD6"/>
    <w:rsid w:val="0038247C"/>
    <w:rsid w:val="0038324C"/>
    <w:rsid w:val="00386939"/>
    <w:rsid w:val="00387D72"/>
    <w:rsid w:val="00391074"/>
    <w:rsid w:val="00391ADC"/>
    <w:rsid w:val="00393604"/>
    <w:rsid w:val="0039486F"/>
    <w:rsid w:val="003948EB"/>
    <w:rsid w:val="00394951"/>
    <w:rsid w:val="003972CD"/>
    <w:rsid w:val="0039752A"/>
    <w:rsid w:val="003A0265"/>
    <w:rsid w:val="003A226E"/>
    <w:rsid w:val="003A27DE"/>
    <w:rsid w:val="003A3361"/>
    <w:rsid w:val="003A6D65"/>
    <w:rsid w:val="003A6F2D"/>
    <w:rsid w:val="003A7064"/>
    <w:rsid w:val="003A7964"/>
    <w:rsid w:val="003A7C4D"/>
    <w:rsid w:val="003B1287"/>
    <w:rsid w:val="003B1969"/>
    <w:rsid w:val="003B1D06"/>
    <w:rsid w:val="003B24F6"/>
    <w:rsid w:val="003B3BE2"/>
    <w:rsid w:val="003B4225"/>
    <w:rsid w:val="003B54FE"/>
    <w:rsid w:val="003B6DA8"/>
    <w:rsid w:val="003B7D0E"/>
    <w:rsid w:val="003C1CFE"/>
    <w:rsid w:val="003C544A"/>
    <w:rsid w:val="003C6FF5"/>
    <w:rsid w:val="003D09D2"/>
    <w:rsid w:val="003D1BE9"/>
    <w:rsid w:val="003D5FD1"/>
    <w:rsid w:val="003D72B2"/>
    <w:rsid w:val="003E15D1"/>
    <w:rsid w:val="003E23A2"/>
    <w:rsid w:val="003E4DCF"/>
    <w:rsid w:val="003E7548"/>
    <w:rsid w:val="003E7928"/>
    <w:rsid w:val="003F11B3"/>
    <w:rsid w:val="003F3560"/>
    <w:rsid w:val="003F4063"/>
    <w:rsid w:val="003F5EB2"/>
    <w:rsid w:val="003F77A7"/>
    <w:rsid w:val="0040097B"/>
    <w:rsid w:val="00400CBD"/>
    <w:rsid w:val="00401331"/>
    <w:rsid w:val="00402467"/>
    <w:rsid w:val="00402890"/>
    <w:rsid w:val="004059B4"/>
    <w:rsid w:val="00406E76"/>
    <w:rsid w:val="004070C8"/>
    <w:rsid w:val="00407AB9"/>
    <w:rsid w:val="00407F11"/>
    <w:rsid w:val="00411D70"/>
    <w:rsid w:val="004127CF"/>
    <w:rsid w:val="00413B8D"/>
    <w:rsid w:val="00413E32"/>
    <w:rsid w:val="00415DB5"/>
    <w:rsid w:val="00420C59"/>
    <w:rsid w:val="00421034"/>
    <w:rsid w:val="0042200C"/>
    <w:rsid w:val="004228F5"/>
    <w:rsid w:val="00422C6E"/>
    <w:rsid w:val="00422E33"/>
    <w:rsid w:val="00425CDB"/>
    <w:rsid w:val="004264EB"/>
    <w:rsid w:val="00431368"/>
    <w:rsid w:val="00432D78"/>
    <w:rsid w:val="00432F77"/>
    <w:rsid w:val="00434CC3"/>
    <w:rsid w:val="00436CA4"/>
    <w:rsid w:val="00437988"/>
    <w:rsid w:val="004433A3"/>
    <w:rsid w:val="00445E5D"/>
    <w:rsid w:val="004472A7"/>
    <w:rsid w:val="00450328"/>
    <w:rsid w:val="00451066"/>
    <w:rsid w:val="00451202"/>
    <w:rsid w:val="00451372"/>
    <w:rsid w:val="00453F53"/>
    <w:rsid w:val="004551EE"/>
    <w:rsid w:val="004574F2"/>
    <w:rsid w:val="004609A4"/>
    <w:rsid w:val="00460F2A"/>
    <w:rsid w:val="00462D0E"/>
    <w:rsid w:val="004632FA"/>
    <w:rsid w:val="00463918"/>
    <w:rsid w:val="00463D6B"/>
    <w:rsid w:val="004663CE"/>
    <w:rsid w:val="00466A2E"/>
    <w:rsid w:val="004672AC"/>
    <w:rsid w:val="0047131B"/>
    <w:rsid w:val="00474680"/>
    <w:rsid w:val="0047488E"/>
    <w:rsid w:val="0047732E"/>
    <w:rsid w:val="00477CB4"/>
    <w:rsid w:val="004803E0"/>
    <w:rsid w:val="00480E98"/>
    <w:rsid w:val="00482949"/>
    <w:rsid w:val="00483AD1"/>
    <w:rsid w:val="00485026"/>
    <w:rsid w:val="00486BAC"/>
    <w:rsid w:val="00487654"/>
    <w:rsid w:val="004876DC"/>
    <w:rsid w:val="004905D8"/>
    <w:rsid w:val="004917AF"/>
    <w:rsid w:val="00492C8D"/>
    <w:rsid w:val="00492F8E"/>
    <w:rsid w:val="00493C41"/>
    <w:rsid w:val="0049571E"/>
    <w:rsid w:val="00496A10"/>
    <w:rsid w:val="00497667"/>
    <w:rsid w:val="0049784E"/>
    <w:rsid w:val="004A195E"/>
    <w:rsid w:val="004A19CB"/>
    <w:rsid w:val="004A1CFB"/>
    <w:rsid w:val="004A3232"/>
    <w:rsid w:val="004A36AA"/>
    <w:rsid w:val="004A4E63"/>
    <w:rsid w:val="004A4EAF"/>
    <w:rsid w:val="004A7C3B"/>
    <w:rsid w:val="004A7FDC"/>
    <w:rsid w:val="004B0B76"/>
    <w:rsid w:val="004B22F4"/>
    <w:rsid w:val="004B2502"/>
    <w:rsid w:val="004B3540"/>
    <w:rsid w:val="004B3ACF"/>
    <w:rsid w:val="004B4307"/>
    <w:rsid w:val="004B4644"/>
    <w:rsid w:val="004B5675"/>
    <w:rsid w:val="004B73A5"/>
    <w:rsid w:val="004C1F99"/>
    <w:rsid w:val="004C65BE"/>
    <w:rsid w:val="004C6FD2"/>
    <w:rsid w:val="004D0386"/>
    <w:rsid w:val="004D0548"/>
    <w:rsid w:val="004D0D14"/>
    <w:rsid w:val="004D2238"/>
    <w:rsid w:val="004D2ED6"/>
    <w:rsid w:val="004D3DBA"/>
    <w:rsid w:val="004D41AA"/>
    <w:rsid w:val="004D5642"/>
    <w:rsid w:val="004E2D85"/>
    <w:rsid w:val="004E376D"/>
    <w:rsid w:val="004E3D10"/>
    <w:rsid w:val="004E5FA8"/>
    <w:rsid w:val="004F0155"/>
    <w:rsid w:val="004F040C"/>
    <w:rsid w:val="004F04A9"/>
    <w:rsid w:val="004F3919"/>
    <w:rsid w:val="004F3D89"/>
    <w:rsid w:val="004F40BE"/>
    <w:rsid w:val="004F4784"/>
    <w:rsid w:val="004F51A2"/>
    <w:rsid w:val="004F5324"/>
    <w:rsid w:val="004F5DB9"/>
    <w:rsid w:val="004F6810"/>
    <w:rsid w:val="004F6816"/>
    <w:rsid w:val="004F78EC"/>
    <w:rsid w:val="00500FF6"/>
    <w:rsid w:val="00501D1A"/>
    <w:rsid w:val="0050342E"/>
    <w:rsid w:val="00503D34"/>
    <w:rsid w:val="00505B6E"/>
    <w:rsid w:val="00505CC6"/>
    <w:rsid w:val="00506B8C"/>
    <w:rsid w:val="00512C5E"/>
    <w:rsid w:val="00513A57"/>
    <w:rsid w:val="00515BC1"/>
    <w:rsid w:val="00521A11"/>
    <w:rsid w:val="00523D74"/>
    <w:rsid w:val="00524E9C"/>
    <w:rsid w:val="005251EA"/>
    <w:rsid w:val="0052559C"/>
    <w:rsid w:val="0053008F"/>
    <w:rsid w:val="0053041C"/>
    <w:rsid w:val="005307D2"/>
    <w:rsid w:val="00530CFF"/>
    <w:rsid w:val="00537665"/>
    <w:rsid w:val="0054205C"/>
    <w:rsid w:val="00542A5A"/>
    <w:rsid w:val="00543D90"/>
    <w:rsid w:val="005459EA"/>
    <w:rsid w:val="00546D05"/>
    <w:rsid w:val="00546E3D"/>
    <w:rsid w:val="005476A7"/>
    <w:rsid w:val="0055015E"/>
    <w:rsid w:val="00550996"/>
    <w:rsid w:val="00552293"/>
    <w:rsid w:val="00552743"/>
    <w:rsid w:val="00552D7E"/>
    <w:rsid w:val="005535E7"/>
    <w:rsid w:val="00554103"/>
    <w:rsid w:val="00555C13"/>
    <w:rsid w:val="00556DBD"/>
    <w:rsid w:val="005574E3"/>
    <w:rsid w:val="00557B6F"/>
    <w:rsid w:val="00560FFD"/>
    <w:rsid w:val="00561D5A"/>
    <w:rsid w:val="00562E89"/>
    <w:rsid w:val="005651FC"/>
    <w:rsid w:val="00565A1C"/>
    <w:rsid w:val="00566574"/>
    <w:rsid w:val="00566E2D"/>
    <w:rsid w:val="00567D18"/>
    <w:rsid w:val="00571133"/>
    <w:rsid w:val="00571D5C"/>
    <w:rsid w:val="0057217F"/>
    <w:rsid w:val="005776C7"/>
    <w:rsid w:val="00580265"/>
    <w:rsid w:val="00581350"/>
    <w:rsid w:val="005833E9"/>
    <w:rsid w:val="00583C8F"/>
    <w:rsid w:val="00584120"/>
    <w:rsid w:val="00586B94"/>
    <w:rsid w:val="005871CC"/>
    <w:rsid w:val="00593774"/>
    <w:rsid w:val="00593A11"/>
    <w:rsid w:val="00593DF5"/>
    <w:rsid w:val="00595338"/>
    <w:rsid w:val="005959D1"/>
    <w:rsid w:val="00595D1D"/>
    <w:rsid w:val="00597558"/>
    <w:rsid w:val="00597F44"/>
    <w:rsid w:val="00597F69"/>
    <w:rsid w:val="005A06D3"/>
    <w:rsid w:val="005A2CF5"/>
    <w:rsid w:val="005A4D92"/>
    <w:rsid w:val="005A608A"/>
    <w:rsid w:val="005A62B2"/>
    <w:rsid w:val="005A7636"/>
    <w:rsid w:val="005B1178"/>
    <w:rsid w:val="005B2B4C"/>
    <w:rsid w:val="005B33C6"/>
    <w:rsid w:val="005B3AE3"/>
    <w:rsid w:val="005B5F40"/>
    <w:rsid w:val="005B723E"/>
    <w:rsid w:val="005C4236"/>
    <w:rsid w:val="005C5403"/>
    <w:rsid w:val="005C5725"/>
    <w:rsid w:val="005C7DAE"/>
    <w:rsid w:val="005D2DB9"/>
    <w:rsid w:val="005D30BB"/>
    <w:rsid w:val="005D31E1"/>
    <w:rsid w:val="005D51D3"/>
    <w:rsid w:val="005D5D98"/>
    <w:rsid w:val="005E38FC"/>
    <w:rsid w:val="005E4698"/>
    <w:rsid w:val="005E7B32"/>
    <w:rsid w:val="005F306A"/>
    <w:rsid w:val="005F56CC"/>
    <w:rsid w:val="005F60BA"/>
    <w:rsid w:val="00604B8D"/>
    <w:rsid w:val="006054DD"/>
    <w:rsid w:val="00605EF5"/>
    <w:rsid w:val="00605F85"/>
    <w:rsid w:val="00606831"/>
    <w:rsid w:val="00607620"/>
    <w:rsid w:val="00607A8A"/>
    <w:rsid w:val="00611398"/>
    <w:rsid w:val="006122E1"/>
    <w:rsid w:val="00613484"/>
    <w:rsid w:val="00614961"/>
    <w:rsid w:val="00616A49"/>
    <w:rsid w:val="00617852"/>
    <w:rsid w:val="0062072D"/>
    <w:rsid w:val="00623737"/>
    <w:rsid w:val="00623750"/>
    <w:rsid w:val="00625E87"/>
    <w:rsid w:val="006263BF"/>
    <w:rsid w:val="0063157E"/>
    <w:rsid w:val="00632424"/>
    <w:rsid w:val="00634319"/>
    <w:rsid w:val="00634E7D"/>
    <w:rsid w:val="00640AC2"/>
    <w:rsid w:val="0064113D"/>
    <w:rsid w:val="00642D04"/>
    <w:rsid w:val="006443F3"/>
    <w:rsid w:val="00644A0C"/>
    <w:rsid w:val="00644A5D"/>
    <w:rsid w:val="00645C83"/>
    <w:rsid w:val="006464FC"/>
    <w:rsid w:val="00651CFC"/>
    <w:rsid w:val="00651F45"/>
    <w:rsid w:val="0065213A"/>
    <w:rsid w:val="006521C0"/>
    <w:rsid w:val="00652B03"/>
    <w:rsid w:val="006546EB"/>
    <w:rsid w:val="006547B1"/>
    <w:rsid w:val="00655F21"/>
    <w:rsid w:val="006568CC"/>
    <w:rsid w:val="00656ECD"/>
    <w:rsid w:val="006574C5"/>
    <w:rsid w:val="00660561"/>
    <w:rsid w:val="00662296"/>
    <w:rsid w:val="00662740"/>
    <w:rsid w:val="006638D8"/>
    <w:rsid w:val="00663B75"/>
    <w:rsid w:val="00672407"/>
    <w:rsid w:val="006754BE"/>
    <w:rsid w:val="00676188"/>
    <w:rsid w:val="006770C6"/>
    <w:rsid w:val="00677798"/>
    <w:rsid w:val="00677EC7"/>
    <w:rsid w:val="00680408"/>
    <w:rsid w:val="00680ECC"/>
    <w:rsid w:val="006814AD"/>
    <w:rsid w:val="0068189D"/>
    <w:rsid w:val="006850AC"/>
    <w:rsid w:val="00685696"/>
    <w:rsid w:val="0069066F"/>
    <w:rsid w:val="00690CCF"/>
    <w:rsid w:val="00695FEA"/>
    <w:rsid w:val="00696D46"/>
    <w:rsid w:val="00696E7C"/>
    <w:rsid w:val="00697AA9"/>
    <w:rsid w:val="006A1A6A"/>
    <w:rsid w:val="006A28AC"/>
    <w:rsid w:val="006A350A"/>
    <w:rsid w:val="006A3C69"/>
    <w:rsid w:val="006A5364"/>
    <w:rsid w:val="006A5FCB"/>
    <w:rsid w:val="006A7224"/>
    <w:rsid w:val="006A7238"/>
    <w:rsid w:val="006B2F02"/>
    <w:rsid w:val="006B63CF"/>
    <w:rsid w:val="006B6708"/>
    <w:rsid w:val="006C0AE4"/>
    <w:rsid w:val="006C0D01"/>
    <w:rsid w:val="006C18C8"/>
    <w:rsid w:val="006C2429"/>
    <w:rsid w:val="006C36D2"/>
    <w:rsid w:val="006C3718"/>
    <w:rsid w:val="006C39F0"/>
    <w:rsid w:val="006C3DE7"/>
    <w:rsid w:val="006C600F"/>
    <w:rsid w:val="006C70A7"/>
    <w:rsid w:val="006D032A"/>
    <w:rsid w:val="006D2415"/>
    <w:rsid w:val="006D4331"/>
    <w:rsid w:val="006D4441"/>
    <w:rsid w:val="006D6542"/>
    <w:rsid w:val="006D7D11"/>
    <w:rsid w:val="006E0785"/>
    <w:rsid w:val="006E15AB"/>
    <w:rsid w:val="006E1AAA"/>
    <w:rsid w:val="006E1F49"/>
    <w:rsid w:val="006E26BD"/>
    <w:rsid w:val="006F3B77"/>
    <w:rsid w:val="006F41C3"/>
    <w:rsid w:val="006F572C"/>
    <w:rsid w:val="006F6676"/>
    <w:rsid w:val="006F6FCD"/>
    <w:rsid w:val="00700F84"/>
    <w:rsid w:val="00701D27"/>
    <w:rsid w:val="00702733"/>
    <w:rsid w:val="00703D00"/>
    <w:rsid w:val="00705833"/>
    <w:rsid w:val="00707A3D"/>
    <w:rsid w:val="007117C4"/>
    <w:rsid w:val="00713A5E"/>
    <w:rsid w:val="007149D1"/>
    <w:rsid w:val="007155F2"/>
    <w:rsid w:val="007201F4"/>
    <w:rsid w:val="00722FA8"/>
    <w:rsid w:val="007234EC"/>
    <w:rsid w:val="00725C83"/>
    <w:rsid w:val="00730BB0"/>
    <w:rsid w:val="00731194"/>
    <w:rsid w:val="00731B32"/>
    <w:rsid w:val="0073480A"/>
    <w:rsid w:val="00734869"/>
    <w:rsid w:val="007403D5"/>
    <w:rsid w:val="00741E1A"/>
    <w:rsid w:val="0074262A"/>
    <w:rsid w:val="007435F5"/>
    <w:rsid w:val="00743DDB"/>
    <w:rsid w:val="007448E2"/>
    <w:rsid w:val="00746B01"/>
    <w:rsid w:val="00750059"/>
    <w:rsid w:val="00750F23"/>
    <w:rsid w:val="00751346"/>
    <w:rsid w:val="0075263C"/>
    <w:rsid w:val="007528FB"/>
    <w:rsid w:val="00752A22"/>
    <w:rsid w:val="00752BAB"/>
    <w:rsid w:val="00753262"/>
    <w:rsid w:val="0075410D"/>
    <w:rsid w:val="007545EB"/>
    <w:rsid w:val="00754C11"/>
    <w:rsid w:val="0075577C"/>
    <w:rsid w:val="00755A43"/>
    <w:rsid w:val="007562FB"/>
    <w:rsid w:val="007568BC"/>
    <w:rsid w:val="007569C1"/>
    <w:rsid w:val="00756AE4"/>
    <w:rsid w:val="00757E39"/>
    <w:rsid w:val="00760017"/>
    <w:rsid w:val="0076033A"/>
    <w:rsid w:val="0076240F"/>
    <w:rsid w:val="00763275"/>
    <w:rsid w:val="00770139"/>
    <w:rsid w:val="00772CA7"/>
    <w:rsid w:val="0077384A"/>
    <w:rsid w:val="0077466F"/>
    <w:rsid w:val="00774A0F"/>
    <w:rsid w:val="00774A9B"/>
    <w:rsid w:val="00776882"/>
    <w:rsid w:val="00777CFF"/>
    <w:rsid w:val="00777DF4"/>
    <w:rsid w:val="00781143"/>
    <w:rsid w:val="00785A59"/>
    <w:rsid w:val="007861AD"/>
    <w:rsid w:val="00786A0B"/>
    <w:rsid w:val="007906B3"/>
    <w:rsid w:val="0079275C"/>
    <w:rsid w:val="0079430C"/>
    <w:rsid w:val="007953B7"/>
    <w:rsid w:val="007A0610"/>
    <w:rsid w:val="007A18F1"/>
    <w:rsid w:val="007A4868"/>
    <w:rsid w:val="007A648E"/>
    <w:rsid w:val="007B4333"/>
    <w:rsid w:val="007B56A8"/>
    <w:rsid w:val="007B5E63"/>
    <w:rsid w:val="007B76C3"/>
    <w:rsid w:val="007C0143"/>
    <w:rsid w:val="007C0B39"/>
    <w:rsid w:val="007C0C12"/>
    <w:rsid w:val="007C3BC4"/>
    <w:rsid w:val="007C5D9A"/>
    <w:rsid w:val="007C6927"/>
    <w:rsid w:val="007C6BE5"/>
    <w:rsid w:val="007D0BC8"/>
    <w:rsid w:val="007D22AA"/>
    <w:rsid w:val="007D2981"/>
    <w:rsid w:val="007D2EEB"/>
    <w:rsid w:val="007D4AE6"/>
    <w:rsid w:val="007D5492"/>
    <w:rsid w:val="007D64CE"/>
    <w:rsid w:val="007D7842"/>
    <w:rsid w:val="007E0273"/>
    <w:rsid w:val="007E048E"/>
    <w:rsid w:val="007E2829"/>
    <w:rsid w:val="007E295F"/>
    <w:rsid w:val="007E4518"/>
    <w:rsid w:val="007E5293"/>
    <w:rsid w:val="007E5D07"/>
    <w:rsid w:val="007E654D"/>
    <w:rsid w:val="007E6E6F"/>
    <w:rsid w:val="007F032E"/>
    <w:rsid w:val="007F0545"/>
    <w:rsid w:val="007F266D"/>
    <w:rsid w:val="007F5B1E"/>
    <w:rsid w:val="007F6499"/>
    <w:rsid w:val="00801600"/>
    <w:rsid w:val="00801BA3"/>
    <w:rsid w:val="00805CC3"/>
    <w:rsid w:val="00806A9B"/>
    <w:rsid w:val="00806EC1"/>
    <w:rsid w:val="00807EBD"/>
    <w:rsid w:val="00807F2A"/>
    <w:rsid w:val="00810177"/>
    <w:rsid w:val="0081057C"/>
    <w:rsid w:val="00811B3C"/>
    <w:rsid w:val="00812D47"/>
    <w:rsid w:val="00814453"/>
    <w:rsid w:val="008159E8"/>
    <w:rsid w:val="00817D8D"/>
    <w:rsid w:val="0082083A"/>
    <w:rsid w:val="008210CC"/>
    <w:rsid w:val="00821395"/>
    <w:rsid w:val="00821966"/>
    <w:rsid w:val="0082328F"/>
    <w:rsid w:val="00823D25"/>
    <w:rsid w:val="00824214"/>
    <w:rsid w:val="00824E47"/>
    <w:rsid w:val="00825046"/>
    <w:rsid w:val="00825A75"/>
    <w:rsid w:val="008261F4"/>
    <w:rsid w:val="00830EE5"/>
    <w:rsid w:val="00831E57"/>
    <w:rsid w:val="008350FC"/>
    <w:rsid w:val="00841ABB"/>
    <w:rsid w:val="0084291F"/>
    <w:rsid w:val="008434C7"/>
    <w:rsid w:val="00843B08"/>
    <w:rsid w:val="00844D4E"/>
    <w:rsid w:val="00845440"/>
    <w:rsid w:val="008459A0"/>
    <w:rsid w:val="00846112"/>
    <w:rsid w:val="00846F93"/>
    <w:rsid w:val="0084735E"/>
    <w:rsid w:val="0085220E"/>
    <w:rsid w:val="008543A4"/>
    <w:rsid w:val="00854852"/>
    <w:rsid w:val="00854E4C"/>
    <w:rsid w:val="008605B6"/>
    <w:rsid w:val="00860A87"/>
    <w:rsid w:val="008622FB"/>
    <w:rsid w:val="00863F23"/>
    <w:rsid w:val="0086596D"/>
    <w:rsid w:val="008663BD"/>
    <w:rsid w:val="00871499"/>
    <w:rsid w:val="00871522"/>
    <w:rsid w:val="0087161B"/>
    <w:rsid w:val="00872037"/>
    <w:rsid w:val="00872187"/>
    <w:rsid w:val="00874C42"/>
    <w:rsid w:val="00875DB4"/>
    <w:rsid w:val="00875E68"/>
    <w:rsid w:val="00876B20"/>
    <w:rsid w:val="00880A14"/>
    <w:rsid w:val="00881012"/>
    <w:rsid w:val="00882D87"/>
    <w:rsid w:val="00883159"/>
    <w:rsid w:val="008857E4"/>
    <w:rsid w:val="008860D0"/>
    <w:rsid w:val="0088790C"/>
    <w:rsid w:val="00887D32"/>
    <w:rsid w:val="00887EF0"/>
    <w:rsid w:val="0089162D"/>
    <w:rsid w:val="00892CCA"/>
    <w:rsid w:val="008939A5"/>
    <w:rsid w:val="008944B5"/>
    <w:rsid w:val="0089464C"/>
    <w:rsid w:val="00896E3E"/>
    <w:rsid w:val="008A014A"/>
    <w:rsid w:val="008A0258"/>
    <w:rsid w:val="008A1507"/>
    <w:rsid w:val="008A162F"/>
    <w:rsid w:val="008A1B96"/>
    <w:rsid w:val="008A1C62"/>
    <w:rsid w:val="008A444D"/>
    <w:rsid w:val="008A45BD"/>
    <w:rsid w:val="008A4C43"/>
    <w:rsid w:val="008A6CE9"/>
    <w:rsid w:val="008A7CA1"/>
    <w:rsid w:val="008B7695"/>
    <w:rsid w:val="008C1540"/>
    <w:rsid w:val="008C1C8A"/>
    <w:rsid w:val="008C21F1"/>
    <w:rsid w:val="008C2315"/>
    <w:rsid w:val="008C3782"/>
    <w:rsid w:val="008D0A17"/>
    <w:rsid w:val="008D16D1"/>
    <w:rsid w:val="008D3379"/>
    <w:rsid w:val="008D3E20"/>
    <w:rsid w:val="008D4083"/>
    <w:rsid w:val="008D4CCE"/>
    <w:rsid w:val="008D7909"/>
    <w:rsid w:val="008D7C32"/>
    <w:rsid w:val="008E31F5"/>
    <w:rsid w:val="008E41C8"/>
    <w:rsid w:val="008E4437"/>
    <w:rsid w:val="008E464F"/>
    <w:rsid w:val="008E4803"/>
    <w:rsid w:val="008E576D"/>
    <w:rsid w:val="008E6A11"/>
    <w:rsid w:val="008E7E63"/>
    <w:rsid w:val="008F0ED1"/>
    <w:rsid w:val="008F1F65"/>
    <w:rsid w:val="008F5169"/>
    <w:rsid w:val="008F6115"/>
    <w:rsid w:val="008F7BDC"/>
    <w:rsid w:val="00900EFA"/>
    <w:rsid w:val="00904FAF"/>
    <w:rsid w:val="009059BE"/>
    <w:rsid w:val="00907807"/>
    <w:rsid w:val="009079B4"/>
    <w:rsid w:val="00907E33"/>
    <w:rsid w:val="00910C21"/>
    <w:rsid w:val="0091109B"/>
    <w:rsid w:val="009113C9"/>
    <w:rsid w:val="00911B68"/>
    <w:rsid w:val="00912B16"/>
    <w:rsid w:val="00914BFD"/>
    <w:rsid w:val="0091753D"/>
    <w:rsid w:val="00917ADE"/>
    <w:rsid w:val="00920311"/>
    <w:rsid w:val="00922420"/>
    <w:rsid w:val="00922729"/>
    <w:rsid w:val="00922E6C"/>
    <w:rsid w:val="00923AC1"/>
    <w:rsid w:val="0092713E"/>
    <w:rsid w:val="0092770C"/>
    <w:rsid w:val="009315F2"/>
    <w:rsid w:val="00931C22"/>
    <w:rsid w:val="00933120"/>
    <w:rsid w:val="00934FCF"/>
    <w:rsid w:val="00935D14"/>
    <w:rsid w:val="009404F5"/>
    <w:rsid w:val="00942C93"/>
    <w:rsid w:val="00943228"/>
    <w:rsid w:val="00943E76"/>
    <w:rsid w:val="00944EF4"/>
    <w:rsid w:val="009451D8"/>
    <w:rsid w:val="009527C2"/>
    <w:rsid w:val="00953666"/>
    <w:rsid w:val="009557F8"/>
    <w:rsid w:val="00955A7E"/>
    <w:rsid w:val="00955CE4"/>
    <w:rsid w:val="00955E48"/>
    <w:rsid w:val="00957D66"/>
    <w:rsid w:val="00962929"/>
    <w:rsid w:val="00962B2B"/>
    <w:rsid w:val="00962D10"/>
    <w:rsid w:val="00963A75"/>
    <w:rsid w:val="0096459E"/>
    <w:rsid w:val="0096663F"/>
    <w:rsid w:val="00970AA0"/>
    <w:rsid w:val="009733CB"/>
    <w:rsid w:val="00973A04"/>
    <w:rsid w:val="00976CF7"/>
    <w:rsid w:val="009800AF"/>
    <w:rsid w:val="00980454"/>
    <w:rsid w:val="00981D0E"/>
    <w:rsid w:val="00981D48"/>
    <w:rsid w:val="00982AAD"/>
    <w:rsid w:val="00984D30"/>
    <w:rsid w:val="009850C7"/>
    <w:rsid w:val="00987E52"/>
    <w:rsid w:val="00991F97"/>
    <w:rsid w:val="00994594"/>
    <w:rsid w:val="00994CDA"/>
    <w:rsid w:val="009A070F"/>
    <w:rsid w:val="009A292E"/>
    <w:rsid w:val="009A3855"/>
    <w:rsid w:val="009A45AE"/>
    <w:rsid w:val="009A6F8C"/>
    <w:rsid w:val="009B024C"/>
    <w:rsid w:val="009B081F"/>
    <w:rsid w:val="009B483E"/>
    <w:rsid w:val="009B70ED"/>
    <w:rsid w:val="009B764A"/>
    <w:rsid w:val="009B78CD"/>
    <w:rsid w:val="009C0818"/>
    <w:rsid w:val="009C5B25"/>
    <w:rsid w:val="009D011A"/>
    <w:rsid w:val="009D0CE2"/>
    <w:rsid w:val="009D1B90"/>
    <w:rsid w:val="009D1CC5"/>
    <w:rsid w:val="009D2B86"/>
    <w:rsid w:val="009D3183"/>
    <w:rsid w:val="009D4281"/>
    <w:rsid w:val="009D50D3"/>
    <w:rsid w:val="009D5166"/>
    <w:rsid w:val="009D55F8"/>
    <w:rsid w:val="009D57FE"/>
    <w:rsid w:val="009D5AB3"/>
    <w:rsid w:val="009D5C1B"/>
    <w:rsid w:val="009D6021"/>
    <w:rsid w:val="009D6599"/>
    <w:rsid w:val="009D71BC"/>
    <w:rsid w:val="009D7F62"/>
    <w:rsid w:val="009E0000"/>
    <w:rsid w:val="009E18E4"/>
    <w:rsid w:val="009E22BD"/>
    <w:rsid w:val="009E2B8B"/>
    <w:rsid w:val="009E408F"/>
    <w:rsid w:val="009E43A5"/>
    <w:rsid w:val="009E46BC"/>
    <w:rsid w:val="009E4F2E"/>
    <w:rsid w:val="009E5C17"/>
    <w:rsid w:val="009E6FB2"/>
    <w:rsid w:val="009F09AF"/>
    <w:rsid w:val="009F0C67"/>
    <w:rsid w:val="009F29A9"/>
    <w:rsid w:val="009F2FC4"/>
    <w:rsid w:val="009F6BB9"/>
    <w:rsid w:val="00A00A2C"/>
    <w:rsid w:val="00A0125E"/>
    <w:rsid w:val="00A015C4"/>
    <w:rsid w:val="00A06137"/>
    <w:rsid w:val="00A07F67"/>
    <w:rsid w:val="00A10A29"/>
    <w:rsid w:val="00A11E2C"/>
    <w:rsid w:val="00A135FB"/>
    <w:rsid w:val="00A142B2"/>
    <w:rsid w:val="00A14ED9"/>
    <w:rsid w:val="00A2055D"/>
    <w:rsid w:val="00A26EA2"/>
    <w:rsid w:val="00A30D05"/>
    <w:rsid w:val="00A30F8D"/>
    <w:rsid w:val="00A33337"/>
    <w:rsid w:val="00A348CB"/>
    <w:rsid w:val="00A349F7"/>
    <w:rsid w:val="00A34C61"/>
    <w:rsid w:val="00A361AB"/>
    <w:rsid w:val="00A37563"/>
    <w:rsid w:val="00A408F6"/>
    <w:rsid w:val="00A4183E"/>
    <w:rsid w:val="00A4499F"/>
    <w:rsid w:val="00A50CA2"/>
    <w:rsid w:val="00A51C32"/>
    <w:rsid w:val="00A5429A"/>
    <w:rsid w:val="00A57E74"/>
    <w:rsid w:val="00A63451"/>
    <w:rsid w:val="00A644CA"/>
    <w:rsid w:val="00A65150"/>
    <w:rsid w:val="00A67523"/>
    <w:rsid w:val="00A7044F"/>
    <w:rsid w:val="00A70892"/>
    <w:rsid w:val="00A7225B"/>
    <w:rsid w:val="00A72FA7"/>
    <w:rsid w:val="00A74CAC"/>
    <w:rsid w:val="00A765DC"/>
    <w:rsid w:val="00A80DB7"/>
    <w:rsid w:val="00A81AA9"/>
    <w:rsid w:val="00A82EF4"/>
    <w:rsid w:val="00A8460C"/>
    <w:rsid w:val="00A86201"/>
    <w:rsid w:val="00A9133D"/>
    <w:rsid w:val="00A966B5"/>
    <w:rsid w:val="00A97428"/>
    <w:rsid w:val="00AA18C3"/>
    <w:rsid w:val="00AA2E9C"/>
    <w:rsid w:val="00AA48F5"/>
    <w:rsid w:val="00AA5BFC"/>
    <w:rsid w:val="00AA72E6"/>
    <w:rsid w:val="00AB0616"/>
    <w:rsid w:val="00AB139A"/>
    <w:rsid w:val="00AB2F9E"/>
    <w:rsid w:val="00AB7F06"/>
    <w:rsid w:val="00AC1F81"/>
    <w:rsid w:val="00AC4B57"/>
    <w:rsid w:val="00AC54FA"/>
    <w:rsid w:val="00AD0F76"/>
    <w:rsid w:val="00AD2A98"/>
    <w:rsid w:val="00AD2FA1"/>
    <w:rsid w:val="00AD32D3"/>
    <w:rsid w:val="00AD511E"/>
    <w:rsid w:val="00AD522D"/>
    <w:rsid w:val="00AD5F38"/>
    <w:rsid w:val="00AD62A3"/>
    <w:rsid w:val="00AD63B6"/>
    <w:rsid w:val="00AD6A87"/>
    <w:rsid w:val="00AE0CD3"/>
    <w:rsid w:val="00AE36EF"/>
    <w:rsid w:val="00AE3A1C"/>
    <w:rsid w:val="00AE3F14"/>
    <w:rsid w:val="00AE47C5"/>
    <w:rsid w:val="00AE69C0"/>
    <w:rsid w:val="00AE6BFB"/>
    <w:rsid w:val="00AE767F"/>
    <w:rsid w:val="00AF2CF4"/>
    <w:rsid w:val="00AF383A"/>
    <w:rsid w:val="00AF3847"/>
    <w:rsid w:val="00AF3E33"/>
    <w:rsid w:val="00AF5E22"/>
    <w:rsid w:val="00AF6F9F"/>
    <w:rsid w:val="00B0011B"/>
    <w:rsid w:val="00B021D9"/>
    <w:rsid w:val="00B04C3A"/>
    <w:rsid w:val="00B06E4D"/>
    <w:rsid w:val="00B142E8"/>
    <w:rsid w:val="00B16591"/>
    <w:rsid w:val="00B171A2"/>
    <w:rsid w:val="00B17FC8"/>
    <w:rsid w:val="00B217AA"/>
    <w:rsid w:val="00B21E83"/>
    <w:rsid w:val="00B25224"/>
    <w:rsid w:val="00B272FC"/>
    <w:rsid w:val="00B3605D"/>
    <w:rsid w:val="00B3715F"/>
    <w:rsid w:val="00B40855"/>
    <w:rsid w:val="00B4137C"/>
    <w:rsid w:val="00B41496"/>
    <w:rsid w:val="00B4204F"/>
    <w:rsid w:val="00B42BBD"/>
    <w:rsid w:val="00B45580"/>
    <w:rsid w:val="00B46AC0"/>
    <w:rsid w:val="00B476FC"/>
    <w:rsid w:val="00B503A2"/>
    <w:rsid w:val="00B507F5"/>
    <w:rsid w:val="00B50E8A"/>
    <w:rsid w:val="00B54817"/>
    <w:rsid w:val="00B54BFD"/>
    <w:rsid w:val="00B5743E"/>
    <w:rsid w:val="00B57509"/>
    <w:rsid w:val="00B57A84"/>
    <w:rsid w:val="00B61A70"/>
    <w:rsid w:val="00B620D6"/>
    <w:rsid w:val="00B63D97"/>
    <w:rsid w:val="00B64196"/>
    <w:rsid w:val="00B64434"/>
    <w:rsid w:val="00B65454"/>
    <w:rsid w:val="00B661DA"/>
    <w:rsid w:val="00B663F8"/>
    <w:rsid w:val="00B73AEB"/>
    <w:rsid w:val="00B75D7A"/>
    <w:rsid w:val="00B81595"/>
    <w:rsid w:val="00B815D3"/>
    <w:rsid w:val="00B839BA"/>
    <w:rsid w:val="00B84A3F"/>
    <w:rsid w:val="00B84B63"/>
    <w:rsid w:val="00B859FD"/>
    <w:rsid w:val="00B86836"/>
    <w:rsid w:val="00B90CB1"/>
    <w:rsid w:val="00B92C97"/>
    <w:rsid w:val="00B96D34"/>
    <w:rsid w:val="00BA32BF"/>
    <w:rsid w:val="00BA40E4"/>
    <w:rsid w:val="00BA67AC"/>
    <w:rsid w:val="00BA71E4"/>
    <w:rsid w:val="00BB07D4"/>
    <w:rsid w:val="00BB30F5"/>
    <w:rsid w:val="00BB500B"/>
    <w:rsid w:val="00BB59D7"/>
    <w:rsid w:val="00BB70CF"/>
    <w:rsid w:val="00BC20FE"/>
    <w:rsid w:val="00BC42B4"/>
    <w:rsid w:val="00BC45DC"/>
    <w:rsid w:val="00BC47B5"/>
    <w:rsid w:val="00BC618E"/>
    <w:rsid w:val="00BC6239"/>
    <w:rsid w:val="00BD3A06"/>
    <w:rsid w:val="00BD3D37"/>
    <w:rsid w:val="00BD4C0D"/>
    <w:rsid w:val="00BD6727"/>
    <w:rsid w:val="00BE031F"/>
    <w:rsid w:val="00BE2927"/>
    <w:rsid w:val="00BE49B9"/>
    <w:rsid w:val="00BE4B3F"/>
    <w:rsid w:val="00BE5849"/>
    <w:rsid w:val="00BE6722"/>
    <w:rsid w:val="00BE7A0C"/>
    <w:rsid w:val="00BF049B"/>
    <w:rsid w:val="00BF05D7"/>
    <w:rsid w:val="00BF3525"/>
    <w:rsid w:val="00BF3D15"/>
    <w:rsid w:val="00BF3EC1"/>
    <w:rsid w:val="00BF4BDD"/>
    <w:rsid w:val="00C00087"/>
    <w:rsid w:val="00C019BC"/>
    <w:rsid w:val="00C01F8E"/>
    <w:rsid w:val="00C04918"/>
    <w:rsid w:val="00C05A12"/>
    <w:rsid w:val="00C06DB3"/>
    <w:rsid w:val="00C13CD7"/>
    <w:rsid w:val="00C14288"/>
    <w:rsid w:val="00C162F4"/>
    <w:rsid w:val="00C16D30"/>
    <w:rsid w:val="00C17741"/>
    <w:rsid w:val="00C17D7D"/>
    <w:rsid w:val="00C20336"/>
    <w:rsid w:val="00C21871"/>
    <w:rsid w:val="00C218D8"/>
    <w:rsid w:val="00C2725D"/>
    <w:rsid w:val="00C275B2"/>
    <w:rsid w:val="00C2783F"/>
    <w:rsid w:val="00C27E7D"/>
    <w:rsid w:val="00C30473"/>
    <w:rsid w:val="00C30B7C"/>
    <w:rsid w:val="00C401E1"/>
    <w:rsid w:val="00C4081A"/>
    <w:rsid w:val="00C42480"/>
    <w:rsid w:val="00C44CA8"/>
    <w:rsid w:val="00C457FF"/>
    <w:rsid w:val="00C458B0"/>
    <w:rsid w:val="00C46297"/>
    <w:rsid w:val="00C46A0C"/>
    <w:rsid w:val="00C50D01"/>
    <w:rsid w:val="00C53B51"/>
    <w:rsid w:val="00C54D51"/>
    <w:rsid w:val="00C55C7A"/>
    <w:rsid w:val="00C56225"/>
    <w:rsid w:val="00C57793"/>
    <w:rsid w:val="00C57A6D"/>
    <w:rsid w:val="00C57DCB"/>
    <w:rsid w:val="00C64244"/>
    <w:rsid w:val="00C654C5"/>
    <w:rsid w:val="00C65AD9"/>
    <w:rsid w:val="00C71029"/>
    <w:rsid w:val="00C71342"/>
    <w:rsid w:val="00C71EA0"/>
    <w:rsid w:val="00C71F02"/>
    <w:rsid w:val="00C72227"/>
    <w:rsid w:val="00C726B6"/>
    <w:rsid w:val="00C72780"/>
    <w:rsid w:val="00C73630"/>
    <w:rsid w:val="00C74050"/>
    <w:rsid w:val="00C741DD"/>
    <w:rsid w:val="00C75236"/>
    <w:rsid w:val="00C761E4"/>
    <w:rsid w:val="00C76E49"/>
    <w:rsid w:val="00C77286"/>
    <w:rsid w:val="00C81ABB"/>
    <w:rsid w:val="00C82432"/>
    <w:rsid w:val="00C82A2D"/>
    <w:rsid w:val="00C85D9A"/>
    <w:rsid w:val="00C86DF7"/>
    <w:rsid w:val="00C878B9"/>
    <w:rsid w:val="00C87C60"/>
    <w:rsid w:val="00C9024D"/>
    <w:rsid w:val="00C906D6"/>
    <w:rsid w:val="00C9088A"/>
    <w:rsid w:val="00C90ED5"/>
    <w:rsid w:val="00C9310E"/>
    <w:rsid w:val="00C93ED1"/>
    <w:rsid w:val="00C94149"/>
    <w:rsid w:val="00C94727"/>
    <w:rsid w:val="00C94A8D"/>
    <w:rsid w:val="00C9529F"/>
    <w:rsid w:val="00C968C9"/>
    <w:rsid w:val="00CA00FE"/>
    <w:rsid w:val="00CA0C68"/>
    <w:rsid w:val="00CA3319"/>
    <w:rsid w:val="00CA3A34"/>
    <w:rsid w:val="00CA3DAE"/>
    <w:rsid w:val="00CA4532"/>
    <w:rsid w:val="00CA4BDD"/>
    <w:rsid w:val="00CA607E"/>
    <w:rsid w:val="00CA765D"/>
    <w:rsid w:val="00CB0CC9"/>
    <w:rsid w:val="00CB0EDF"/>
    <w:rsid w:val="00CB1C97"/>
    <w:rsid w:val="00CB2922"/>
    <w:rsid w:val="00CB32A8"/>
    <w:rsid w:val="00CB4462"/>
    <w:rsid w:val="00CB6FC3"/>
    <w:rsid w:val="00CB74D8"/>
    <w:rsid w:val="00CB77E9"/>
    <w:rsid w:val="00CB78C3"/>
    <w:rsid w:val="00CC1C51"/>
    <w:rsid w:val="00CC4A34"/>
    <w:rsid w:val="00CC4ACF"/>
    <w:rsid w:val="00CC571B"/>
    <w:rsid w:val="00CC59AF"/>
    <w:rsid w:val="00CC7592"/>
    <w:rsid w:val="00CD0015"/>
    <w:rsid w:val="00CD089D"/>
    <w:rsid w:val="00CD634F"/>
    <w:rsid w:val="00CD6758"/>
    <w:rsid w:val="00CD70AD"/>
    <w:rsid w:val="00CE0E5D"/>
    <w:rsid w:val="00CE1275"/>
    <w:rsid w:val="00CE1DDD"/>
    <w:rsid w:val="00CE3039"/>
    <w:rsid w:val="00CE33B4"/>
    <w:rsid w:val="00CE56FE"/>
    <w:rsid w:val="00CE6E16"/>
    <w:rsid w:val="00CF0261"/>
    <w:rsid w:val="00CF218F"/>
    <w:rsid w:val="00CF3840"/>
    <w:rsid w:val="00CF501D"/>
    <w:rsid w:val="00CF6107"/>
    <w:rsid w:val="00CF7437"/>
    <w:rsid w:val="00D00196"/>
    <w:rsid w:val="00D00222"/>
    <w:rsid w:val="00D00EF2"/>
    <w:rsid w:val="00D042D0"/>
    <w:rsid w:val="00D07D97"/>
    <w:rsid w:val="00D07F95"/>
    <w:rsid w:val="00D10CB6"/>
    <w:rsid w:val="00D10F69"/>
    <w:rsid w:val="00D12EF8"/>
    <w:rsid w:val="00D15891"/>
    <w:rsid w:val="00D15D07"/>
    <w:rsid w:val="00D16532"/>
    <w:rsid w:val="00D21CAD"/>
    <w:rsid w:val="00D221A2"/>
    <w:rsid w:val="00D23E68"/>
    <w:rsid w:val="00D24262"/>
    <w:rsid w:val="00D24A55"/>
    <w:rsid w:val="00D256FA"/>
    <w:rsid w:val="00D25E7D"/>
    <w:rsid w:val="00D27708"/>
    <w:rsid w:val="00D2770F"/>
    <w:rsid w:val="00D2782C"/>
    <w:rsid w:val="00D30182"/>
    <w:rsid w:val="00D3034A"/>
    <w:rsid w:val="00D339A2"/>
    <w:rsid w:val="00D35371"/>
    <w:rsid w:val="00D361D7"/>
    <w:rsid w:val="00D378B1"/>
    <w:rsid w:val="00D406C8"/>
    <w:rsid w:val="00D4074F"/>
    <w:rsid w:val="00D414F1"/>
    <w:rsid w:val="00D41602"/>
    <w:rsid w:val="00D43D65"/>
    <w:rsid w:val="00D45E36"/>
    <w:rsid w:val="00D46D11"/>
    <w:rsid w:val="00D47E90"/>
    <w:rsid w:val="00D5067A"/>
    <w:rsid w:val="00D520B1"/>
    <w:rsid w:val="00D529AA"/>
    <w:rsid w:val="00D5668B"/>
    <w:rsid w:val="00D57AAD"/>
    <w:rsid w:val="00D57ACF"/>
    <w:rsid w:val="00D6019F"/>
    <w:rsid w:val="00D658A4"/>
    <w:rsid w:val="00D669FE"/>
    <w:rsid w:val="00D66FE9"/>
    <w:rsid w:val="00D70DD2"/>
    <w:rsid w:val="00D73DFD"/>
    <w:rsid w:val="00D7522E"/>
    <w:rsid w:val="00D81071"/>
    <w:rsid w:val="00D856DB"/>
    <w:rsid w:val="00D86613"/>
    <w:rsid w:val="00D86C49"/>
    <w:rsid w:val="00D86FC8"/>
    <w:rsid w:val="00D87109"/>
    <w:rsid w:val="00D906F1"/>
    <w:rsid w:val="00D90EB6"/>
    <w:rsid w:val="00D9303F"/>
    <w:rsid w:val="00D94832"/>
    <w:rsid w:val="00D95F70"/>
    <w:rsid w:val="00D96027"/>
    <w:rsid w:val="00D9607D"/>
    <w:rsid w:val="00D97089"/>
    <w:rsid w:val="00DA0707"/>
    <w:rsid w:val="00DA098D"/>
    <w:rsid w:val="00DA36F5"/>
    <w:rsid w:val="00DA3E87"/>
    <w:rsid w:val="00DA42D6"/>
    <w:rsid w:val="00DA484D"/>
    <w:rsid w:val="00DB09D9"/>
    <w:rsid w:val="00DB2922"/>
    <w:rsid w:val="00DB3BB7"/>
    <w:rsid w:val="00DB4219"/>
    <w:rsid w:val="00DB530C"/>
    <w:rsid w:val="00DB57E0"/>
    <w:rsid w:val="00DB65DA"/>
    <w:rsid w:val="00DC0BA1"/>
    <w:rsid w:val="00DC129E"/>
    <w:rsid w:val="00DC2C40"/>
    <w:rsid w:val="00DC3F2C"/>
    <w:rsid w:val="00DC42A5"/>
    <w:rsid w:val="00DC6DA5"/>
    <w:rsid w:val="00DC7D52"/>
    <w:rsid w:val="00DD1A16"/>
    <w:rsid w:val="00DD1BB6"/>
    <w:rsid w:val="00DD3BF2"/>
    <w:rsid w:val="00DD4D83"/>
    <w:rsid w:val="00DD667A"/>
    <w:rsid w:val="00DD6F61"/>
    <w:rsid w:val="00DD74F2"/>
    <w:rsid w:val="00DE013D"/>
    <w:rsid w:val="00DE0D02"/>
    <w:rsid w:val="00DE5226"/>
    <w:rsid w:val="00DF1D19"/>
    <w:rsid w:val="00DF3538"/>
    <w:rsid w:val="00DF38BC"/>
    <w:rsid w:val="00DF44B0"/>
    <w:rsid w:val="00DF4D46"/>
    <w:rsid w:val="00DF7C5D"/>
    <w:rsid w:val="00E015CE"/>
    <w:rsid w:val="00E01C7E"/>
    <w:rsid w:val="00E01E4D"/>
    <w:rsid w:val="00E02DA8"/>
    <w:rsid w:val="00E03A0B"/>
    <w:rsid w:val="00E04082"/>
    <w:rsid w:val="00E0528A"/>
    <w:rsid w:val="00E06667"/>
    <w:rsid w:val="00E07D95"/>
    <w:rsid w:val="00E07F8C"/>
    <w:rsid w:val="00E101D1"/>
    <w:rsid w:val="00E1033B"/>
    <w:rsid w:val="00E1078A"/>
    <w:rsid w:val="00E10C7C"/>
    <w:rsid w:val="00E14574"/>
    <w:rsid w:val="00E14AFC"/>
    <w:rsid w:val="00E1578C"/>
    <w:rsid w:val="00E15AB4"/>
    <w:rsid w:val="00E16925"/>
    <w:rsid w:val="00E177D6"/>
    <w:rsid w:val="00E17E45"/>
    <w:rsid w:val="00E21151"/>
    <w:rsid w:val="00E22468"/>
    <w:rsid w:val="00E229EF"/>
    <w:rsid w:val="00E25BEC"/>
    <w:rsid w:val="00E261E4"/>
    <w:rsid w:val="00E26B48"/>
    <w:rsid w:val="00E27493"/>
    <w:rsid w:val="00E27A40"/>
    <w:rsid w:val="00E3100C"/>
    <w:rsid w:val="00E313D8"/>
    <w:rsid w:val="00E31F89"/>
    <w:rsid w:val="00E32D0F"/>
    <w:rsid w:val="00E338F9"/>
    <w:rsid w:val="00E356B7"/>
    <w:rsid w:val="00E3753E"/>
    <w:rsid w:val="00E42D11"/>
    <w:rsid w:val="00E45129"/>
    <w:rsid w:val="00E45E34"/>
    <w:rsid w:val="00E46A9C"/>
    <w:rsid w:val="00E46C6C"/>
    <w:rsid w:val="00E479E7"/>
    <w:rsid w:val="00E47CF6"/>
    <w:rsid w:val="00E5015C"/>
    <w:rsid w:val="00E50597"/>
    <w:rsid w:val="00E5141F"/>
    <w:rsid w:val="00E520FC"/>
    <w:rsid w:val="00E5222D"/>
    <w:rsid w:val="00E52A8B"/>
    <w:rsid w:val="00E54847"/>
    <w:rsid w:val="00E57F46"/>
    <w:rsid w:val="00E60D25"/>
    <w:rsid w:val="00E60EF2"/>
    <w:rsid w:val="00E6148A"/>
    <w:rsid w:val="00E627FA"/>
    <w:rsid w:val="00E659B5"/>
    <w:rsid w:val="00E65A11"/>
    <w:rsid w:val="00E67AAE"/>
    <w:rsid w:val="00E70B1A"/>
    <w:rsid w:val="00E71645"/>
    <w:rsid w:val="00E74F60"/>
    <w:rsid w:val="00E77610"/>
    <w:rsid w:val="00E8197F"/>
    <w:rsid w:val="00E8238B"/>
    <w:rsid w:val="00E84CF8"/>
    <w:rsid w:val="00E8580D"/>
    <w:rsid w:val="00E87687"/>
    <w:rsid w:val="00E91792"/>
    <w:rsid w:val="00E917BE"/>
    <w:rsid w:val="00E96AD1"/>
    <w:rsid w:val="00EA0D4A"/>
    <w:rsid w:val="00EA12CE"/>
    <w:rsid w:val="00EA1C89"/>
    <w:rsid w:val="00EA1FD4"/>
    <w:rsid w:val="00EA2EB7"/>
    <w:rsid w:val="00EA3F2B"/>
    <w:rsid w:val="00EB00B2"/>
    <w:rsid w:val="00EB0A39"/>
    <w:rsid w:val="00EB256B"/>
    <w:rsid w:val="00EB4837"/>
    <w:rsid w:val="00EB5D3F"/>
    <w:rsid w:val="00EC050E"/>
    <w:rsid w:val="00EC0DC3"/>
    <w:rsid w:val="00EC326E"/>
    <w:rsid w:val="00EC4854"/>
    <w:rsid w:val="00EC5580"/>
    <w:rsid w:val="00EC682C"/>
    <w:rsid w:val="00ED0CE5"/>
    <w:rsid w:val="00ED40E9"/>
    <w:rsid w:val="00ED4578"/>
    <w:rsid w:val="00ED62B9"/>
    <w:rsid w:val="00EE1078"/>
    <w:rsid w:val="00EE1B1A"/>
    <w:rsid w:val="00EE3B2E"/>
    <w:rsid w:val="00EE46B1"/>
    <w:rsid w:val="00EE5EDA"/>
    <w:rsid w:val="00EE6A21"/>
    <w:rsid w:val="00EF137B"/>
    <w:rsid w:val="00EF2F01"/>
    <w:rsid w:val="00EF3784"/>
    <w:rsid w:val="00EF3ED3"/>
    <w:rsid w:val="00EF5EFA"/>
    <w:rsid w:val="00F00F1B"/>
    <w:rsid w:val="00F03838"/>
    <w:rsid w:val="00F11538"/>
    <w:rsid w:val="00F1156E"/>
    <w:rsid w:val="00F1228D"/>
    <w:rsid w:val="00F13525"/>
    <w:rsid w:val="00F16E32"/>
    <w:rsid w:val="00F220EF"/>
    <w:rsid w:val="00F22ECF"/>
    <w:rsid w:val="00F24D93"/>
    <w:rsid w:val="00F307CF"/>
    <w:rsid w:val="00F30975"/>
    <w:rsid w:val="00F31387"/>
    <w:rsid w:val="00F314EB"/>
    <w:rsid w:val="00F31AE0"/>
    <w:rsid w:val="00F3267A"/>
    <w:rsid w:val="00F32D6F"/>
    <w:rsid w:val="00F362B9"/>
    <w:rsid w:val="00F367B3"/>
    <w:rsid w:val="00F40130"/>
    <w:rsid w:val="00F41A2B"/>
    <w:rsid w:val="00F41C33"/>
    <w:rsid w:val="00F42BB1"/>
    <w:rsid w:val="00F42F31"/>
    <w:rsid w:val="00F43CE4"/>
    <w:rsid w:val="00F44577"/>
    <w:rsid w:val="00F451F9"/>
    <w:rsid w:val="00F45E18"/>
    <w:rsid w:val="00F50D02"/>
    <w:rsid w:val="00F563CF"/>
    <w:rsid w:val="00F56C78"/>
    <w:rsid w:val="00F608CE"/>
    <w:rsid w:val="00F6168B"/>
    <w:rsid w:val="00F62BB2"/>
    <w:rsid w:val="00F62BD9"/>
    <w:rsid w:val="00F64D3C"/>
    <w:rsid w:val="00F66254"/>
    <w:rsid w:val="00F71F5D"/>
    <w:rsid w:val="00F72956"/>
    <w:rsid w:val="00F72F57"/>
    <w:rsid w:val="00F73B01"/>
    <w:rsid w:val="00F73DBD"/>
    <w:rsid w:val="00F74719"/>
    <w:rsid w:val="00F74AB8"/>
    <w:rsid w:val="00F75E73"/>
    <w:rsid w:val="00F7691C"/>
    <w:rsid w:val="00F76DA5"/>
    <w:rsid w:val="00F76E6C"/>
    <w:rsid w:val="00F77171"/>
    <w:rsid w:val="00F80169"/>
    <w:rsid w:val="00F807FE"/>
    <w:rsid w:val="00F81953"/>
    <w:rsid w:val="00F8319B"/>
    <w:rsid w:val="00F8396A"/>
    <w:rsid w:val="00F83B3E"/>
    <w:rsid w:val="00F86599"/>
    <w:rsid w:val="00F86E82"/>
    <w:rsid w:val="00F8725D"/>
    <w:rsid w:val="00F907EF"/>
    <w:rsid w:val="00F9163D"/>
    <w:rsid w:val="00F91DAB"/>
    <w:rsid w:val="00F9314A"/>
    <w:rsid w:val="00F93D4E"/>
    <w:rsid w:val="00F941EC"/>
    <w:rsid w:val="00F95D41"/>
    <w:rsid w:val="00F96B0B"/>
    <w:rsid w:val="00F97B04"/>
    <w:rsid w:val="00FA45E5"/>
    <w:rsid w:val="00FA6389"/>
    <w:rsid w:val="00FA6E88"/>
    <w:rsid w:val="00FA6EAF"/>
    <w:rsid w:val="00FA734F"/>
    <w:rsid w:val="00FA74EF"/>
    <w:rsid w:val="00FB074D"/>
    <w:rsid w:val="00FB182F"/>
    <w:rsid w:val="00FB3D82"/>
    <w:rsid w:val="00FB4122"/>
    <w:rsid w:val="00FB6EE8"/>
    <w:rsid w:val="00FB7826"/>
    <w:rsid w:val="00FC0DAE"/>
    <w:rsid w:val="00FC13AC"/>
    <w:rsid w:val="00FC1507"/>
    <w:rsid w:val="00FC496F"/>
    <w:rsid w:val="00FC66F4"/>
    <w:rsid w:val="00FD0D29"/>
    <w:rsid w:val="00FD0DD7"/>
    <w:rsid w:val="00FD278F"/>
    <w:rsid w:val="00FD41EB"/>
    <w:rsid w:val="00FD4939"/>
    <w:rsid w:val="00FD527F"/>
    <w:rsid w:val="00FD635E"/>
    <w:rsid w:val="00FD6771"/>
    <w:rsid w:val="00FD7DE3"/>
    <w:rsid w:val="00FE0945"/>
    <w:rsid w:val="00FE0B82"/>
    <w:rsid w:val="00FE0B8A"/>
    <w:rsid w:val="00FE1EF1"/>
    <w:rsid w:val="00FE335A"/>
    <w:rsid w:val="00FE4A04"/>
    <w:rsid w:val="00FE5769"/>
    <w:rsid w:val="00FE5E2C"/>
    <w:rsid w:val="00FF0CE8"/>
    <w:rsid w:val="00FF1F85"/>
    <w:rsid w:val="00FF248B"/>
    <w:rsid w:val="00FF3AE0"/>
    <w:rsid w:val="00FF3CBA"/>
    <w:rsid w:val="00FF47F6"/>
    <w:rsid w:val="00FF6CF2"/>
    <w:rsid w:val="00FF7E58"/>
    <w:rsid w:val="088CEAFC"/>
    <w:rsid w:val="0DD72C82"/>
    <w:rsid w:val="10EAE672"/>
    <w:rsid w:val="1141F99B"/>
    <w:rsid w:val="14CE630F"/>
    <w:rsid w:val="1753BE71"/>
    <w:rsid w:val="1A31DCB3"/>
    <w:rsid w:val="1CD4DEB4"/>
    <w:rsid w:val="22A09D8D"/>
    <w:rsid w:val="32C9C0D0"/>
    <w:rsid w:val="32DBD945"/>
    <w:rsid w:val="33110ED7"/>
    <w:rsid w:val="34153D9C"/>
    <w:rsid w:val="35C13747"/>
    <w:rsid w:val="365A31AD"/>
    <w:rsid w:val="372D0F8F"/>
    <w:rsid w:val="387E7C48"/>
    <w:rsid w:val="407E9047"/>
    <w:rsid w:val="45B46122"/>
    <w:rsid w:val="4ADFF9B2"/>
    <w:rsid w:val="4C27ED75"/>
    <w:rsid w:val="4D74F85E"/>
    <w:rsid w:val="4FB3F09D"/>
    <w:rsid w:val="586345BF"/>
    <w:rsid w:val="592D71E2"/>
    <w:rsid w:val="5C978958"/>
    <w:rsid w:val="5E1B7C1D"/>
    <w:rsid w:val="634C071A"/>
    <w:rsid w:val="6571597E"/>
    <w:rsid w:val="67576A8F"/>
    <w:rsid w:val="750814D2"/>
    <w:rsid w:val="79402EBC"/>
    <w:rsid w:val="7C7592A4"/>
    <w:rsid w:val="7FD3D6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BCE248"/>
  <w14:defaultImageDpi w14:val="300"/>
  <w15:docId w15:val="{0AD664E9-49DA-42FA-B653-68298742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015"/>
    <w:pPr>
      <w:keepNext/>
      <w:keepLines/>
      <w:spacing w:before="240"/>
      <w:outlineLvl w:val="0"/>
    </w:pPr>
    <w:rPr>
      <w:rFonts w:ascii="Verdana" w:eastAsiaTheme="majorEastAsia" w:hAnsi="Verdana" w:cstheme="majorBidi"/>
      <w:b/>
      <w:color w:val="77328A"/>
      <w:sz w:val="30"/>
      <w:szCs w:val="32"/>
    </w:rPr>
  </w:style>
  <w:style w:type="paragraph" w:styleId="Heading2">
    <w:name w:val="heading 2"/>
    <w:basedOn w:val="Normal"/>
    <w:next w:val="Normal"/>
    <w:link w:val="Heading2Char"/>
    <w:uiPriority w:val="9"/>
    <w:unhideWhenUsed/>
    <w:qFormat/>
    <w:rsid w:val="001D4B9A"/>
    <w:pPr>
      <w:keepNext/>
      <w:keepLines/>
      <w:spacing w:before="40"/>
      <w:outlineLvl w:val="1"/>
    </w:pPr>
    <w:rPr>
      <w:rFonts w:ascii="Verdana" w:eastAsiaTheme="majorEastAsia" w:hAnsi="Verdana" w:cstheme="majorBidi"/>
      <w:b/>
      <w:szCs w:val="26"/>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aliases w:val="Footnote Text Char Char,Footnote Text Char1 Char Char,Footnote Text Char Char Char Char,Footnote Text Char1 Char Char Char Char,Footnote Char Char Char Char Char,Footnote Text Char Char Char Char Char Char,Footnote Quot,FA Fu,Char,f"/>
    <w:basedOn w:val="Normal"/>
    <w:link w:val="FootnoteTextChar"/>
    <w:uiPriority w:val="99"/>
    <w:unhideWhenUsed/>
    <w:qFormat/>
    <w:rsid w:val="00224140"/>
  </w:style>
  <w:style w:type="character" w:customStyle="1" w:styleId="FootnoteTextChar">
    <w:name w:val="Footnote Text Char"/>
    <w:aliases w:val="Footnote Text Char Char Char,Footnote Text Char1 Char Char Char,Footnote Text Char Char Char Char Char,Footnote Text Char1 Char Char Char Char Char,Footnote Char Char Char Char Char Char,Footnote Quot Char,FA Fu Char,Char Char,f Char"/>
    <w:basedOn w:val="DefaultParagraphFont"/>
    <w:link w:val="FootnoteText"/>
    <w:uiPriority w:val="99"/>
    <w:rsid w:val="00224140"/>
  </w:style>
  <w:style w:type="character" w:styleId="FootnoteReference">
    <w:name w:val="footnote reference"/>
    <w:basedOn w:val="DefaultParagraphFont"/>
    <w:uiPriority w:val="99"/>
    <w:unhideWhenUsed/>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ascii="Verdana" w:hAnsi="Verdana"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styleId="ListParagraph">
    <w:name w:val="List Paragraph"/>
    <w:basedOn w:val="Normal"/>
    <w:uiPriority w:val="34"/>
    <w:qFormat/>
    <w:rsid w:val="008A4C43"/>
    <w:pPr>
      <w:ind w:left="720"/>
      <w:contextualSpacing/>
    </w:pPr>
  </w:style>
  <w:style w:type="character" w:customStyle="1" w:styleId="Heading1Char">
    <w:name w:val="Heading 1 Char"/>
    <w:basedOn w:val="DefaultParagraphFont"/>
    <w:link w:val="Heading1"/>
    <w:uiPriority w:val="9"/>
    <w:rsid w:val="00CD0015"/>
    <w:rPr>
      <w:rFonts w:ascii="Verdana" w:eastAsiaTheme="majorEastAsia" w:hAnsi="Verdana" w:cstheme="majorBidi"/>
      <w:b/>
      <w:color w:val="77328A"/>
      <w:sz w:val="30"/>
      <w:szCs w:val="32"/>
    </w:rPr>
  </w:style>
  <w:style w:type="character" w:customStyle="1" w:styleId="Heading2Char">
    <w:name w:val="Heading 2 Char"/>
    <w:basedOn w:val="DefaultParagraphFont"/>
    <w:link w:val="Heading2"/>
    <w:uiPriority w:val="9"/>
    <w:rsid w:val="001D4B9A"/>
    <w:rPr>
      <w:rFonts w:ascii="Verdana" w:eastAsiaTheme="majorEastAsia" w:hAnsi="Verdana" w:cstheme="majorBidi"/>
      <w:b/>
      <w:szCs w:val="26"/>
    </w:rPr>
  </w:style>
  <w:style w:type="character" w:styleId="UnresolvedMention">
    <w:name w:val="Unresolved Mention"/>
    <w:basedOn w:val="DefaultParagraphFont"/>
    <w:uiPriority w:val="99"/>
    <w:semiHidden/>
    <w:unhideWhenUsed/>
    <w:rsid w:val="000B687D"/>
    <w:rPr>
      <w:color w:val="605E5C"/>
      <w:shd w:val="clear" w:color="auto" w:fill="E1DFDD"/>
    </w:rPr>
  </w:style>
  <w:style w:type="character" w:styleId="CommentReference">
    <w:name w:val="annotation reference"/>
    <w:basedOn w:val="DefaultParagraphFont"/>
    <w:uiPriority w:val="99"/>
    <w:semiHidden/>
    <w:unhideWhenUsed/>
    <w:rsid w:val="00315375"/>
    <w:rPr>
      <w:sz w:val="16"/>
      <w:szCs w:val="16"/>
    </w:rPr>
  </w:style>
  <w:style w:type="paragraph" w:styleId="CommentText">
    <w:name w:val="annotation text"/>
    <w:basedOn w:val="Normal"/>
    <w:link w:val="CommentTextChar"/>
    <w:uiPriority w:val="99"/>
    <w:unhideWhenUsed/>
    <w:rsid w:val="00315375"/>
    <w:rPr>
      <w:sz w:val="20"/>
      <w:szCs w:val="20"/>
    </w:rPr>
  </w:style>
  <w:style w:type="character" w:customStyle="1" w:styleId="CommentTextChar">
    <w:name w:val="Comment Text Char"/>
    <w:basedOn w:val="DefaultParagraphFont"/>
    <w:link w:val="CommentText"/>
    <w:uiPriority w:val="99"/>
    <w:rsid w:val="00315375"/>
    <w:rPr>
      <w:sz w:val="20"/>
      <w:szCs w:val="20"/>
    </w:rPr>
  </w:style>
  <w:style w:type="paragraph" w:styleId="CommentSubject">
    <w:name w:val="annotation subject"/>
    <w:basedOn w:val="CommentText"/>
    <w:next w:val="CommentText"/>
    <w:link w:val="CommentSubjectChar"/>
    <w:uiPriority w:val="99"/>
    <w:semiHidden/>
    <w:unhideWhenUsed/>
    <w:rsid w:val="00315375"/>
    <w:rPr>
      <w:b/>
      <w:bCs/>
    </w:rPr>
  </w:style>
  <w:style w:type="character" w:customStyle="1" w:styleId="CommentSubjectChar">
    <w:name w:val="Comment Subject Char"/>
    <w:basedOn w:val="CommentTextChar"/>
    <w:link w:val="CommentSubject"/>
    <w:uiPriority w:val="99"/>
    <w:semiHidden/>
    <w:rsid w:val="00315375"/>
    <w:rPr>
      <w:b/>
      <w:bCs/>
      <w:sz w:val="20"/>
      <w:szCs w:val="20"/>
    </w:rPr>
  </w:style>
  <w:style w:type="paragraph" w:styleId="TOCHeading">
    <w:name w:val="TOC Heading"/>
    <w:basedOn w:val="Heading1"/>
    <w:next w:val="Normal"/>
    <w:uiPriority w:val="39"/>
    <w:unhideWhenUsed/>
    <w:qFormat/>
    <w:rsid w:val="00480E98"/>
    <w:pPr>
      <w:spacing w:line="259" w:lineRule="auto"/>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5B5F40"/>
    <w:pPr>
      <w:tabs>
        <w:tab w:val="left" w:pos="720"/>
        <w:tab w:val="right" w:leader="dot" w:pos="9848"/>
      </w:tabs>
      <w:spacing w:after="100"/>
    </w:pPr>
    <w:rPr>
      <w:rFonts w:ascii="Verdana" w:hAnsi="Verdana"/>
      <w:b/>
      <w:bCs/>
      <w:noProof/>
    </w:rPr>
  </w:style>
  <w:style w:type="paragraph" w:styleId="TOC2">
    <w:name w:val="toc 2"/>
    <w:basedOn w:val="Normal"/>
    <w:next w:val="Normal"/>
    <w:autoRedefine/>
    <w:uiPriority w:val="39"/>
    <w:unhideWhenUsed/>
    <w:rsid w:val="00480E98"/>
    <w:pPr>
      <w:spacing w:after="100"/>
      <w:ind w:left="240"/>
    </w:pPr>
  </w:style>
  <w:style w:type="character" w:styleId="FollowedHyperlink">
    <w:name w:val="FollowedHyperlink"/>
    <w:basedOn w:val="DefaultParagraphFont"/>
    <w:uiPriority w:val="99"/>
    <w:semiHidden/>
    <w:unhideWhenUsed/>
    <w:rsid w:val="001260B2"/>
    <w:rPr>
      <w:color w:val="800080" w:themeColor="followedHyperlink"/>
      <w:u w:val="single"/>
    </w:rPr>
  </w:style>
  <w:style w:type="paragraph" w:styleId="Revision">
    <w:name w:val="Revision"/>
    <w:hidden/>
    <w:uiPriority w:val="99"/>
    <w:semiHidden/>
    <w:rsid w:val="009E46BC"/>
  </w:style>
  <w:style w:type="paragraph" w:styleId="EndnoteText">
    <w:name w:val="endnote text"/>
    <w:basedOn w:val="Normal"/>
    <w:link w:val="EndnoteTextChar"/>
    <w:uiPriority w:val="99"/>
    <w:semiHidden/>
    <w:unhideWhenUsed/>
    <w:rsid w:val="001F44B3"/>
    <w:rPr>
      <w:sz w:val="20"/>
      <w:szCs w:val="20"/>
    </w:rPr>
  </w:style>
  <w:style w:type="character" w:customStyle="1" w:styleId="EndnoteTextChar">
    <w:name w:val="Endnote Text Char"/>
    <w:basedOn w:val="DefaultParagraphFont"/>
    <w:link w:val="EndnoteText"/>
    <w:uiPriority w:val="99"/>
    <w:semiHidden/>
    <w:rsid w:val="001F44B3"/>
    <w:rPr>
      <w:sz w:val="20"/>
      <w:szCs w:val="20"/>
    </w:rPr>
  </w:style>
  <w:style w:type="character" w:styleId="EndnoteReference">
    <w:name w:val="endnote reference"/>
    <w:basedOn w:val="DefaultParagraphFont"/>
    <w:uiPriority w:val="99"/>
    <w:semiHidden/>
    <w:unhideWhenUsed/>
    <w:rsid w:val="001F44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hr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lin.Caughey@NIHRC.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nihrc.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benefitsandwork.co.uk/personal-independence-payment-pip/pip-reviews" TargetMode="External"/><Relationship Id="rId13" Type="http://schemas.openxmlformats.org/officeDocument/2006/relationships/hyperlink" Target="https://www.gov.uk/government/publications/benefit-and-pension-rates-2025-to-2026/benefit-and-pension-rates-2025-to-2026" TargetMode="External"/><Relationship Id="rId3" Type="http://schemas.openxmlformats.org/officeDocument/2006/relationships/hyperlink" Target="https://www.trussell.org.uk/news-and-research/latest-stats/end-of-year-stats" TargetMode="External"/><Relationship Id="rId7" Type="http://schemas.openxmlformats.org/officeDocument/2006/relationships/hyperlink" Target="https://www.benefitsandwork.co.uk/personal-independence-payment-pip/pip-appeals" TargetMode="External"/><Relationship Id="rId12" Type="http://schemas.openxmlformats.org/officeDocument/2006/relationships/hyperlink" Target="https://www.gov.uk/disability-living-allowance-children/rates" TargetMode="External"/><Relationship Id="rId2" Type="http://schemas.openxmlformats.org/officeDocument/2006/relationships/hyperlink" Target="https://www.jrf.org.uk/social-security/how-health-related-benefit-cuts-add-up" TargetMode="External"/><Relationship Id="rId1" Type="http://schemas.openxmlformats.org/officeDocument/2006/relationships/hyperlink" Target="https://www.centreformentalhealth.org.uk/a-broken-safety-net-social-security-and-mental-health/" TargetMode="External"/><Relationship Id="rId6" Type="http://schemas.openxmlformats.org/officeDocument/2006/relationships/hyperlink" Target="https://cpag.org.uk/news/short-briefing-pathways-work-green-paper" TargetMode="External"/><Relationship Id="rId11" Type="http://schemas.openxmlformats.org/officeDocument/2006/relationships/hyperlink" Target="https://www.jrf.org.uk/work/young-people-caught-in-crosshairs-of-health-and-disability-reforms" TargetMode="External"/><Relationship Id="rId5" Type="http://schemas.openxmlformats.org/officeDocument/2006/relationships/hyperlink" Target="https://www.gov.uk/government/publications/benefit-and-pension-rates-2025-to-2026/benefit-and-pension-rates-2025-to-2026" TargetMode="External"/><Relationship Id="rId10" Type="http://schemas.openxmlformats.org/officeDocument/2006/relationships/hyperlink" Target="https://www.economy-ni.gov.uk/articles/young-people-inequalities-northern-ireland-skills-system-accessible-text-version" TargetMode="External"/><Relationship Id="rId4" Type="http://schemas.openxmlformats.org/officeDocument/2006/relationships/hyperlink" Target="https://ennhri.org/about-nhris/human-rights-based-approach/" TargetMode="External"/><Relationship Id="rId9" Type="http://schemas.openxmlformats.org/officeDocument/2006/relationships/hyperlink" Target="https://www.gov.uk/government/statistics/personal-independence-payment-statistics-to-january-2025/personal-independence-payment-official-statistics-to-january-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Staff%20Information\Branding%20&amp;%20Guidance%20-%20Staff\Templates\27689%20-%20HUMAN%20RIGHTS%20Resear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8" ma:contentTypeDescription="Create a new document." ma:contentTypeScope="" ma:versionID="841bad1d9fc4c5e3f4e2b5a3a7a7538c">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c292867184a0c53f5e1912ddb2becaee"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8C5E6-390A-46D6-8F93-81CF44F36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4C3C56-9B34-49B0-AF95-AA91FF1D7EDF}">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3.xml><?xml version="1.0" encoding="utf-8"?>
<ds:datastoreItem xmlns:ds="http://schemas.openxmlformats.org/officeDocument/2006/customXml" ds:itemID="{3A384150-B37B-41D5-8D0B-6D64543DD0F5}">
  <ds:schemaRefs>
    <ds:schemaRef ds:uri="http://schemas.openxmlformats.org/officeDocument/2006/bibliography"/>
  </ds:schemaRefs>
</ds:datastoreItem>
</file>

<file path=customXml/itemProps4.xml><?xml version="1.0" encoding="utf-8"?>
<ds:datastoreItem xmlns:ds="http://schemas.openxmlformats.org/officeDocument/2006/customXml" ds:itemID="{256A8A39-C272-4912-B5DE-FE765CD87D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27689 - HUMAN RIGHTS Research</Template>
  <TotalTime>175</TotalTime>
  <Pages>45</Pages>
  <Words>9849</Words>
  <Characters>56141</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65859</CharactersWithSpaces>
  <SharedDoc>false</SharedDoc>
  <HLinks>
    <vt:vector size="210" baseType="variant">
      <vt:variant>
        <vt:i4>6946881</vt:i4>
      </vt:variant>
      <vt:variant>
        <vt:i4>123</vt:i4>
      </vt:variant>
      <vt:variant>
        <vt:i4>0</vt:i4>
      </vt:variant>
      <vt:variant>
        <vt:i4>5</vt:i4>
      </vt:variant>
      <vt:variant>
        <vt:lpwstr>mailto:info@nihrc.org</vt:lpwstr>
      </vt:variant>
      <vt:variant>
        <vt:lpwstr/>
      </vt:variant>
      <vt:variant>
        <vt:i4>4587543</vt:i4>
      </vt:variant>
      <vt:variant>
        <vt:i4>120</vt:i4>
      </vt:variant>
      <vt:variant>
        <vt:i4>0</vt:i4>
      </vt:variant>
      <vt:variant>
        <vt:i4>5</vt:i4>
      </vt:variant>
      <vt:variant>
        <vt:lpwstr>http://www.nihrc.org/</vt:lpwstr>
      </vt:variant>
      <vt:variant>
        <vt:lpwstr/>
      </vt:variant>
      <vt:variant>
        <vt:i4>6881286</vt:i4>
      </vt:variant>
      <vt:variant>
        <vt:i4>117</vt:i4>
      </vt:variant>
      <vt:variant>
        <vt:i4>0</vt:i4>
      </vt:variant>
      <vt:variant>
        <vt:i4>5</vt:i4>
      </vt:variant>
      <vt:variant>
        <vt:lpwstr>mailto:Colin.Caughey@NIHRC.org</vt:lpwstr>
      </vt:variant>
      <vt:variant>
        <vt:lpwstr/>
      </vt:variant>
      <vt:variant>
        <vt:i4>1441847</vt:i4>
      </vt:variant>
      <vt:variant>
        <vt:i4>110</vt:i4>
      </vt:variant>
      <vt:variant>
        <vt:i4>0</vt:i4>
      </vt:variant>
      <vt:variant>
        <vt:i4>5</vt:i4>
      </vt:variant>
      <vt:variant>
        <vt:lpwstr/>
      </vt:variant>
      <vt:variant>
        <vt:lpwstr>_Toc200374262</vt:lpwstr>
      </vt:variant>
      <vt:variant>
        <vt:i4>1441847</vt:i4>
      </vt:variant>
      <vt:variant>
        <vt:i4>104</vt:i4>
      </vt:variant>
      <vt:variant>
        <vt:i4>0</vt:i4>
      </vt:variant>
      <vt:variant>
        <vt:i4>5</vt:i4>
      </vt:variant>
      <vt:variant>
        <vt:lpwstr/>
      </vt:variant>
      <vt:variant>
        <vt:lpwstr>_Toc200374261</vt:lpwstr>
      </vt:variant>
      <vt:variant>
        <vt:i4>1441847</vt:i4>
      </vt:variant>
      <vt:variant>
        <vt:i4>98</vt:i4>
      </vt:variant>
      <vt:variant>
        <vt:i4>0</vt:i4>
      </vt:variant>
      <vt:variant>
        <vt:i4>5</vt:i4>
      </vt:variant>
      <vt:variant>
        <vt:lpwstr/>
      </vt:variant>
      <vt:variant>
        <vt:lpwstr>_Toc200374260</vt:lpwstr>
      </vt:variant>
      <vt:variant>
        <vt:i4>1376311</vt:i4>
      </vt:variant>
      <vt:variant>
        <vt:i4>92</vt:i4>
      </vt:variant>
      <vt:variant>
        <vt:i4>0</vt:i4>
      </vt:variant>
      <vt:variant>
        <vt:i4>5</vt:i4>
      </vt:variant>
      <vt:variant>
        <vt:lpwstr/>
      </vt:variant>
      <vt:variant>
        <vt:lpwstr>_Toc200374259</vt:lpwstr>
      </vt:variant>
      <vt:variant>
        <vt:i4>1376311</vt:i4>
      </vt:variant>
      <vt:variant>
        <vt:i4>86</vt:i4>
      </vt:variant>
      <vt:variant>
        <vt:i4>0</vt:i4>
      </vt:variant>
      <vt:variant>
        <vt:i4>5</vt:i4>
      </vt:variant>
      <vt:variant>
        <vt:lpwstr/>
      </vt:variant>
      <vt:variant>
        <vt:lpwstr>_Toc200374258</vt:lpwstr>
      </vt:variant>
      <vt:variant>
        <vt:i4>1376311</vt:i4>
      </vt:variant>
      <vt:variant>
        <vt:i4>80</vt:i4>
      </vt:variant>
      <vt:variant>
        <vt:i4>0</vt:i4>
      </vt:variant>
      <vt:variant>
        <vt:i4>5</vt:i4>
      </vt:variant>
      <vt:variant>
        <vt:lpwstr/>
      </vt:variant>
      <vt:variant>
        <vt:lpwstr>_Toc200374257</vt:lpwstr>
      </vt:variant>
      <vt:variant>
        <vt:i4>1376311</vt:i4>
      </vt:variant>
      <vt:variant>
        <vt:i4>74</vt:i4>
      </vt:variant>
      <vt:variant>
        <vt:i4>0</vt:i4>
      </vt:variant>
      <vt:variant>
        <vt:i4>5</vt:i4>
      </vt:variant>
      <vt:variant>
        <vt:lpwstr/>
      </vt:variant>
      <vt:variant>
        <vt:lpwstr>_Toc200374256</vt:lpwstr>
      </vt:variant>
      <vt:variant>
        <vt:i4>1376311</vt:i4>
      </vt:variant>
      <vt:variant>
        <vt:i4>68</vt:i4>
      </vt:variant>
      <vt:variant>
        <vt:i4>0</vt:i4>
      </vt:variant>
      <vt:variant>
        <vt:i4>5</vt:i4>
      </vt:variant>
      <vt:variant>
        <vt:lpwstr/>
      </vt:variant>
      <vt:variant>
        <vt:lpwstr>_Toc200374255</vt:lpwstr>
      </vt:variant>
      <vt:variant>
        <vt:i4>1376311</vt:i4>
      </vt:variant>
      <vt:variant>
        <vt:i4>62</vt:i4>
      </vt:variant>
      <vt:variant>
        <vt:i4>0</vt:i4>
      </vt:variant>
      <vt:variant>
        <vt:i4>5</vt:i4>
      </vt:variant>
      <vt:variant>
        <vt:lpwstr/>
      </vt:variant>
      <vt:variant>
        <vt:lpwstr>_Toc200374254</vt:lpwstr>
      </vt:variant>
      <vt:variant>
        <vt:i4>1376311</vt:i4>
      </vt:variant>
      <vt:variant>
        <vt:i4>56</vt:i4>
      </vt:variant>
      <vt:variant>
        <vt:i4>0</vt:i4>
      </vt:variant>
      <vt:variant>
        <vt:i4>5</vt:i4>
      </vt:variant>
      <vt:variant>
        <vt:lpwstr/>
      </vt:variant>
      <vt:variant>
        <vt:lpwstr>_Toc200374253</vt:lpwstr>
      </vt:variant>
      <vt:variant>
        <vt:i4>1376311</vt:i4>
      </vt:variant>
      <vt:variant>
        <vt:i4>50</vt:i4>
      </vt:variant>
      <vt:variant>
        <vt:i4>0</vt:i4>
      </vt:variant>
      <vt:variant>
        <vt:i4>5</vt:i4>
      </vt:variant>
      <vt:variant>
        <vt:lpwstr/>
      </vt:variant>
      <vt:variant>
        <vt:lpwstr>_Toc200374252</vt:lpwstr>
      </vt:variant>
      <vt:variant>
        <vt:i4>1376311</vt:i4>
      </vt:variant>
      <vt:variant>
        <vt:i4>44</vt:i4>
      </vt:variant>
      <vt:variant>
        <vt:i4>0</vt:i4>
      </vt:variant>
      <vt:variant>
        <vt:i4>5</vt:i4>
      </vt:variant>
      <vt:variant>
        <vt:lpwstr/>
      </vt:variant>
      <vt:variant>
        <vt:lpwstr>_Toc200374251</vt:lpwstr>
      </vt:variant>
      <vt:variant>
        <vt:i4>1376311</vt:i4>
      </vt:variant>
      <vt:variant>
        <vt:i4>38</vt:i4>
      </vt:variant>
      <vt:variant>
        <vt:i4>0</vt:i4>
      </vt:variant>
      <vt:variant>
        <vt:i4>5</vt:i4>
      </vt:variant>
      <vt:variant>
        <vt:lpwstr/>
      </vt:variant>
      <vt:variant>
        <vt:lpwstr>_Toc200374250</vt:lpwstr>
      </vt:variant>
      <vt:variant>
        <vt:i4>1310775</vt:i4>
      </vt:variant>
      <vt:variant>
        <vt:i4>32</vt:i4>
      </vt:variant>
      <vt:variant>
        <vt:i4>0</vt:i4>
      </vt:variant>
      <vt:variant>
        <vt:i4>5</vt:i4>
      </vt:variant>
      <vt:variant>
        <vt:lpwstr/>
      </vt:variant>
      <vt:variant>
        <vt:lpwstr>_Toc200374249</vt:lpwstr>
      </vt:variant>
      <vt:variant>
        <vt:i4>1310775</vt:i4>
      </vt:variant>
      <vt:variant>
        <vt:i4>26</vt:i4>
      </vt:variant>
      <vt:variant>
        <vt:i4>0</vt:i4>
      </vt:variant>
      <vt:variant>
        <vt:i4>5</vt:i4>
      </vt:variant>
      <vt:variant>
        <vt:lpwstr/>
      </vt:variant>
      <vt:variant>
        <vt:lpwstr>_Toc200374248</vt:lpwstr>
      </vt:variant>
      <vt:variant>
        <vt:i4>1310775</vt:i4>
      </vt:variant>
      <vt:variant>
        <vt:i4>20</vt:i4>
      </vt:variant>
      <vt:variant>
        <vt:i4>0</vt:i4>
      </vt:variant>
      <vt:variant>
        <vt:i4>5</vt:i4>
      </vt:variant>
      <vt:variant>
        <vt:lpwstr/>
      </vt:variant>
      <vt:variant>
        <vt:lpwstr>_Toc200374247</vt:lpwstr>
      </vt:variant>
      <vt:variant>
        <vt:i4>1310775</vt:i4>
      </vt:variant>
      <vt:variant>
        <vt:i4>14</vt:i4>
      </vt:variant>
      <vt:variant>
        <vt:i4>0</vt:i4>
      </vt:variant>
      <vt:variant>
        <vt:i4>5</vt:i4>
      </vt:variant>
      <vt:variant>
        <vt:lpwstr/>
      </vt:variant>
      <vt:variant>
        <vt:lpwstr>_Toc200374246</vt:lpwstr>
      </vt:variant>
      <vt:variant>
        <vt:i4>1310775</vt:i4>
      </vt:variant>
      <vt:variant>
        <vt:i4>8</vt:i4>
      </vt:variant>
      <vt:variant>
        <vt:i4>0</vt:i4>
      </vt:variant>
      <vt:variant>
        <vt:i4>5</vt:i4>
      </vt:variant>
      <vt:variant>
        <vt:lpwstr/>
      </vt:variant>
      <vt:variant>
        <vt:lpwstr>_Toc200374245</vt:lpwstr>
      </vt:variant>
      <vt:variant>
        <vt:i4>1310775</vt:i4>
      </vt:variant>
      <vt:variant>
        <vt:i4>2</vt:i4>
      </vt:variant>
      <vt:variant>
        <vt:i4>0</vt:i4>
      </vt:variant>
      <vt:variant>
        <vt:i4>5</vt:i4>
      </vt:variant>
      <vt:variant>
        <vt:lpwstr/>
      </vt:variant>
      <vt:variant>
        <vt:lpwstr>_Toc200374244</vt:lpwstr>
      </vt:variant>
      <vt:variant>
        <vt:i4>4915221</vt:i4>
      </vt:variant>
      <vt:variant>
        <vt:i4>36</vt:i4>
      </vt:variant>
      <vt:variant>
        <vt:i4>0</vt:i4>
      </vt:variant>
      <vt:variant>
        <vt:i4>5</vt:i4>
      </vt:variant>
      <vt:variant>
        <vt:lpwstr>https://www.gov.uk/government/publications/benefit-and-pension-rates-2025-to-2026/benefit-and-pension-rates-2025-to-2026</vt:lpwstr>
      </vt:variant>
      <vt:variant>
        <vt:lpwstr>personal-independence-payment</vt:lpwstr>
      </vt:variant>
      <vt:variant>
        <vt:i4>1310737</vt:i4>
      </vt:variant>
      <vt:variant>
        <vt:i4>33</vt:i4>
      </vt:variant>
      <vt:variant>
        <vt:i4>0</vt:i4>
      </vt:variant>
      <vt:variant>
        <vt:i4>5</vt:i4>
      </vt:variant>
      <vt:variant>
        <vt:lpwstr>https://www.gov.uk/disability-living-allowance-children/rates</vt:lpwstr>
      </vt:variant>
      <vt:variant>
        <vt:lpwstr/>
      </vt:variant>
      <vt:variant>
        <vt:i4>3670123</vt:i4>
      </vt:variant>
      <vt:variant>
        <vt:i4>30</vt:i4>
      </vt:variant>
      <vt:variant>
        <vt:i4>0</vt:i4>
      </vt:variant>
      <vt:variant>
        <vt:i4>5</vt:i4>
      </vt:variant>
      <vt:variant>
        <vt:lpwstr>https://www.jrf.org.uk/work/young-people-caught-in-crosshairs-of-health-and-disability-reforms</vt:lpwstr>
      </vt:variant>
      <vt:variant>
        <vt:lpwstr/>
      </vt:variant>
      <vt:variant>
        <vt:i4>8061048</vt:i4>
      </vt:variant>
      <vt:variant>
        <vt:i4>27</vt:i4>
      </vt:variant>
      <vt:variant>
        <vt:i4>0</vt:i4>
      </vt:variant>
      <vt:variant>
        <vt:i4>5</vt:i4>
      </vt:variant>
      <vt:variant>
        <vt:lpwstr>https://www.economy-ni.gov.uk/articles/young-people-inequalities-northern-ireland-skills-system-accessible-text-version</vt:lpwstr>
      </vt:variant>
      <vt:variant>
        <vt:lpwstr/>
      </vt:variant>
      <vt:variant>
        <vt:i4>1507353</vt:i4>
      </vt:variant>
      <vt:variant>
        <vt:i4>24</vt:i4>
      </vt:variant>
      <vt:variant>
        <vt:i4>0</vt:i4>
      </vt:variant>
      <vt:variant>
        <vt:i4>5</vt:i4>
      </vt:variant>
      <vt:variant>
        <vt:lpwstr>https://www.gov.uk/government/statistics/personal-independence-payment-statistics-to-january-2025/personal-independence-payment-official-statistics-to-january-2025</vt:lpwstr>
      </vt:variant>
      <vt:variant>
        <vt:lpwstr>clearance-and-outstanding-times</vt:lpwstr>
      </vt:variant>
      <vt:variant>
        <vt:i4>4653067</vt:i4>
      </vt:variant>
      <vt:variant>
        <vt:i4>21</vt:i4>
      </vt:variant>
      <vt:variant>
        <vt:i4>0</vt:i4>
      </vt:variant>
      <vt:variant>
        <vt:i4>5</vt:i4>
      </vt:variant>
      <vt:variant>
        <vt:lpwstr>https://www.benefitsandwork.co.uk/personal-independence-payment-pip/pip-reviews</vt:lpwstr>
      </vt:variant>
      <vt:variant>
        <vt:lpwstr>:~:text=PIP%20review%20backlogs,award%20extended%20more%20than%20once.</vt:lpwstr>
      </vt:variant>
      <vt:variant>
        <vt:i4>3801137</vt:i4>
      </vt:variant>
      <vt:variant>
        <vt:i4>18</vt:i4>
      </vt:variant>
      <vt:variant>
        <vt:i4>0</vt:i4>
      </vt:variant>
      <vt:variant>
        <vt:i4>5</vt:i4>
      </vt:variant>
      <vt:variant>
        <vt:lpwstr>https://www.benefitsandwork.co.uk/personal-independence-payment-pip/pip-appeals</vt:lpwstr>
      </vt:variant>
      <vt:variant>
        <vt:lpwstr/>
      </vt:variant>
      <vt:variant>
        <vt:i4>589836</vt:i4>
      </vt:variant>
      <vt:variant>
        <vt:i4>15</vt:i4>
      </vt:variant>
      <vt:variant>
        <vt:i4>0</vt:i4>
      </vt:variant>
      <vt:variant>
        <vt:i4>5</vt:i4>
      </vt:variant>
      <vt:variant>
        <vt:lpwstr>https://cpag.org.uk/news/short-briefing-pathways-work-green-paper</vt:lpwstr>
      </vt:variant>
      <vt:variant>
        <vt:lpwstr/>
      </vt:variant>
      <vt:variant>
        <vt:i4>4915221</vt:i4>
      </vt:variant>
      <vt:variant>
        <vt:i4>12</vt:i4>
      </vt:variant>
      <vt:variant>
        <vt:i4>0</vt:i4>
      </vt:variant>
      <vt:variant>
        <vt:i4>5</vt:i4>
      </vt:variant>
      <vt:variant>
        <vt:lpwstr>https://www.gov.uk/government/publications/benefit-and-pension-rates-2025-to-2026/benefit-and-pension-rates-2025-to-2026</vt:lpwstr>
      </vt:variant>
      <vt:variant>
        <vt:lpwstr>personal-independence-payment</vt:lpwstr>
      </vt:variant>
      <vt:variant>
        <vt:i4>6684797</vt:i4>
      </vt:variant>
      <vt:variant>
        <vt:i4>9</vt:i4>
      </vt:variant>
      <vt:variant>
        <vt:i4>0</vt:i4>
      </vt:variant>
      <vt:variant>
        <vt:i4>5</vt:i4>
      </vt:variant>
      <vt:variant>
        <vt:lpwstr>https://ennhri.org/about-nhris/human-rights-based-approach/</vt:lpwstr>
      </vt:variant>
      <vt:variant>
        <vt:lpwstr/>
      </vt:variant>
      <vt:variant>
        <vt:i4>589907</vt:i4>
      </vt:variant>
      <vt:variant>
        <vt:i4>6</vt:i4>
      </vt:variant>
      <vt:variant>
        <vt:i4>0</vt:i4>
      </vt:variant>
      <vt:variant>
        <vt:i4>5</vt:i4>
      </vt:variant>
      <vt:variant>
        <vt:lpwstr>https://www.trussell.org.uk/news-and-research/latest-stats/end-of-year-stats</vt:lpwstr>
      </vt:variant>
      <vt:variant>
        <vt:lpwstr/>
      </vt:variant>
      <vt:variant>
        <vt:i4>5111821</vt:i4>
      </vt:variant>
      <vt:variant>
        <vt:i4>3</vt:i4>
      </vt:variant>
      <vt:variant>
        <vt:i4>0</vt:i4>
      </vt:variant>
      <vt:variant>
        <vt:i4>5</vt:i4>
      </vt:variant>
      <vt:variant>
        <vt:lpwstr>https://www.jrf.org.uk/social-security/how-health-related-benefit-cuts-add-up</vt:lpwstr>
      </vt:variant>
      <vt:variant>
        <vt:lpwstr/>
      </vt:variant>
      <vt:variant>
        <vt:i4>6357033</vt:i4>
      </vt:variant>
      <vt:variant>
        <vt:i4>0</vt:i4>
      </vt:variant>
      <vt:variant>
        <vt:i4>0</vt:i4>
      </vt:variant>
      <vt:variant>
        <vt:i4>5</vt:i4>
      </vt:variant>
      <vt:variant>
        <vt:lpwstr>https://www.centreformentalhealth.org.uk/a-broken-safety-net-social-security-and-mental-health/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Julia Buchanan</cp:lastModifiedBy>
  <cp:revision>91</cp:revision>
  <cp:lastPrinted>2025-06-24T08:14:00Z</cp:lastPrinted>
  <dcterms:created xsi:type="dcterms:W3CDTF">2025-06-10T20:51:00Z</dcterms:created>
  <dcterms:modified xsi:type="dcterms:W3CDTF">2025-06-26T10:40:00Z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