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C75B" w14:textId="77777777" w:rsidR="002D44AD" w:rsidRDefault="002D44AD">
      <w:pPr>
        <w:rPr>
          <w:b/>
          <w:bCs/>
          <w:szCs w:val="24"/>
        </w:rPr>
      </w:pPr>
    </w:p>
    <w:p w14:paraId="029535F8" w14:textId="77777777" w:rsidR="002D44AD" w:rsidRDefault="002D44AD">
      <w:pPr>
        <w:rPr>
          <w:b/>
          <w:bCs/>
          <w:szCs w:val="24"/>
        </w:rPr>
      </w:pPr>
    </w:p>
    <w:p w14:paraId="1C7B228B" w14:textId="77777777" w:rsidR="002D44AD" w:rsidRDefault="002D44AD">
      <w:pPr>
        <w:rPr>
          <w:b/>
          <w:bCs/>
          <w:szCs w:val="24"/>
        </w:rPr>
      </w:pPr>
    </w:p>
    <w:p w14:paraId="17848D57" w14:textId="77777777" w:rsidR="002D44AD" w:rsidRDefault="002D44AD">
      <w:pPr>
        <w:rPr>
          <w:b/>
          <w:bCs/>
          <w:szCs w:val="24"/>
        </w:rPr>
      </w:pPr>
    </w:p>
    <w:p w14:paraId="4F43CB87" w14:textId="77777777" w:rsidR="002D44AD" w:rsidRDefault="002D44AD">
      <w:pPr>
        <w:rPr>
          <w:b/>
          <w:bCs/>
          <w:szCs w:val="24"/>
        </w:rPr>
      </w:pPr>
    </w:p>
    <w:p w14:paraId="1EF0A382" w14:textId="77777777" w:rsidR="002D44AD" w:rsidRDefault="002D44AD">
      <w:pPr>
        <w:rPr>
          <w:b/>
          <w:bCs/>
          <w:szCs w:val="24"/>
        </w:rPr>
      </w:pPr>
    </w:p>
    <w:p w14:paraId="752B19C4" w14:textId="77777777" w:rsidR="002D44AD" w:rsidRDefault="002D44AD" w:rsidP="002D44AD">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5ACCB68" wp14:editId="05F89C8F">
            <wp:extent cx="2041477" cy="2728035"/>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878" cy="2753960"/>
                    </a:xfrm>
                    <a:prstGeom prst="rect">
                      <a:avLst/>
                    </a:prstGeom>
                    <a:noFill/>
                    <a:ln>
                      <a:noFill/>
                    </a:ln>
                  </pic:spPr>
                </pic:pic>
              </a:graphicData>
            </a:graphic>
          </wp:inline>
        </w:drawing>
      </w:r>
    </w:p>
    <w:p w14:paraId="11886FFD" w14:textId="77777777" w:rsidR="002D44AD" w:rsidRPr="00EA12CE" w:rsidRDefault="002D44AD" w:rsidP="002D44AD">
      <w:pPr>
        <w:pStyle w:val="BasicParagraph"/>
        <w:suppressAutoHyphens/>
        <w:jc w:val="center"/>
        <w:rPr>
          <w:rFonts w:ascii="Verdana" w:hAnsi="Verdana" w:cs="Arial"/>
          <w:b/>
          <w:bCs/>
          <w:color w:val="734791"/>
          <w:sz w:val="36"/>
          <w:szCs w:val="36"/>
        </w:rPr>
      </w:pPr>
    </w:p>
    <w:p w14:paraId="3A3CF316" w14:textId="42D3F7CF" w:rsidR="002D44AD" w:rsidRDefault="002D44AD" w:rsidP="002D44A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the UN Special Rapporteur on Violence Against Women and Girls </w:t>
      </w:r>
    </w:p>
    <w:p w14:paraId="4F4652FB" w14:textId="77777777" w:rsidR="002D44AD" w:rsidRDefault="002D44AD" w:rsidP="002D44AD">
      <w:pPr>
        <w:pStyle w:val="BasicParagraph"/>
        <w:suppressAutoHyphens/>
        <w:jc w:val="center"/>
        <w:rPr>
          <w:rFonts w:ascii="Verdana" w:hAnsi="Verdana" w:cs="Arial"/>
          <w:b/>
          <w:bCs/>
          <w:color w:val="77328A"/>
          <w:sz w:val="36"/>
          <w:szCs w:val="36"/>
        </w:rPr>
      </w:pPr>
    </w:p>
    <w:p w14:paraId="517F8CD5" w14:textId="77777777" w:rsidR="002D44AD" w:rsidRDefault="002D44AD" w:rsidP="002D44AD">
      <w:pPr>
        <w:pStyle w:val="Default"/>
        <w:spacing w:line="288" w:lineRule="auto"/>
        <w:jc w:val="center"/>
        <w:rPr>
          <w:rFonts w:cs="Arial"/>
          <w:color w:val="232120"/>
          <w:sz w:val="36"/>
          <w:szCs w:val="36"/>
        </w:rPr>
      </w:pPr>
    </w:p>
    <w:p w14:paraId="254AADCF" w14:textId="77777777" w:rsidR="002D44AD" w:rsidRDefault="002D44AD" w:rsidP="002D44AD">
      <w:pPr>
        <w:pStyle w:val="Default"/>
        <w:spacing w:line="288" w:lineRule="auto"/>
        <w:jc w:val="center"/>
        <w:rPr>
          <w:rFonts w:cs="Arial"/>
          <w:color w:val="232120"/>
          <w:sz w:val="36"/>
          <w:szCs w:val="36"/>
        </w:rPr>
      </w:pPr>
    </w:p>
    <w:p w14:paraId="3CFA9D4A" w14:textId="77777777" w:rsidR="002D44AD" w:rsidRDefault="002D44AD" w:rsidP="002D44AD">
      <w:pPr>
        <w:pStyle w:val="Default"/>
        <w:spacing w:line="288" w:lineRule="auto"/>
        <w:jc w:val="center"/>
        <w:rPr>
          <w:rFonts w:cs="Arial"/>
          <w:color w:val="232120"/>
          <w:sz w:val="36"/>
          <w:szCs w:val="36"/>
        </w:rPr>
      </w:pPr>
    </w:p>
    <w:p w14:paraId="7570F779" w14:textId="77777777" w:rsidR="002D44AD" w:rsidRPr="00331C61" w:rsidRDefault="002D44AD" w:rsidP="002D44AD">
      <w:pPr>
        <w:pStyle w:val="Default"/>
        <w:spacing w:line="288" w:lineRule="auto"/>
        <w:jc w:val="center"/>
        <w:rPr>
          <w:rFonts w:cs="Arial"/>
          <w:color w:val="232120"/>
          <w:sz w:val="36"/>
          <w:szCs w:val="36"/>
        </w:rPr>
      </w:pPr>
    </w:p>
    <w:p w14:paraId="09D2C3C3" w14:textId="6079F138" w:rsidR="002D44AD" w:rsidRPr="00331C61" w:rsidRDefault="002D44AD" w:rsidP="002D44AD">
      <w:pPr>
        <w:jc w:val="center"/>
        <w:rPr>
          <w:rFonts w:cs="Arial"/>
          <w:b/>
          <w:color w:val="232120"/>
          <w:sz w:val="30"/>
          <w:szCs w:val="30"/>
        </w:rPr>
      </w:pPr>
      <w:r>
        <w:rPr>
          <w:rFonts w:cs="Arial"/>
          <w:b/>
          <w:color w:val="232120"/>
          <w:sz w:val="30"/>
          <w:szCs w:val="30"/>
        </w:rPr>
        <w:t>February 2024</w:t>
      </w:r>
    </w:p>
    <w:p w14:paraId="4CDC7D19" w14:textId="77777777" w:rsidR="002D44AD" w:rsidRDefault="002D44AD">
      <w:pPr>
        <w:rPr>
          <w:b/>
          <w:bCs/>
          <w:szCs w:val="24"/>
        </w:rPr>
      </w:pPr>
    </w:p>
    <w:p w14:paraId="4A4E567E" w14:textId="77777777" w:rsidR="002D44AD" w:rsidRDefault="002D44AD">
      <w:pPr>
        <w:rPr>
          <w:b/>
          <w:bCs/>
          <w:szCs w:val="24"/>
        </w:rPr>
      </w:pPr>
    </w:p>
    <w:p w14:paraId="228E4A09" w14:textId="77777777" w:rsidR="006F4B11" w:rsidRDefault="006F4B11">
      <w:pPr>
        <w:rPr>
          <w:b/>
          <w:bCs/>
          <w:szCs w:val="24"/>
        </w:rPr>
      </w:pPr>
    </w:p>
    <w:p w14:paraId="6D59B989" w14:textId="77777777" w:rsidR="006F4B11" w:rsidRDefault="006F4B11">
      <w:pPr>
        <w:rPr>
          <w:b/>
          <w:bCs/>
          <w:szCs w:val="24"/>
        </w:rPr>
      </w:pPr>
    </w:p>
    <w:p w14:paraId="04893566" w14:textId="77777777" w:rsidR="002D44AD" w:rsidRDefault="002D44AD">
      <w:pPr>
        <w:rPr>
          <w:b/>
          <w:bCs/>
          <w:szCs w:val="24"/>
        </w:rPr>
      </w:pPr>
    </w:p>
    <w:p w14:paraId="35C60B04" w14:textId="77777777" w:rsidR="002D44AD" w:rsidRDefault="002D44AD">
      <w:pPr>
        <w:rPr>
          <w:b/>
          <w:bCs/>
          <w:szCs w:val="24"/>
        </w:rPr>
      </w:pPr>
    </w:p>
    <w:sdt>
      <w:sdtPr>
        <w:rPr>
          <w:rFonts w:asciiTheme="minorHAnsi" w:eastAsiaTheme="minorEastAsia" w:hAnsiTheme="minorHAnsi" w:cstheme="minorBidi"/>
          <w:color w:val="auto"/>
          <w:kern w:val="2"/>
          <w:sz w:val="24"/>
          <w:szCs w:val="24"/>
          <w:lang w:val="en-GB"/>
          <w14:ligatures w14:val="standardContextual"/>
        </w:rPr>
        <w:id w:val="247401923"/>
        <w:docPartObj>
          <w:docPartGallery w:val="Table of Contents"/>
          <w:docPartUnique/>
        </w:docPartObj>
      </w:sdtPr>
      <w:sdtEndPr>
        <w:rPr>
          <w:rFonts w:ascii="Verdana" w:eastAsiaTheme="minorHAnsi" w:hAnsi="Verdana"/>
          <w:b/>
          <w:bCs/>
          <w:noProof/>
          <w:szCs w:val="22"/>
        </w:rPr>
      </w:sdtEndPr>
      <w:sdtContent>
        <w:p w14:paraId="57D2A5D9" w14:textId="77777777" w:rsidR="0091333B" w:rsidRDefault="0091333B" w:rsidP="0091333B">
          <w:pPr>
            <w:pStyle w:val="TOCHeading"/>
            <w:rPr>
              <w:rStyle w:val="Heading1Char"/>
            </w:rPr>
          </w:pPr>
          <w:r w:rsidRPr="00CD28C5">
            <w:rPr>
              <w:rStyle w:val="Heading1Char"/>
            </w:rPr>
            <w:t>Table of Contents</w:t>
          </w:r>
        </w:p>
        <w:p w14:paraId="47315285" w14:textId="77777777" w:rsidR="0091333B" w:rsidRPr="006E7A5F" w:rsidRDefault="0091333B" w:rsidP="0091333B">
          <w:pPr>
            <w:rPr>
              <w:lang w:val="en-US"/>
            </w:rPr>
          </w:pPr>
        </w:p>
        <w:p w14:paraId="1C5D47D9" w14:textId="344E271A" w:rsidR="003953C3" w:rsidRDefault="0091333B">
          <w:pPr>
            <w:pStyle w:val="TOC2"/>
            <w:rPr>
              <w:rFonts w:asciiTheme="minorHAnsi" w:hAnsiTheme="minorHAnsi"/>
              <w:b w:val="0"/>
              <w:bCs w:val="0"/>
              <w:kern w:val="2"/>
              <w:sz w:val="22"/>
              <w:szCs w:val="22"/>
              <w:lang w:eastAsia="en-GB"/>
              <w14:ligatures w14:val="standardContextual"/>
            </w:rPr>
          </w:pPr>
          <w:r>
            <w:rPr>
              <w:noProof w:val="0"/>
            </w:rPr>
            <w:fldChar w:fldCharType="begin"/>
          </w:r>
          <w:r>
            <w:instrText xml:space="preserve"> TOC \o "1-3" \h \z \u </w:instrText>
          </w:r>
          <w:r>
            <w:rPr>
              <w:noProof w:val="0"/>
            </w:rPr>
            <w:fldChar w:fldCharType="separate"/>
          </w:r>
          <w:hyperlink w:anchor="_Toc158364476" w:history="1">
            <w:r w:rsidR="003953C3" w:rsidRPr="008060ED">
              <w:rPr>
                <w:rStyle w:val="Hyperlink"/>
              </w:rPr>
              <w:t>1.0</w:t>
            </w:r>
            <w:r w:rsidR="003953C3">
              <w:rPr>
                <w:rFonts w:asciiTheme="minorHAnsi" w:hAnsiTheme="minorHAnsi"/>
                <w:b w:val="0"/>
                <w:bCs w:val="0"/>
                <w:kern w:val="2"/>
                <w:sz w:val="22"/>
                <w:szCs w:val="22"/>
                <w:lang w:eastAsia="en-GB"/>
                <w14:ligatures w14:val="standardContextual"/>
              </w:rPr>
              <w:tab/>
            </w:r>
            <w:r w:rsidR="003953C3" w:rsidRPr="008060ED">
              <w:rPr>
                <w:rStyle w:val="Hyperlink"/>
              </w:rPr>
              <w:t>Introduction</w:t>
            </w:r>
            <w:r w:rsidR="003953C3">
              <w:rPr>
                <w:webHidden/>
              </w:rPr>
              <w:tab/>
            </w:r>
            <w:r w:rsidR="003953C3">
              <w:rPr>
                <w:webHidden/>
              </w:rPr>
              <w:fldChar w:fldCharType="begin"/>
            </w:r>
            <w:r w:rsidR="003953C3">
              <w:rPr>
                <w:webHidden/>
              </w:rPr>
              <w:instrText xml:space="preserve"> PAGEREF _Toc158364476 \h </w:instrText>
            </w:r>
            <w:r w:rsidR="003953C3">
              <w:rPr>
                <w:webHidden/>
              </w:rPr>
            </w:r>
            <w:r w:rsidR="003953C3">
              <w:rPr>
                <w:webHidden/>
              </w:rPr>
              <w:fldChar w:fldCharType="separate"/>
            </w:r>
            <w:r w:rsidR="003F0899">
              <w:rPr>
                <w:webHidden/>
              </w:rPr>
              <w:t>3</w:t>
            </w:r>
            <w:r w:rsidR="003953C3">
              <w:rPr>
                <w:webHidden/>
              </w:rPr>
              <w:fldChar w:fldCharType="end"/>
            </w:r>
          </w:hyperlink>
        </w:p>
        <w:p w14:paraId="4199FFA3" w14:textId="5A7A077C" w:rsidR="003953C3" w:rsidRDefault="00211E7C">
          <w:pPr>
            <w:pStyle w:val="TOC2"/>
            <w:rPr>
              <w:rFonts w:asciiTheme="minorHAnsi" w:hAnsiTheme="minorHAnsi"/>
              <w:b w:val="0"/>
              <w:bCs w:val="0"/>
              <w:kern w:val="2"/>
              <w:sz w:val="22"/>
              <w:szCs w:val="22"/>
              <w:lang w:eastAsia="en-GB"/>
              <w14:ligatures w14:val="standardContextual"/>
            </w:rPr>
          </w:pPr>
          <w:hyperlink w:anchor="_Toc158364477" w:history="1">
            <w:r w:rsidR="003953C3" w:rsidRPr="008060ED">
              <w:rPr>
                <w:rStyle w:val="Hyperlink"/>
              </w:rPr>
              <w:t>2.0</w:t>
            </w:r>
            <w:r w:rsidR="003953C3">
              <w:rPr>
                <w:rFonts w:asciiTheme="minorHAnsi" w:hAnsiTheme="minorHAnsi"/>
                <w:b w:val="0"/>
                <w:bCs w:val="0"/>
                <w:kern w:val="2"/>
                <w:sz w:val="22"/>
                <w:szCs w:val="22"/>
                <w:lang w:eastAsia="en-GB"/>
                <w14:ligatures w14:val="standardContextual"/>
              </w:rPr>
              <w:tab/>
            </w:r>
            <w:r w:rsidR="003953C3" w:rsidRPr="008060ED">
              <w:rPr>
                <w:rStyle w:val="Hyperlink"/>
              </w:rPr>
              <w:t>Context</w:t>
            </w:r>
            <w:r w:rsidR="003953C3">
              <w:rPr>
                <w:webHidden/>
              </w:rPr>
              <w:tab/>
            </w:r>
            <w:r w:rsidR="003953C3">
              <w:rPr>
                <w:webHidden/>
              </w:rPr>
              <w:fldChar w:fldCharType="begin"/>
            </w:r>
            <w:r w:rsidR="003953C3">
              <w:rPr>
                <w:webHidden/>
              </w:rPr>
              <w:instrText xml:space="preserve"> PAGEREF _Toc158364477 \h </w:instrText>
            </w:r>
            <w:r w:rsidR="003953C3">
              <w:rPr>
                <w:webHidden/>
              </w:rPr>
            </w:r>
            <w:r w:rsidR="003953C3">
              <w:rPr>
                <w:webHidden/>
              </w:rPr>
              <w:fldChar w:fldCharType="separate"/>
            </w:r>
            <w:r w:rsidR="003F0899">
              <w:rPr>
                <w:webHidden/>
              </w:rPr>
              <w:t>3</w:t>
            </w:r>
            <w:r w:rsidR="003953C3">
              <w:rPr>
                <w:webHidden/>
              </w:rPr>
              <w:fldChar w:fldCharType="end"/>
            </w:r>
          </w:hyperlink>
        </w:p>
        <w:p w14:paraId="4BF0E5B5" w14:textId="7EA8346E" w:rsidR="003953C3" w:rsidRDefault="00211E7C">
          <w:pPr>
            <w:pStyle w:val="TOC2"/>
            <w:rPr>
              <w:rFonts w:asciiTheme="minorHAnsi" w:hAnsiTheme="minorHAnsi"/>
              <w:b w:val="0"/>
              <w:bCs w:val="0"/>
              <w:kern w:val="2"/>
              <w:sz w:val="22"/>
              <w:szCs w:val="22"/>
              <w:lang w:eastAsia="en-GB"/>
              <w14:ligatures w14:val="standardContextual"/>
            </w:rPr>
          </w:pPr>
          <w:hyperlink w:anchor="_Toc158364478" w:history="1">
            <w:r w:rsidR="003953C3" w:rsidRPr="008060ED">
              <w:rPr>
                <w:rStyle w:val="Hyperlink"/>
              </w:rPr>
              <w:t>3.0</w:t>
            </w:r>
            <w:r w:rsidR="003953C3">
              <w:rPr>
                <w:rFonts w:asciiTheme="minorHAnsi" w:hAnsiTheme="minorHAnsi"/>
                <w:b w:val="0"/>
                <w:bCs w:val="0"/>
                <w:kern w:val="2"/>
                <w:sz w:val="22"/>
                <w:szCs w:val="22"/>
                <w:lang w:eastAsia="en-GB"/>
                <w14:ligatures w14:val="standardContextual"/>
              </w:rPr>
              <w:tab/>
            </w:r>
            <w:r w:rsidR="003953C3" w:rsidRPr="008060ED">
              <w:rPr>
                <w:rStyle w:val="Hyperlink"/>
              </w:rPr>
              <w:t>UK’s Withdrawal from the EU</w:t>
            </w:r>
            <w:r w:rsidR="003953C3">
              <w:rPr>
                <w:webHidden/>
              </w:rPr>
              <w:tab/>
            </w:r>
            <w:r w:rsidR="003953C3">
              <w:rPr>
                <w:webHidden/>
              </w:rPr>
              <w:fldChar w:fldCharType="begin"/>
            </w:r>
            <w:r w:rsidR="003953C3">
              <w:rPr>
                <w:webHidden/>
              </w:rPr>
              <w:instrText xml:space="preserve"> PAGEREF _Toc158364478 \h </w:instrText>
            </w:r>
            <w:r w:rsidR="003953C3">
              <w:rPr>
                <w:webHidden/>
              </w:rPr>
            </w:r>
            <w:r w:rsidR="003953C3">
              <w:rPr>
                <w:webHidden/>
              </w:rPr>
              <w:fldChar w:fldCharType="separate"/>
            </w:r>
            <w:r w:rsidR="003F0899">
              <w:rPr>
                <w:webHidden/>
              </w:rPr>
              <w:t>4</w:t>
            </w:r>
            <w:r w:rsidR="003953C3">
              <w:rPr>
                <w:webHidden/>
              </w:rPr>
              <w:fldChar w:fldCharType="end"/>
            </w:r>
          </w:hyperlink>
        </w:p>
        <w:p w14:paraId="73A93441" w14:textId="3F0DFACE" w:rsidR="003953C3" w:rsidRDefault="00211E7C">
          <w:pPr>
            <w:pStyle w:val="TOC2"/>
            <w:rPr>
              <w:rFonts w:asciiTheme="minorHAnsi" w:hAnsiTheme="minorHAnsi"/>
              <w:b w:val="0"/>
              <w:bCs w:val="0"/>
              <w:kern w:val="2"/>
              <w:sz w:val="22"/>
              <w:szCs w:val="22"/>
              <w:lang w:eastAsia="en-GB"/>
              <w14:ligatures w14:val="standardContextual"/>
            </w:rPr>
          </w:pPr>
          <w:hyperlink w:anchor="_Toc158364479" w:history="1">
            <w:r w:rsidR="003953C3" w:rsidRPr="008060ED">
              <w:rPr>
                <w:rStyle w:val="Hyperlink"/>
              </w:rPr>
              <w:t>4.0</w:t>
            </w:r>
            <w:r w:rsidR="003953C3">
              <w:rPr>
                <w:rFonts w:asciiTheme="minorHAnsi" w:hAnsiTheme="minorHAnsi"/>
                <w:b w:val="0"/>
                <w:bCs w:val="0"/>
                <w:kern w:val="2"/>
                <w:sz w:val="22"/>
                <w:szCs w:val="22"/>
                <w:lang w:eastAsia="en-GB"/>
                <w14:ligatures w14:val="standardContextual"/>
              </w:rPr>
              <w:tab/>
            </w:r>
            <w:r w:rsidR="003953C3" w:rsidRPr="008060ED">
              <w:rPr>
                <w:rStyle w:val="Hyperlink"/>
              </w:rPr>
              <w:t>Single Equality Act</w:t>
            </w:r>
            <w:r w:rsidR="003953C3">
              <w:rPr>
                <w:webHidden/>
              </w:rPr>
              <w:tab/>
            </w:r>
            <w:r w:rsidR="003953C3">
              <w:rPr>
                <w:webHidden/>
              </w:rPr>
              <w:fldChar w:fldCharType="begin"/>
            </w:r>
            <w:r w:rsidR="003953C3">
              <w:rPr>
                <w:webHidden/>
              </w:rPr>
              <w:instrText xml:space="preserve"> PAGEREF _Toc158364479 \h </w:instrText>
            </w:r>
            <w:r w:rsidR="003953C3">
              <w:rPr>
                <w:webHidden/>
              </w:rPr>
            </w:r>
            <w:r w:rsidR="003953C3">
              <w:rPr>
                <w:webHidden/>
              </w:rPr>
              <w:fldChar w:fldCharType="separate"/>
            </w:r>
            <w:r w:rsidR="003F0899">
              <w:rPr>
                <w:webHidden/>
              </w:rPr>
              <w:t>6</w:t>
            </w:r>
            <w:r w:rsidR="003953C3">
              <w:rPr>
                <w:webHidden/>
              </w:rPr>
              <w:fldChar w:fldCharType="end"/>
            </w:r>
          </w:hyperlink>
        </w:p>
        <w:p w14:paraId="3D46AA35" w14:textId="4FC18D95" w:rsidR="003953C3" w:rsidRDefault="00211E7C">
          <w:pPr>
            <w:pStyle w:val="TOC2"/>
            <w:rPr>
              <w:rFonts w:asciiTheme="minorHAnsi" w:hAnsiTheme="minorHAnsi"/>
              <w:b w:val="0"/>
              <w:bCs w:val="0"/>
              <w:kern w:val="2"/>
              <w:sz w:val="22"/>
              <w:szCs w:val="22"/>
              <w:lang w:eastAsia="en-GB"/>
              <w14:ligatures w14:val="standardContextual"/>
            </w:rPr>
          </w:pPr>
          <w:hyperlink w:anchor="_Toc158364480" w:history="1">
            <w:r w:rsidR="003953C3" w:rsidRPr="008060ED">
              <w:rPr>
                <w:rStyle w:val="Hyperlink"/>
              </w:rPr>
              <w:t>5.0</w:t>
            </w:r>
            <w:r w:rsidR="003953C3">
              <w:rPr>
                <w:rFonts w:asciiTheme="minorHAnsi" w:hAnsiTheme="minorHAnsi"/>
                <w:b w:val="0"/>
                <w:bCs w:val="0"/>
                <w:kern w:val="2"/>
                <w:sz w:val="22"/>
                <w:szCs w:val="22"/>
                <w:lang w:eastAsia="en-GB"/>
                <w14:ligatures w14:val="standardContextual"/>
              </w:rPr>
              <w:tab/>
            </w:r>
            <w:r w:rsidR="003953C3" w:rsidRPr="008060ED">
              <w:rPr>
                <w:rStyle w:val="Hyperlink"/>
              </w:rPr>
              <w:t>Multiple Intersectional Discrimination</w:t>
            </w:r>
            <w:r w:rsidR="003953C3">
              <w:rPr>
                <w:webHidden/>
              </w:rPr>
              <w:tab/>
            </w:r>
            <w:r w:rsidR="003953C3">
              <w:rPr>
                <w:webHidden/>
              </w:rPr>
              <w:fldChar w:fldCharType="begin"/>
            </w:r>
            <w:r w:rsidR="003953C3">
              <w:rPr>
                <w:webHidden/>
              </w:rPr>
              <w:instrText xml:space="preserve"> PAGEREF _Toc158364480 \h </w:instrText>
            </w:r>
            <w:r w:rsidR="003953C3">
              <w:rPr>
                <w:webHidden/>
              </w:rPr>
            </w:r>
            <w:r w:rsidR="003953C3">
              <w:rPr>
                <w:webHidden/>
              </w:rPr>
              <w:fldChar w:fldCharType="separate"/>
            </w:r>
            <w:r w:rsidR="003F0899">
              <w:rPr>
                <w:webHidden/>
              </w:rPr>
              <w:t>6</w:t>
            </w:r>
            <w:r w:rsidR="003953C3">
              <w:rPr>
                <w:webHidden/>
              </w:rPr>
              <w:fldChar w:fldCharType="end"/>
            </w:r>
          </w:hyperlink>
        </w:p>
        <w:p w14:paraId="5AFC9230" w14:textId="65C9747F" w:rsidR="003953C3" w:rsidRDefault="00211E7C">
          <w:pPr>
            <w:pStyle w:val="TOC2"/>
            <w:rPr>
              <w:rFonts w:asciiTheme="minorHAnsi" w:hAnsiTheme="minorHAnsi"/>
              <w:b w:val="0"/>
              <w:bCs w:val="0"/>
              <w:kern w:val="2"/>
              <w:sz w:val="22"/>
              <w:szCs w:val="22"/>
              <w:lang w:eastAsia="en-GB"/>
              <w14:ligatures w14:val="standardContextual"/>
            </w:rPr>
          </w:pPr>
          <w:hyperlink w:anchor="_Toc158364481" w:history="1">
            <w:r w:rsidR="003953C3" w:rsidRPr="008060ED">
              <w:rPr>
                <w:rStyle w:val="Hyperlink"/>
              </w:rPr>
              <w:t>6.0</w:t>
            </w:r>
            <w:r w:rsidR="003953C3">
              <w:rPr>
                <w:rFonts w:asciiTheme="minorHAnsi" w:hAnsiTheme="minorHAnsi"/>
                <w:b w:val="0"/>
                <w:bCs w:val="0"/>
                <w:kern w:val="2"/>
                <w:sz w:val="22"/>
                <w:szCs w:val="22"/>
                <w:lang w:eastAsia="en-GB"/>
                <w14:ligatures w14:val="standardContextual"/>
              </w:rPr>
              <w:tab/>
            </w:r>
            <w:r w:rsidR="003953C3" w:rsidRPr="008060ED">
              <w:rPr>
                <w:rStyle w:val="Hyperlink"/>
              </w:rPr>
              <w:t>Data Collection</w:t>
            </w:r>
            <w:r w:rsidR="003953C3">
              <w:rPr>
                <w:webHidden/>
              </w:rPr>
              <w:tab/>
            </w:r>
            <w:r w:rsidR="003953C3">
              <w:rPr>
                <w:webHidden/>
              </w:rPr>
              <w:fldChar w:fldCharType="begin"/>
            </w:r>
            <w:r w:rsidR="003953C3">
              <w:rPr>
                <w:webHidden/>
              </w:rPr>
              <w:instrText xml:space="preserve"> PAGEREF _Toc158364481 \h </w:instrText>
            </w:r>
            <w:r w:rsidR="003953C3">
              <w:rPr>
                <w:webHidden/>
              </w:rPr>
            </w:r>
            <w:r w:rsidR="003953C3">
              <w:rPr>
                <w:webHidden/>
              </w:rPr>
              <w:fldChar w:fldCharType="separate"/>
            </w:r>
            <w:r w:rsidR="003F0899">
              <w:rPr>
                <w:webHidden/>
              </w:rPr>
              <w:t>7</w:t>
            </w:r>
            <w:r w:rsidR="003953C3">
              <w:rPr>
                <w:webHidden/>
              </w:rPr>
              <w:fldChar w:fldCharType="end"/>
            </w:r>
          </w:hyperlink>
        </w:p>
        <w:p w14:paraId="26811A99" w14:textId="682FFD9D" w:rsidR="003953C3" w:rsidRDefault="00211E7C">
          <w:pPr>
            <w:pStyle w:val="TOC2"/>
            <w:rPr>
              <w:rFonts w:asciiTheme="minorHAnsi" w:hAnsiTheme="minorHAnsi"/>
              <w:b w:val="0"/>
              <w:bCs w:val="0"/>
              <w:kern w:val="2"/>
              <w:sz w:val="22"/>
              <w:szCs w:val="22"/>
              <w:lang w:eastAsia="en-GB"/>
              <w14:ligatures w14:val="standardContextual"/>
            </w:rPr>
          </w:pPr>
          <w:hyperlink w:anchor="_Toc158364482" w:history="1">
            <w:r w:rsidR="003953C3" w:rsidRPr="008060ED">
              <w:rPr>
                <w:rStyle w:val="Hyperlink"/>
              </w:rPr>
              <w:t>7.0</w:t>
            </w:r>
            <w:r w:rsidR="003953C3">
              <w:rPr>
                <w:rFonts w:asciiTheme="minorHAnsi" w:hAnsiTheme="minorHAnsi"/>
                <w:b w:val="0"/>
                <w:bCs w:val="0"/>
                <w:kern w:val="2"/>
                <w:sz w:val="22"/>
                <w:szCs w:val="22"/>
                <w:lang w:eastAsia="en-GB"/>
                <w14:ligatures w14:val="standardContextual"/>
              </w:rPr>
              <w:tab/>
            </w:r>
            <w:r w:rsidR="003953C3" w:rsidRPr="008060ED">
              <w:rPr>
                <w:rStyle w:val="Hyperlink"/>
              </w:rPr>
              <w:t>Gender Neutral Policy Making</w:t>
            </w:r>
            <w:r w:rsidR="003953C3">
              <w:rPr>
                <w:webHidden/>
              </w:rPr>
              <w:tab/>
            </w:r>
            <w:r w:rsidR="003953C3">
              <w:rPr>
                <w:webHidden/>
              </w:rPr>
              <w:fldChar w:fldCharType="begin"/>
            </w:r>
            <w:r w:rsidR="003953C3">
              <w:rPr>
                <w:webHidden/>
              </w:rPr>
              <w:instrText xml:space="preserve"> PAGEREF _Toc158364482 \h </w:instrText>
            </w:r>
            <w:r w:rsidR="003953C3">
              <w:rPr>
                <w:webHidden/>
              </w:rPr>
            </w:r>
            <w:r w:rsidR="003953C3">
              <w:rPr>
                <w:webHidden/>
              </w:rPr>
              <w:fldChar w:fldCharType="separate"/>
            </w:r>
            <w:r w:rsidR="003F0899">
              <w:rPr>
                <w:webHidden/>
              </w:rPr>
              <w:t>8</w:t>
            </w:r>
            <w:r w:rsidR="003953C3">
              <w:rPr>
                <w:webHidden/>
              </w:rPr>
              <w:fldChar w:fldCharType="end"/>
            </w:r>
          </w:hyperlink>
        </w:p>
        <w:p w14:paraId="41E62D48" w14:textId="5D91973C" w:rsidR="003953C3" w:rsidRDefault="00211E7C">
          <w:pPr>
            <w:pStyle w:val="TOC2"/>
            <w:rPr>
              <w:rFonts w:asciiTheme="minorHAnsi" w:hAnsiTheme="minorHAnsi"/>
              <w:b w:val="0"/>
              <w:bCs w:val="0"/>
              <w:kern w:val="2"/>
              <w:sz w:val="22"/>
              <w:szCs w:val="22"/>
              <w:lang w:eastAsia="en-GB"/>
              <w14:ligatures w14:val="standardContextual"/>
            </w:rPr>
          </w:pPr>
          <w:hyperlink w:anchor="_Toc158364483" w:history="1">
            <w:r w:rsidR="003953C3" w:rsidRPr="008060ED">
              <w:rPr>
                <w:rStyle w:val="Hyperlink"/>
              </w:rPr>
              <w:t>8.0</w:t>
            </w:r>
            <w:r w:rsidR="003953C3">
              <w:rPr>
                <w:rFonts w:asciiTheme="minorHAnsi" w:hAnsiTheme="minorHAnsi"/>
                <w:b w:val="0"/>
                <w:bCs w:val="0"/>
                <w:kern w:val="2"/>
                <w:sz w:val="22"/>
                <w:szCs w:val="22"/>
                <w:lang w:eastAsia="en-GB"/>
                <w14:ligatures w14:val="standardContextual"/>
              </w:rPr>
              <w:tab/>
            </w:r>
            <w:r w:rsidR="003953C3" w:rsidRPr="008060ED">
              <w:rPr>
                <w:rStyle w:val="Hyperlink"/>
              </w:rPr>
              <w:t>Paramilitarism</w:t>
            </w:r>
            <w:r w:rsidR="003953C3">
              <w:rPr>
                <w:webHidden/>
              </w:rPr>
              <w:tab/>
            </w:r>
            <w:r w:rsidR="003953C3">
              <w:rPr>
                <w:webHidden/>
              </w:rPr>
              <w:fldChar w:fldCharType="begin"/>
            </w:r>
            <w:r w:rsidR="003953C3">
              <w:rPr>
                <w:webHidden/>
              </w:rPr>
              <w:instrText xml:space="preserve"> PAGEREF _Toc158364483 \h </w:instrText>
            </w:r>
            <w:r w:rsidR="003953C3">
              <w:rPr>
                <w:webHidden/>
              </w:rPr>
            </w:r>
            <w:r w:rsidR="003953C3">
              <w:rPr>
                <w:webHidden/>
              </w:rPr>
              <w:fldChar w:fldCharType="separate"/>
            </w:r>
            <w:r w:rsidR="003F0899">
              <w:rPr>
                <w:webHidden/>
              </w:rPr>
              <w:t>8</w:t>
            </w:r>
            <w:r w:rsidR="003953C3">
              <w:rPr>
                <w:webHidden/>
              </w:rPr>
              <w:fldChar w:fldCharType="end"/>
            </w:r>
          </w:hyperlink>
        </w:p>
        <w:p w14:paraId="36640ADC" w14:textId="4CEB6756" w:rsidR="003953C3" w:rsidRDefault="00211E7C">
          <w:pPr>
            <w:pStyle w:val="TOC2"/>
            <w:rPr>
              <w:rFonts w:asciiTheme="minorHAnsi" w:hAnsiTheme="minorHAnsi"/>
              <w:b w:val="0"/>
              <w:bCs w:val="0"/>
              <w:kern w:val="2"/>
              <w:sz w:val="22"/>
              <w:szCs w:val="22"/>
              <w:lang w:eastAsia="en-GB"/>
              <w14:ligatures w14:val="standardContextual"/>
            </w:rPr>
          </w:pPr>
          <w:hyperlink w:anchor="_Toc158364484" w:history="1">
            <w:r w:rsidR="003953C3" w:rsidRPr="008060ED">
              <w:rPr>
                <w:rStyle w:val="Hyperlink"/>
              </w:rPr>
              <w:t>9.0</w:t>
            </w:r>
            <w:r w:rsidR="003953C3">
              <w:rPr>
                <w:rFonts w:asciiTheme="minorHAnsi" w:hAnsiTheme="minorHAnsi"/>
                <w:b w:val="0"/>
                <w:bCs w:val="0"/>
                <w:kern w:val="2"/>
                <w:sz w:val="22"/>
                <w:szCs w:val="22"/>
                <w:lang w:eastAsia="en-GB"/>
                <w14:ligatures w14:val="standardContextual"/>
              </w:rPr>
              <w:tab/>
            </w:r>
            <w:r w:rsidR="003953C3" w:rsidRPr="008060ED">
              <w:rPr>
                <w:rStyle w:val="Hyperlink"/>
              </w:rPr>
              <w:t>Family Courts</w:t>
            </w:r>
            <w:r w:rsidR="003953C3">
              <w:rPr>
                <w:webHidden/>
              </w:rPr>
              <w:tab/>
            </w:r>
            <w:r w:rsidR="003953C3">
              <w:rPr>
                <w:webHidden/>
              </w:rPr>
              <w:fldChar w:fldCharType="begin"/>
            </w:r>
            <w:r w:rsidR="003953C3">
              <w:rPr>
                <w:webHidden/>
              </w:rPr>
              <w:instrText xml:space="preserve"> PAGEREF _Toc158364484 \h </w:instrText>
            </w:r>
            <w:r w:rsidR="003953C3">
              <w:rPr>
                <w:webHidden/>
              </w:rPr>
            </w:r>
            <w:r w:rsidR="003953C3">
              <w:rPr>
                <w:webHidden/>
              </w:rPr>
              <w:fldChar w:fldCharType="separate"/>
            </w:r>
            <w:r w:rsidR="003F0899">
              <w:rPr>
                <w:webHidden/>
              </w:rPr>
              <w:t>10</w:t>
            </w:r>
            <w:r w:rsidR="003953C3">
              <w:rPr>
                <w:webHidden/>
              </w:rPr>
              <w:fldChar w:fldCharType="end"/>
            </w:r>
          </w:hyperlink>
        </w:p>
        <w:p w14:paraId="37015C62" w14:textId="4C9BD337" w:rsidR="003953C3" w:rsidRDefault="00211E7C">
          <w:pPr>
            <w:pStyle w:val="TOC2"/>
            <w:rPr>
              <w:rFonts w:asciiTheme="minorHAnsi" w:hAnsiTheme="minorHAnsi"/>
              <w:b w:val="0"/>
              <w:bCs w:val="0"/>
              <w:kern w:val="2"/>
              <w:sz w:val="22"/>
              <w:szCs w:val="22"/>
              <w:lang w:eastAsia="en-GB"/>
              <w14:ligatures w14:val="standardContextual"/>
            </w:rPr>
          </w:pPr>
          <w:hyperlink w:anchor="_Toc158364485" w:history="1">
            <w:r w:rsidR="003953C3" w:rsidRPr="008060ED">
              <w:rPr>
                <w:rStyle w:val="Hyperlink"/>
              </w:rPr>
              <w:t>10.0 Migrant Women</w:t>
            </w:r>
            <w:r w:rsidR="003953C3">
              <w:rPr>
                <w:webHidden/>
              </w:rPr>
              <w:tab/>
            </w:r>
            <w:r w:rsidR="003953C3">
              <w:rPr>
                <w:webHidden/>
              </w:rPr>
              <w:fldChar w:fldCharType="begin"/>
            </w:r>
            <w:r w:rsidR="003953C3">
              <w:rPr>
                <w:webHidden/>
              </w:rPr>
              <w:instrText xml:space="preserve"> PAGEREF _Toc158364485 \h </w:instrText>
            </w:r>
            <w:r w:rsidR="003953C3">
              <w:rPr>
                <w:webHidden/>
              </w:rPr>
            </w:r>
            <w:r w:rsidR="003953C3">
              <w:rPr>
                <w:webHidden/>
              </w:rPr>
              <w:fldChar w:fldCharType="separate"/>
            </w:r>
            <w:r w:rsidR="003F0899">
              <w:rPr>
                <w:webHidden/>
              </w:rPr>
              <w:t>10</w:t>
            </w:r>
            <w:r w:rsidR="003953C3">
              <w:rPr>
                <w:webHidden/>
              </w:rPr>
              <w:fldChar w:fldCharType="end"/>
            </w:r>
          </w:hyperlink>
        </w:p>
        <w:p w14:paraId="4A41F9DC" w14:textId="346D2CC9" w:rsidR="003953C3" w:rsidRDefault="00211E7C">
          <w:pPr>
            <w:pStyle w:val="TOC2"/>
            <w:rPr>
              <w:rFonts w:asciiTheme="minorHAnsi" w:hAnsiTheme="minorHAnsi"/>
              <w:b w:val="0"/>
              <w:bCs w:val="0"/>
              <w:kern w:val="2"/>
              <w:sz w:val="22"/>
              <w:szCs w:val="22"/>
              <w:lang w:eastAsia="en-GB"/>
              <w14:ligatures w14:val="standardContextual"/>
            </w:rPr>
          </w:pPr>
          <w:hyperlink w:anchor="_Toc158364486" w:history="1">
            <w:r w:rsidR="003953C3" w:rsidRPr="008060ED">
              <w:rPr>
                <w:rStyle w:val="Hyperlink"/>
              </w:rPr>
              <w:t>11.0 Women Seeking Asylum</w:t>
            </w:r>
            <w:r w:rsidR="003953C3">
              <w:rPr>
                <w:webHidden/>
              </w:rPr>
              <w:tab/>
            </w:r>
            <w:r w:rsidR="003953C3">
              <w:rPr>
                <w:webHidden/>
              </w:rPr>
              <w:fldChar w:fldCharType="begin"/>
            </w:r>
            <w:r w:rsidR="003953C3">
              <w:rPr>
                <w:webHidden/>
              </w:rPr>
              <w:instrText xml:space="preserve"> PAGEREF _Toc158364486 \h </w:instrText>
            </w:r>
            <w:r w:rsidR="003953C3">
              <w:rPr>
                <w:webHidden/>
              </w:rPr>
            </w:r>
            <w:r w:rsidR="003953C3">
              <w:rPr>
                <w:webHidden/>
              </w:rPr>
              <w:fldChar w:fldCharType="separate"/>
            </w:r>
            <w:r w:rsidR="003F0899">
              <w:rPr>
                <w:webHidden/>
              </w:rPr>
              <w:t>11</w:t>
            </w:r>
            <w:r w:rsidR="003953C3">
              <w:rPr>
                <w:webHidden/>
              </w:rPr>
              <w:fldChar w:fldCharType="end"/>
            </w:r>
          </w:hyperlink>
        </w:p>
        <w:p w14:paraId="601B5A17" w14:textId="707A3CDA" w:rsidR="003953C3" w:rsidRDefault="00211E7C">
          <w:pPr>
            <w:pStyle w:val="TOC2"/>
            <w:rPr>
              <w:rFonts w:asciiTheme="minorHAnsi" w:hAnsiTheme="minorHAnsi"/>
              <w:b w:val="0"/>
              <w:bCs w:val="0"/>
              <w:kern w:val="2"/>
              <w:sz w:val="22"/>
              <w:szCs w:val="22"/>
              <w:lang w:eastAsia="en-GB"/>
              <w14:ligatures w14:val="standardContextual"/>
            </w:rPr>
          </w:pPr>
          <w:hyperlink w:anchor="_Toc158364487" w:history="1">
            <w:r w:rsidR="003953C3" w:rsidRPr="008060ED">
              <w:rPr>
                <w:rStyle w:val="Hyperlink"/>
              </w:rPr>
              <w:t>12.0 Relationship and Sexuality Education</w:t>
            </w:r>
            <w:r w:rsidR="003953C3">
              <w:rPr>
                <w:webHidden/>
              </w:rPr>
              <w:tab/>
            </w:r>
            <w:r w:rsidR="003953C3">
              <w:rPr>
                <w:webHidden/>
              </w:rPr>
              <w:fldChar w:fldCharType="begin"/>
            </w:r>
            <w:r w:rsidR="003953C3">
              <w:rPr>
                <w:webHidden/>
              </w:rPr>
              <w:instrText xml:space="preserve"> PAGEREF _Toc158364487 \h </w:instrText>
            </w:r>
            <w:r w:rsidR="003953C3">
              <w:rPr>
                <w:webHidden/>
              </w:rPr>
            </w:r>
            <w:r w:rsidR="003953C3">
              <w:rPr>
                <w:webHidden/>
              </w:rPr>
              <w:fldChar w:fldCharType="separate"/>
            </w:r>
            <w:r w:rsidR="003F0899">
              <w:rPr>
                <w:webHidden/>
              </w:rPr>
              <w:t>12</w:t>
            </w:r>
            <w:r w:rsidR="003953C3">
              <w:rPr>
                <w:webHidden/>
              </w:rPr>
              <w:fldChar w:fldCharType="end"/>
            </w:r>
          </w:hyperlink>
        </w:p>
        <w:p w14:paraId="69760910" w14:textId="145C1726" w:rsidR="0091333B" w:rsidRDefault="0091333B" w:rsidP="0091333B">
          <w:pPr>
            <w:rPr>
              <w:b/>
              <w:bCs/>
              <w:noProof/>
            </w:rPr>
          </w:pPr>
          <w:r>
            <w:rPr>
              <w:b/>
              <w:bCs/>
              <w:noProof/>
              <w:lang w:val="en-US"/>
            </w:rPr>
            <w:fldChar w:fldCharType="end"/>
          </w:r>
        </w:p>
      </w:sdtContent>
    </w:sdt>
    <w:p w14:paraId="0E113268" w14:textId="77777777" w:rsidR="002D44AD" w:rsidRDefault="002D44AD">
      <w:pPr>
        <w:rPr>
          <w:b/>
          <w:bCs/>
          <w:szCs w:val="24"/>
        </w:rPr>
      </w:pPr>
    </w:p>
    <w:p w14:paraId="3588DB06" w14:textId="77777777" w:rsidR="002D44AD" w:rsidRDefault="002D44AD">
      <w:pPr>
        <w:rPr>
          <w:b/>
          <w:bCs/>
          <w:szCs w:val="24"/>
        </w:rPr>
      </w:pPr>
    </w:p>
    <w:p w14:paraId="7105809B" w14:textId="77777777" w:rsidR="002D44AD" w:rsidRDefault="002D44AD">
      <w:pPr>
        <w:rPr>
          <w:b/>
          <w:bCs/>
          <w:szCs w:val="24"/>
        </w:rPr>
      </w:pPr>
    </w:p>
    <w:p w14:paraId="235E14DC" w14:textId="77777777" w:rsidR="002D44AD" w:rsidRDefault="002D44AD">
      <w:pPr>
        <w:rPr>
          <w:b/>
          <w:bCs/>
          <w:szCs w:val="24"/>
        </w:rPr>
      </w:pPr>
    </w:p>
    <w:p w14:paraId="6812E996" w14:textId="77777777" w:rsidR="002D44AD" w:rsidRDefault="002D44AD">
      <w:pPr>
        <w:rPr>
          <w:b/>
          <w:bCs/>
          <w:szCs w:val="24"/>
        </w:rPr>
      </w:pPr>
    </w:p>
    <w:p w14:paraId="3C755ED3" w14:textId="77777777" w:rsidR="002D44AD" w:rsidRDefault="002D44AD">
      <w:pPr>
        <w:rPr>
          <w:b/>
          <w:bCs/>
          <w:szCs w:val="24"/>
        </w:rPr>
      </w:pPr>
    </w:p>
    <w:p w14:paraId="51A77BD8" w14:textId="77777777" w:rsidR="002D44AD" w:rsidRDefault="002D44AD">
      <w:pPr>
        <w:rPr>
          <w:b/>
          <w:bCs/>
          <w:szCs w:val="24"/>
        </w:rPr>
      </w:pPr>
    </w:p>
    <w:p w14:paraId="3B606E20" w14:textId="77777777" w:rsidR="002D44AD" w:rsidRDefault="002D44AD">
      <w:pPr>
        <w:rPr>
          <w:b/>
          <w:bCs/>
          <w:szCs w:val="24"/>
        </w:rPr>
      </w:pPr>
    </w:p>
    <w:p w14:paraId="713CB28A" w14:textId="77777777" w:rsidR="002D44AD" w:rsidRDefault="002D44AD">
      <w:pPr>
        <w:rPr>
          <w:b/>
          <w:bCs/>
          <w:szCs w:val="24"/>
        </w:rPr>
      </w:pPr>
    </w:p>
    <w:p w14:paraId="779B6245" w14:textId="77777777" w:rsidR="002D44AD" w:rsidRDefault="002D44AD">
      <w:pPr>
        <w:rPr>
          <w:b/>
          <w:bCs/>
          <w:szCs w:val="24"/>
        </w:rPr>
      </w:pPr>
    </w:p>
    <w:p w14:paraId="248B7BC8" w14:textId="77777777" w:rsidR="002D44AD" w:rsidRDefault="002D44AD">
      <w:pPr>
        <w:rPr>
          <w:b/>
          <w:bCs/>
          <w:szCs w:val="24"/>
        </w:rPr>
      </w:pPr>
    </w:p>
    <w:p w14:paraId="442CE252" w14:textId="77777777" w:rsidR="002D44AD" w:rsidRDefault="002D44AD">
      <w:pPr>
        <w:rPr>
          <w:b/>
          <w:bCs/>
          <w:szCs w:val="24"/>
        </w:rPr>
      </w:pPr>
    </w:p>
    <w:p w14:paraId="73F81908" w14:textId="77777777" w:rsidR="002D44AD" w:rsidRDefault="002D44AD">
      <w:pPr>
        <w:rPr>
          <w:b/>
          <w:bCs/>
          <w:szCs w:val="24"/>
        </w:rPr>
      </w:pPr>
    </w:p>
    <w:p w14:paraId="68E9D90E" w14:textId="77777777" w:rsidR="002D44AD" w:rsidRDefault="002D44AD">
      <w:pPr>
        <w:rPr>
          <w:b/>
          <w:bCs/>
          <w:szCs w:val="24"/>
        </w:rPr>
      </w:pPr>
    </w:p>
    <w:p w14:paraId="5E2C547C" w14:textId="77777777" w:rsidR="00463357" w:rsidRDefault="00463357" w:rsidP="00F10FFA"/>
    <w:p w14:paraId="38D4C8D2" w14:textId="77777777" w:rsidR="004F3C14" w:rsidRDefault="004F3C14">
      <w:pPr>
        <w:spacing w:after="160" w:line="259" w:lineRule="auto"/>
        <w:rPr>
          <w:rFonts w:eastAsiaTheme="majorEastAsia" w:cstheme="majorBidi"/>
          <w:b/>
          <w:color w:val="77328A"/>
          <w:kern w:val="0"/>
          <w:sz w:val="30"/>
          <w:szCs w:val="26"/>
          <w14:ligatures w14:val="none"/>
        </w:rPr>
      </w:pPr>
      <w:r>
        <w:br w:type="page"/>
      </w:r>
    </w:p>
    <w:p w14:paraId="158A42DB" w14:textId="6BC327A5" w:rsidR="008001D7" w:rsidRDefault="004F3C14" w:rsidP="005D23E0">
      <w:pPr>
        <w:pStyle w:val="Heading2"/>
        <w:ind w:left="720" w:hanging="720"/>
      </w:pPr>
      <w:bookmarkStart w:id="0" w:name="_Toc158364476"/>
      <w:r>
        <w:lastRenderedPageBreak/>
        <w:t>1.0</w:t>
      </w:r>
      <w:r>
        <w:tab/>
      </w:r>
      <w:r w:rsidR="008001D7">
        <w:t>Introduction</w:t>
      </w:r>
      <w:bookmarkEnd w:id="0"/>
      <w:r w:rsidR="008001D7">
        <w:t xml:space="preserve"> </w:t>
      </w:r>
    </w:p>
    <w:p w14:paraId="1ABEB1EB" w14:textId="2D3D9DC7" w:rsidR="007C48C3" w:rsidRPr="004F3C14" w:rsidRDefault="008001D7" w:rsidP="00CE31FD">
      <w:pPr>
        <w:pStyle w:val="ListParagraph"/>
        <w:numPr>
          <w:ilvl w:val="1"/>
          <w:numId w:val="6"/>
        </w:numPr>
        <w:ind w:left="720"/>
        <w:rPr>
          <w:szCs w:val="24"/>
        </w:rPr>
      </w:pPr>
      <w:r w:rsidRPr="004F3C14">
        <w:rPr>
          <w:szCs w:val="24"/>
        </w:rPr>
        <w:t>The Northern Ireland Human Rights Commission (NIHRC) is one of three</w:t>
      </w:r>
      <w:r w:rsidR="004F3C14" w:rsidRPr="004F3C14">
        <w:rPr>
          <w:szCs w:val="24"/>
        </w:rPr>
        <w:t xml:space="preserve"> </w:t>
      </w:r>
      <w:r w:rsidRPr="004F3C14">
        <w:rPr>
          <w:szCs w:val="24"/>
        </w:rPr>
        <w:t>A-status National Human Rights Institutions of the UK. In accordance with the Paris Principles and section 69(1) of the NI Act 1998, the NIHRC reviews the adequacy and effectiveness of measures undertaken by the UK Government and NI Executive to promote and protect human rights, specifically within NI. In accordance with section 78</w:t>
      </w:r>
      <w:proofErr w:type="gramStart"/>
      <w:r w:rsidRPr="004F3C14">
        <w:rPr>
          <w:szCs w:val="24"/>
        </w:rPr>
        <w:t>A(</w:t>
      </w:r>
      <w:proofErr w:type="gramEnd"/>
      <w:r w:rsidRPr="004F3C14">
        <w:rPr>
          <w:szCs w:val="24"/>
        </w:rPr>
        <w:t>1) of the NI Act, the NIHRC also monitors the UK Government’s commitment under Article 2(1) of the Windsor Framework (Windsor Framework Article 2) to ensure there is no diminution of rights and safeguards protected in the relevant part of the Belfast (Good Friday) Agreement as a result of the UK withdrawal from the EU.</w:t>
      </w:r>
      <w:r w:rsidRPr="008001D7">
        <w:rPr>
          <w:vertAlign w:val="superscript"/>
        </w:rPr>
        <w:footnoteReference w:id="2"/>
      </w:r>
      <w:r w:rsidRPr="004F3C14">
        <w:rPr>
          <w:szCs w:val="24"/>
        </w:rPr>
        <w:t xml:space="preserve"> </w:t>
      </w:r>
    </w:p>
    <w:p w14:paraId="4302697D" w14:textId="77777777" w:rsidR="00155A82" w:rsidRPr="007C48C3" w:rsidRDefault="00155A82" w:rsidP="00155A82">
      <w:pPr>
        <w:rPr>
          <w:szCs w:val="24"/>
        </w:rPr>
      </w:pPr>
    </w:p>
    <w:p w14:paraId="21DF391D" w14:textId="2424BA2A" w:rsidR="00E82DAD" w:rsidRPr="00866199" w:rsidRDefault="00E82DAD" w:rsidP="004F3C14">
      <w:pPr>
        <w:pStyle w:val="Heading2"/>
        <w:numPr>
          <w:ilvl w:val="0"/>
          <w:numId w:val="7"/>
        </w:numPr>
      </w:pPr>
      <w:bookmarkStart w:id="1" w:name="_Toc158364477"/>
      <w:r w:rsidRPr="00866199">
        <w:t>Context</w:t>
      </w:r>
      <w:bookmarkEnd w:id="1"/>
      <w:r w:rsidRPr="00866199">
        <w:t xml:space="preserve"> </w:t>
      </w:r>
    </w:p>
    <w:p w14:paraId="486BC1F8" w14:textId="77777777" w:rsidR="00CE31FD" w:rsidRPr="00CE31FD" w:rsidRDefault="00CE31FD" w:rsidP="00CE31FD">
      <w:pPr>
        <w:pStyle w:val="ListParagraph"/>
        <w:numPr>
          <w:ilvl w:val="0"/>
          <w:numId w:val="6"/>
        </w:numPr>
        <w:rPr>
          <w:vanish/>
          <w:szCs w:val="24"/>
        </w:rPr>
      </w:pPr>
    </w:p>
    <w:p w14:paraId="077F1DC8" w14:textId="2DFCA886" w:rsidR="00CE31FD" w:rsidRDefault="009B4F6F" w:rsidP="00CE31FD">
      <w:pPr>
        <w:pStyle w:val="ListParagraph"/>
        <w:numPr>
          <w:ilvl w:val="1"/>
          <w:numId w:val="6"/>
        </w:numPr>
        <w:ind w:left="709" w:hanging="709"/>
      </w:pPr>
      <w:r w:rsidRPr="43C9637B">
        <w:t xml:space="preserve">Between </w:t>
      </w:r>
      <w:r w:rsidR="009B3351">
        <w:t>February 2022</w:t>
      </w:r>
      <w:r w:rsidR="00F52FC9" w:rsidRPr="43C9637B">
        <w:t xml:space="preserve"> and February 2024</w:t>
      </w:r>
      <w:r w:rsidRPr="43C9637B">
        <w:t>, NI was without a fully functioning NI Executive and Assembly</w:t>
      </w:r>
      <w:r w:rsidRPr="00CE31FD">
        <w:rPr>
          <w:szCs w:val="24"/>
        </w:rPr>
        <w:t>.</w:t>
      </w:r>
      <w:r w:rsidRPr="009B4F6F">
        <w:rPr>
          <w:vertAlign w:val="superscript"/>
        </w:rPr>
        <w:footnoteReference w:id="3"/>
      </w:r>
      <w:r w:rsidRPr="43C9637B">
        <w:t xml:space="preserve"> In the absence of elected ministers, government departments were run by civil servants who were unable to make major policy decisions or introduce legislation. The reinstatement of the NI Executive and NI Assembly is welcomed, however the required </w:t>
      </w:r>
      <w:r w:rsidR="0030523A" w:rsidRPr="43C9637B">
        <w:t>actions relating to violence against women and girls</w:t>
      </w:r>
      <w:r w:rsidRPr="00CE31FD">
        <w:rPr>
          <w:szCs w:val="24"/>
        </w:rPr>
        <w:t xml:space="preserve"> </w:t>
      </w:r>
      <w:r w:rsidR="000E01B8" w:rsidRPr="43C9637B">
        <w:t xml:space="preserve">are not guaranteed to </w:t>
      </w:r>
      <w:r w:rsidRPr="43C9637B">
        <w:t>be implemented expeditiously, if at all.</w:t>
      </w:r>
    </w:p>
    <w:p w14:paraId="5CC16EA1" w14:textId="77777777" w:rsidR="00CE31FD" w:rsidRDefault="00CE31FD" w:rsidP="00CE31FD">
      <w:pPr>
        <w:pStyle w:val="ListParagraph"/>
        <w:ind w:left="709"/>
        <w:rPr>
          <w:szCs w:val="24"/>
        </w:rPr>
      </w:pPr>
    </w:p>
    <w:p w14:paraId="0FD84EBE" w14:textId="584EBD56" w:rsidR="00CE31FD" w:rsidRPr="00CE31FD" w:rsidRDefault="009B4F6F" w:rsidP="00E82DAD">
      <w:pPr>
        <w:pStyle w:val="ListParagraph"/>
        <w:numPr>
          <w:ilvl w:val="1"/>
          <w:numId w:val="6"/>
        </w:numPr>
        <w:ind w:left="709" w:hanging="709"/>
      </w:pPr>
      <w:r w:rsidRPr="43C9637B">
        <w:t>The 2023-2024 budget for NI resulted in significant reductions across all NI Departments.</w:t>
      </w:r>
      <w:r w:rsidRPr="008E4C4A">
        <w:rPr>
          <w:vertAlign w:val="superscript"/>
        </w:rPr>
        <w:footnoteReference w:id="4"/>
      </w:r>
      <w:r w:rsidRPr="43C9637B">
        <w:t xml:space="preserve"> Consequently, there have been wide-ranging cuts to public services and programmes</w:t>
      </w:r>
      <w:r w:rsidR="00B53AED" w:rsidRPr="43C9637B">
        <w:t xml:space="preserve"> with concerns</w:t>
      </w:r>
      <w:r w:rsidRPr="43C9637B">
        <w:t xml:space="preserve"> regarding the effect on </w:t>
      </w:r>
      <w:r w:rsidR="00030DB3" w:rsidRPr="43C9637B">
        <w:t>women and girls</w:t>
      </w:r>
      <w:r w:rsidRPr="00CE31FD">
        <w:rPr>
          <w:szCs w:val="24"/>
        </w:rPr>
        <w:t>.</w:t>
      </w:r>
      <w:r w:rsidRPr="008E4C4A">
        <w:rPr>
          <w:vertAlign w:val="superscript"/>
        </w:rPr>
        <w:footnoteReference w:id="5"/>
      </w:r>
      <w:r w:rsidR="008E4C4A" w:rsidRPr="43C9637B">
        <w:rPr>
          <w:rFonts w:eastAsia="MS Mincho" w:cs="Arial"/>
        </w:rPr>
        <w:t xml:space="preserve"> </w:t>
      </w:r>
      <w:r w:rsidR="005525C0" w:rsidRPr="43C9637B">
        <w:rPr>
          <w:rFonts w:eastAsia="MS Mincho" w:cs="Arial"/>
        </w:rPr>
        <w:t>For example, t</w:t>
      </w:r>
      <w:r w:rsidR="008E4C4A" w:rsidRPr="43C9637B">
        <w:rPr>
          <w:rFonts w:eastAsia="MS Mincho" w:cs="Arial"/>
        </w:rPr>
        <w:t xml:space="preserve">he </w:t>
      </w:r>
      <w:r w:rsidR="008E4C4A" w:rsidRPr="43C9637B">
        <w:rPr>
          <w:rFonts w:eastAsia="MS Mincho" w:cs="Arial"/>
        </w:rPr>
        <w:lastRenderedPageBreak/>
        <w:t xml:space="preserve">Department of Health’s cuts to the community voluntary sector disproportionately </w:t>
      </w:r>
      <w:r w:rsidR="007322FE" w:rsidRPr="43C9637B">
        <w:rPr>
          <w:rFonts w:eastAsia="MS Mincho" w:cs="Arial"/>
        </w:rPr>
        <w:t>affects</w:t>
      </w:r>
      <w:r w:rsidR="008E4C4A" w:rsidRPr="43C9637B">
        <w:rPr>
          <w:rFonts w:eastAsia="MS Mincho" w:cs="Arial"/>
        </w:rPr>
        <w:t xml:space="preserve"> women </w:t>
      </w:r>
      <w:r w:rsidR="1E8270D5" w:rsidRPr="43C9637B">
        <w:rPr>
          <w:rFonts w:eastAsia="MS Mincho" w:cs="Arial"/>
        </w:rPr>
        <w:t xml:space="preserve">due to significant reduction in funding to </w:t>
      </w:r>
      <w:r w:rsidR="008E4C4A" w:rsidRPr="43C9637B">
        <w:rPr>
          <w:rFonts w:eastAsia="MS Mincho" w:cs="Arial"/>
        </w:rPr>
        <w:t>organisations providing advice, support, and refuge to women experiencing domestic violence.</w:t>
      </w:r>
      <w:r w:rsidR="008E4C4A" w:rsidRPr="008E4C4A">
        <w:rPr>
          <w:rFonts w:eastAsia="MS Mincho" w:cs="Arial"/>
          <w:vertAlign w:val="superscript"/>
        </w:rPr>
        <w:footnoteReference w:id="6"/>
      </w:r>
    </w:p>
    <w:p w14:paraId="78519707" w14:textId="77777777" w:rsidR="00CE31FD" w:rsidRPr="00CE31FD" w:rsidRDefault="00CE31FD" w:rsidP="00CE31FD">
      <w:pPr>
        <w:pStyle w:val="ListParagraph"/>
        <w:rPr>
          <w:szCs w:val="24"/>
        </w:rPr>
      </w:pPr>
    </w:p>
    <w:p w14:paraId="19A1FB87" w14:textId="56F499B8" w:rsidR="00CE31FD" w:rsidRDefault="009B4F6F" w:rsidP="00CE31FD">
      <w:pPr>
        <w:pStyle w:val="ListParagraph"/>
        <w:numPr>
          <w:ilvl w:val="1"/>
          <w:numId w:val="6"/>
        </w:numPr>
        <w:ind w:left="709" w:hanging="709"/>
      </w:pPr>
      <w:r w:rsidRPr="43C9637B">
        <w:t>As part of restoration of the NI devolved institutions, the UK Government has pledged £1 billion to NI to stabilise public services.</w:t>
      </w:r>
      <w:r w:rsidRPr="009B4F6F">
        <w:rPr>
          <w:vertAlign w:val="superscript"/>
        </w:rPr>
        <w:footnoteReference w:id="7"/>
      </w:r>
      <w:r w:rsidRPr="43C9637B">
        <w:t xml:space="preserve"> With a continued reliance on annual budgets, this additional money will not address the wider need for long-term stability. It is unclear if this money will be used to reinstate services that were </w:t>
      </w:r>
      <w:r w:rsidR="5D275606" w:rsidRPr="43C9637B">
        <w:t>suspended or withdrawn</w:t>
      </w:r>
      <w:r w:rsidRPr="43C9637B">
        <w:t xml:space="preserve"> due to the cuts. Furthermore, these additional funds will not address the extensive reforms that are urgently required across all NI’s public services</w:t>
      </w:r>
      <w:r w:rsidR="00CE31FD">
        <w:rPr>
          <w:szCs w:val="24"/>
        </w:rPr>
        <w:t>.</w:t>
      </w:r>
    </w:p>
    <w:p w14:paraId="763B1FFD" w14:textId="77777777" w:rsidR="00CE31FD" w:rsidRPr="00CE31FD" w:rsidRDefault="00CE31FD" w:rsidP="00CE31FD">
      <w:pPr>
        <w:pStyle w:val="ListParagraph"/>
        <w:rPr>
          <w:b/>
          <w:bCs/>
          <w:szCs w:val="24"/>
        </w:rPr>
      </w:pPr>
    </w:p>
    <w:p w14:paraId="26004024" w14:textId="3BDFF40A" w:rsidR="005D3E7D" w:rsidRPr="00CE31FD" w:rsidRDefault="007C48C3" w:rsidP="00CE31FD">
      <w:pPr>
        <w:pStyle w:val="ListParagraph"/>
        <w:numPr>
          <w:ilvl w:val="1"/>
          <w:numId w:val="6"/>
        </w:numPr>
        <w:ind w:left="709" w:hanging="709"/>
        <w:rPr>
          <w:szCs w:val="24"/>
        </w:rPr>
      </w:pPr>
      <w:r w:rsidRPr="00CE31FD">
        <w:rPr>
          <w:b/>
          <w:bCs/>
          <w:szCs w:val="24"/>
        </w:rPr>
        <w:t>The NIHRC recommends that</w:t>
      </w:r>
      <w:r w:rsidR="00F85068" w:rsidRPr="00CE31FD">
        <w:rPr>
          <w:b/>
          <w:bCs/>
          <w:szCs w:val="24"/>
        </w:rPr>
        <w:t xml:space="preserve"> the UK Government and NI Executive </w:t>
      </w:r>
      <w:r w:rsidRPr="00CE31FD">
        <w:rPr>
          <w:b/>
          <w:bCs/>
          <w:szCs w:val="24"/>
        </w:rPr>
        <w:t>take effective steps to</w:t>
      </w:r>
      <w:r w:rsidR="009B4F6F" w:rsidRPr="00CE31FD">
        <w:rPr>
          <w:b/>
          <w:bCs/>
          <w:szCs w:val="24"/>
        </w:rPr>
        <w:t xml:space="preserve"> ensure that a comprehensive assessment of the cumulative impact of budgets in NI is conducted with a focus on the human rights of </w:t>
      </w:r>
      <w:r w:rsidR="00F85068" w:rsidRPr="00CE31FD">
        <w:rPr>
          <w:b/>
          <w:bCs/>
          <w:szCs w:val="24"/>
        </w:rPr>
        <w:t xml:space="preserve">women and girls. </w:t>
      </w:r>
    </w:p>
    <w:p w14:paraId="27EEB2F4" w14:textId="77777777" w:rsidR="00E82DAD" w:rsidRPr="00E82DAD" w:rsidRDefault="00E82DAD">
      <w:pPr>
        <w:rPr>
          <w:b/>
          <w:bCs/>
          <w:szCs w:val="24"/>
        </w:rPr>
      </w:pPr>
    </w:p>
    <w:p w14:paraId="2B7B077B" w14:textId="2BD4914C" w:rsidR="00734527" w:rsidRDefault="00CE31FD" w:rsidP="00155A82">
      <w:pPr>
        <w:pStyle w:val="Heading2"/>
        <w:ind w:left="720" w:hanging="720"/>
      </w:pPr>
      <w:bookmarkStart w:id="2" w:name="_Toc158364478"/>
      <w:r>
        <w:t>3.0</w:t>
      </w:r>
      <w:r>
        <w:tab/>
      </w:r>
      <w:r w:rsidR="00734527" w:rsidRPr="00866199">
        <w:t xml:space="preserve">UK’s </w:t>
      </w:r>
      <w:r>
        <w:t>W</w:t>
      </w:r>
      <w:r w:rsidR="00734527" w:rsidRPr="00866199">
        <w:t>ithdrawal from the EU</w:t>
      </w:r>
      <w:bookmarkEnd w:id="2"/>
    </w:p>
    <w:p w14:paraId="2DE74A8D" w14:textId="77777777" w:rsidR="00CE31FD" w:rsidRPr="00CE31FD" w:rsidRDefault="00CE31FD" w:rsidP="00CE31FD">
      <w:pPr>
        <w:pStyle w:val="ListParagraph"/>
        <w:numPr>
          <w:ilvl w:val="0"/>
          <w:numId w:val="8"/>
        </w:numPr>
        <w:rPr>
          <w:vanish/>
          <w:szCs w:val="24"/>
        </w:rPr>
      </w:pPr>
    </w:p>
    <w:p w14:paraId="03ED201A" w14:textId="77777777" w:rsidR="00CE31FD" w:rsidRPr="00CE31FD" w:rsidRDefault="00CE31FD" w:rsidP="00CE31FD">
      <w:pPr>
        <w:pStyle w:val="ListParagraph"/>
        <w:numPr>
          <w:ilvl w:val="0"/>
          <w:numId w:val="8"/>
        </w:numPr>
        <w:rPr>
          <w:vanish/>
          <w:szCs w:val="24"/>
        </w:rPr>
      </w:pPr>
    </w:p>
    <w:p w14:paraId="6AA9FD85" w14:textId="77777777" w:rsidR="00CE31FD" w:rsidRPr="00CE31FD" w:rsidRDefault="00CE31FD" w:rsidP="00CE31FD">
      <w:pPr>
        <w:pStyle w:val="ListParagraph"/>
        <w:numPr>
          <w:ilvl w:val="0"/>
          <w:numId w:val="8"/>
        </w:numPr>
        <w:rPr>
          <w:vanish/>
          <w:szCs w:val="24"/>
        </w:rPr>
      </w:pPr>
    </w:p>
    <w:p w14:paraId="062A395C" w14:textId="5F230D89" w:rsidR="00CE31FD" w:rsidRDefault="00A856DC" w:rsidP="00CE31FD">
      <w:pPr>
        <w:pStyle w:val="ListParagraph"/>
        <w:numPr>
          <w:ilvl w:val="1"/>
          <w:numId w:val="8"/>
        </w:numPr>
        <w:ind w:left="709"/>
        <w:rPr>
          <w:szCs w:val="24"/>
        </w:rPr>
      </w:pPr>
      <w:r>
        <w:rPr>
          <w:szCs w:val="24"/>
        </w:rPr>
        <w:t xml:space="preserve">Following UK’s withdrawal from the EU, </w:t>
      </w:r>
      <w:r w:rsidR="00734527" w:rsidRPr="00CE31FD">
        <w:rPr>
          <w:szCs w:val="24"/>
        </w:rPr>
        <w:t>the UK Government committed</w:t>
      </w:r>
      <w:r w:rsidR="007062AD">
        <w:rPr>
          <w:szCs w:val="24"/>
        </w:rPr>
        <w:t>,</w:t>
      </w:r>
      <w:r w:rsidR="00734527" w:rsidRPr="00CE31FD">
        <w:rPr>
          <w:szCs w:val="24"/>
        </w:rPr>
        <w:t xml:space="preserve"> </w:t>
      </w:r>
      <w:r w:rsidR="007062AD" w:rsidRPr="00CE31FD">
        <w:rPr>
          <w:szCs w:val="24"/>
        </w:rPr>
        <w:t>in Article 2 of the Windsor Framework</w:t>
      </w:r>
      <w:r w:rsidR="007062AD">
        <w:rPr>
          <w:szCs w:val="24"/>
        </w:rPr>
        <w:t>,</w:t>
      </w:r>
      <w:r w:rsidR="007062AD" w:rsidRPr="00CE31FD">
        <w:rPr>
          <w:szCs w:val="24"/>
        </w:rPr>
        <w:t xml:space="preserve"> </w:t>
      </w:r>
      <w:r w:rsidR="00734527" w:rsidRPr="00CE31FD">
        <w:rPr>
          <w:szCs w:val="24"/>
        </w:rPr>
        <w:t xml:space="preserve">to ensuring </w:t>
      </w:r>
      <w:r>
        <w:rPr>
          <w:szCs w:val="24"/>
        </w:rPr>
        <w:t xml:space="preserve">that certain </w:t>
      </w:r>
      <w:r w:rsidR="00734527" w:rsidRPr="00CE31FD">
        <w:rPr>
          <w:szCs w:val="24"/>
        </w:rPr>
        <w:t xml:space="preserve">rights, safeguards and equality of opportunity </w:t>
      </w:r>
      <w:r w:rsidR="00207A17">
        <w:rPr>
          <w:szCs w:val="24"/>
        </w:rPr>
        <w:t>protections are not diminished</w:t>
      </w:r>
      <w:r w:rsidR="00734527" w:rsidRPr="00CE31FD">
        <w:rPr>
          <w:szCs w:val="24"/>
        </w:rPr>
        <w:t>, as a result of UK withdrawal</w:t>
      </w:r>
      <w:r w:rsidR="00207A17">
        <w:rPr>
          <w:szCs w:val="24"/>
        </w:rPr>
        <w:t>.</w:t>
      </w:r>
      <w:r w:rsidR="00207A17" w:rsidRPr="00AE7D85">
        <w:rPr>
          <w:rStyle w:val="FootnoteReference"/>
          <w:szCs w:val="24"/>
        </w:rPr>
        <w:footnoteReference w:id="8"/>
      </w:r>
      <w:r w:rsidR="00734527" w:rsidRPr="00CE31FD">
        <w:rPr>
          <w:szCs w:val="24"/>
        </w:rPr>
        <w:t xml:space="preserve"> </w:t>
      </w:r>
      <w:r w:rsidR="00207A17" w:rsidRPr="00C02A3D">
        <w:t xml:space="preserve">The UK Government and the NI Assembly and Executive are prohibited from </w:t>
      </w:r>
      <w:r w:rsidR="00207A17" w:rsidRPr="00C02A3D">
        <w:lastRenderedPageBreak/>
        <w:t>acting in a way that is incompatible with it</w:t>
      </w:r>
      <w:r w:rsidR="00207A17" w:rsidRPr="00CE31FD">
        <w:rPr>
          <w:szCs w:val="24"/>
        </w:rPr>
        <w:t>.</w:t>
      </w:r>
      <w:r w:rsidR="00207A17" w:rsidRPr="00AE7D85">
        <w:rPr>
          <w:rStyle w:val="FootnoteReference"/>
          <w:szCs w:val="24"/>
        </w:rPr>
        <w:footnoteReference w:id="9"/>
      </w:r>
      <w:r w:rsidR="00207A17" w:rsidRPr="00CE31FD">
        <w:rPr>
          <w:szCs w:val="24"/>
        </w:rPr>
        <w:t xml:space="preserve"> </w:t>
      </w:r>
      <w:r w:rsidR="00734527" w:rsidRPr="00CE31FD">
        <w:rPr>
          <w:szCs w:val="24"/>
        </w:rPr>
        <w:t xml:space="preserve">EU law, binding on the UK on 31 December 2020, which underpins a relevant right, safeguard or equality of opportunity protection, continues to set standards below which the law in NI must not fall. The UK Government </w:t>
      </w:r>
      <w:r w:rsidR="00874EE5" w:rsidRPr="00CE31FD">
        <w:rPr>
          <w:szCs w:val="24"/>
        </w:rPr>
        <w:t>accepts</w:t>
      </w:r>
      <w:r w:rsidR="00734527" w:rsidRPr="00CE31FD">
        <w:rPr>
          <w:szCs w:val="24"/>
        </w:rPr>
        <w:t xml:space="preserve"> that the EU Victims’ Directive fall</w:t>
      </w:r>
      <w:r w:rsidR="00FD2B7D">
        <w:rPr>
          <w:szCs w:val="24"/>
        </w:rPr>
        <w:t>s</w:t>
      </w:r>
      <w:r w:rsidR="00734527" w:rsidRPr="00CE31FD">
        <w:rPr>
          <w:szCs w:val="24"/>
        </w:rPr>
        <w:t xml:space="preserve"> within scope of the non-diminution commitment.</w:t>
      </w:r>
      <w:r w:rsidR="00734527" w:rsidRPr="00AE7D85">
        <w:rPr>
          <w:rStyle w:val="FootnoteReference"/>
          <w:szCs w:val="24"/>
        </w:rPr>
        <w:footnoteReference w:id="10"/>
      </w:r>
      <w:r w:rsidR="00734527" w:rsidRPr="00CE31FD">
        <w:rPr>
          <w:szCs w:val="24"/>
        </w:rPr>
        <w:t xml:space="preserve"> </w:t>
      </w:r>
      <w:r w:rsidR="00A678F9">
        <w:rPr>
          <w:szCs w:val="24"/>
        </w:rPr>
        <w:t xml:space="preserve">The </w:t>
      </w:r>
      <w:r w:rsidR="00711276">
        <w:rPr>
          <w:szCs w:val="24"/>
        </w:rPr>
        <w:t>NIHRC</w:t>
      </w:r>
      <w:r w:rsidR="00A678F9">
        <w:rPr>
          <w:szCs w:val="24"/>
        </w:rPr>
        <w:t xml:space="preserve"> has</w:t>
      </w:r>
      <w:r w:rsidR="00DC3B70">
        <w:rPr>
          <w:szCs w:val="24"/>
        </w:rPr>
        <w:t xml:space="preserve"> also</w:t>
      </w:r>
      <w:r w:rsidR="00A678F9">
        <w:rPr>
          <w:szCs w:val="24"/>
        </w:rPr>
        <w:t xml:space="preserve"> identified </w:t>
      </w:r>
      <w:r w:rsidR="00DC3B70">
        <w:rPr>
          <w:szCs w:val="24"/>
        </w:rPr>
        <w:t>additional</w:t>
      </w:r>
      <w:r w:rsidR="00A678F9">
        <w:rPr>
          <w:szCs w:val="24"/>
        </w:rPr>
        <w:t xml:space="preserve"> </w:t>
      </w:r>
      <w:r w:rsidR="00A678F9" w:rsidRPr="00A82978">
        <w:rPr>
          <w:color w:val="000000"/>
        </w:rPr>
        <w:t xml:space="preserve">relevant EU law which </w:t>
      </w:r>
      <w:r w:rsidR="00793EBC">
        <w:rPr>
          <w:color w:val="000000"/>
        </w:rPr>
        <w:t xml:space="preserve">provide for protections and </w:t>
      </w:r>
      <w:r w:rsidR="00A678F9" w:rsidRPr="00A82978">
        <w:rPr>
          <w:color w:val="000000"/>
        </w:rPr>
        <w:t>support</w:t>
      </w:r>
      <w:r w:rsidR="003E7436">
        <w:rPr>
          <w:color w:val="000000"/>
        </w:rPr>
        <w:t xml:space="preserve"> for</w:t>
      </w:r>
      <w:r w:rsidR="00A678F9" w:rsidRPr="00A82978">
        <w:rPr>
          <w:color w:val="000000"/>
        </w:rPr>
        <w:t xml:space="preserve"> victims</w:t>
      </w:r>
      <w:r w:rsidR="00B85204">
        <w:rPr>
          <w:color w:val="000000"/>
        </w:rPr>
        <w:t xml:space="preserve"> of trafficking</w:t>
      </w:r>
      <w:r w:rsidR="00A678F9" w:rsidRPr="00A82978">
        <w:rPr>
          <w:vertAlign w:val="superscript"/>
        </w:rPr>
        <w:footnoteReference w:id="11"/>
      </w:r>
      <w:r w:rsidR="00A678F9" w:rsidRPr="00A82978">
        <w:rPr>
          <w:color w:val="000000"/>
        </w:rPr>
        <w:t xml:space="preserve"> and </w:t>
      </w:r>
      <w:r w:rsidR="00B85204" w:rsidRPr="00A82978">
        <w:rPr>
          <w:color w:val="000000"/>
        </w:rPr>
        <w:t>child sexual exploitation</w:t>
      </w:r>
      <w:r w:rsidR="00A678F9" w:rsidRPr="00A82978">
        <w:rPr>
          <w:color w:val="000000"/>
        </w:rPr>
        <w:t>.</w:t>
      </w:r>
      <w:r w:rsidR="00A678F9" w:rsidRPr="00A82978">
        <w:rPr>
          <w:vertAlign w:val="superscript"/>
        </w:rPr>
        <w:footnoteReference w:id="12"/>
      </w:r>
    </w:p>
    <w:p w14:paraId="6B0506A6" w14:textId="77777777" w:rsidR="00CE31FD" w:rsidRDefault="00CE31FD" w:rsidP="00CE31FD">
      <w:pPr>
        <w:pStyle w:val="ListParagraph"/>
        <w:ind w:left="709"/>
        <w:rPr>
          <w:szCs w:val="24"/>
        </w:rPr>
      </w:pPr>
    </w:p>
    <w:p w14:paraId="40430F9C" w14:textId="77777777" w:rsidR="0060396E" w:rsidRDefault="00B85204">
      <w:pPr>
        <w:pStyle w:val="ListParagraph"/>
        <w:numPr>
          <w:ilvl w:val="1"/>
          <w:numId w:val="8"/>
        </w:numPr>
        <w:ind w:left="709"/>
        <w:rPr>
          <w:szCs w:val="24"/>
        </w:rPr>
      </w:pPr>
      <w:r>
        <w:t xml:space="preserve">Windsor Framework Article 2 </w:t>
      </w:r>
      <w:r w:rsidR="00207A17" w:rsidRPr="00C02A3D">
        <w:t>provides specific, enhanced protection against discrimination in the directives in Annex 1 of the Windsor Framework</w:t>
      </w:r>
      <w:r w:rsidR="00207A17">
        <w:t xml:space="preserve">, including </w:t>
      </w:r>
      <w:r w:rsidR="00A678F9">
        <w:t>on grounds of gender in employment, social security and goods and services.</w:t>
      </w:r>
      <w:r w:rsidR="00A678F9">
        <w:rPr>
          <w:rStyle w:val="FootnoteReference"/>
        </w:rPr>
        <w:footnoteReference w:id="13"/>
      </w:r>
      <w:r w:rsidR="00207A17" w:rsidRPr="0060396E">
        <w:rPr>
          <w:szCs w:val="24"/>
        </w:rPr>
        <w:t xml:space="preserve"> </w:t>
      </w:r>
      <w:r w:rsidR="00AE7D85" w:rsidRPr="0060396E">
        <w:rPr>
          <w:szCs w:val="24"/>
        </w:rPr>
        <w:t>NI law must keep pace with changes made to improve the minimum standards of protection under these Directives on or after 1 January 2021.</w:t>
      </w:r>
      <w:r w:rsidR="006E33D2">
        <w:rPr>
          <w:rStyle w:val="FootnoteReference"/>
          <w:szCs w:val="24"/>
        </w:rPr>
        <w:footnoteReference w:id="14"/>
      </w:r>
      <w:r w:rsidR="00AE7D85" w:rsidRPr="0060396E">
        <w:rPr>
          <w:szCs w:val="24"/>
        </w:rPr>
        <w:t xml:space="preserve"> </w:t>
      </w:r>
    </w:p>
    <w:p w14:paraId="67BA9A7A" w14:textId="77777777" w:rsidR="0060396E" w:rsidRDefault="0060396E" w:rsidP="0060396E">
      <w:pPr>
        <w:pStyle w:val="ListParagraph"/>
        <w:rPr>
          <w:rStyle w:val="cf01"/>
        </w:rPr>
      </w:pPr>
    </w:p>
    <w:p w14:paraId="04C7DA60" w14:textId="595D1B9F" w:rsidR="00C052EF" w:rsidRPr="009B77FA" w:rsidRDefault="00E762B9">
      <w:pPr>
        <w:pStyle w:val="ListParagraph"/>
        <w:numPr>
          <w:ilvl w:val="1"/>
          <w:numId w:val="8"/>
        </w:numPr>
        <w:ind w:left="709"/>
        <w:rPr>
          <w:rStyle w:val="cf11"/>
          <w:rFonts w:ascii="Verdana" w:hAnsi="Verdana" w:cstheme="minorBidi"/>
          <w:b/>
          <w:bCs/>
          <w:sz w:val="24"/>
          <w:szCs w:val="24"/>
        </w:rPr>
      </w:pPr>
      <w:r w:rsidRPr="009B77FA">
        <w:rPr>
          <w:rStyle w:val="cf01"/>
          <w:rFonts w:ascii="Verdana" w:hAnsi="Verdana"/>
          <w:b/>
          <w:bCs/>
          <w:sz w:val="24"/>
          <w:szCs w:val="24"/>
        </w:rPr>
        <w:t xml:space="preserve">The NIHRC recommends </w:t>
      </w:r>
      <w:r w:rsidRPr="009B77FA">
        <w:rPr>
          <w:rStyle w:val="cf11"/>
          <w:rFonts w:ascii="Verdana" w:hAnsi="Verdana"/>
          <w:b/>
          <w:bCs/>
          <w:sz w:val="24"/>
          <w:szCs w:val="24"/>
        </w:rPr>
        <w:t>that the UK Government and NI Executive take effective steps to develop and roll out training and guidance on Windsor Framework Article 2</w:t>
      </w:r>
      <w:r w:rsidR="00AD366B">
        <w:rPr>
          <w:rStyle w:val="cf11"/>
          <w:rFonts w:ascii="Verdana" w:hAnsi="Verdana"/>
          <w:b/>
          <w:bCs/>
          <w:sz w:val="24"/>
          <w:szCs w:val="24"/>
        </w:rPr>
        <w:t xml:space="preserve"> </w:t>
      </w:r>
      <w:r w:rsidRPr="009B77FA">
        <w:rPr>
          <w:rStyle w:val="cf11"/>
          <w:rFonts w:ascii="Verdana" w:hAnsi="Verdana"/>
          <w:b/>
          <w:bCs/>
          <w:sz w:val="24"/>
          <w:szCs w:val="24"/>
        </w:rPr>
        <w:t>across government departments and act promptly to ensure that guidance on policy and legislative development is updated to include consideration of Windsor Framework Article 2.</w:t>
      </w:r>
    </w:p>
    <w:p w14:paraId="100D754C" w14:textId="77777777" w:rsidR="0060396E" w:rsidRPr="0060396E" w:rsidRDefault="0060396E" w:rsidP="0060396E">
      <w:pPr>
        <w:pStyle w:val="ListParagraph"/>
        <w:rPr>
          <w:szCs w:val="24"/>
        </w:rPr>
      </w:pPr>
    </w:p>
    <w:p w14:paraId="0D61AC7C" w14:textId="234EA050" w:rsidR="00D06088" w:rsidRPr="00155A82" w:rsidRDefault="00CE31FD" w:rsidP="00155A82">
      <w:pPr>
        <w:pStyle w:val="Heading2"/>
        <w:ind w:left="720" w:hanging="720"/>
      </w:pPr>
      <w:bookmarkStart w:id="3" w:name="_Toc158364479"/>
      <w:r>
        <w:t>4.0</w:t>
      </w:r>
      <w:r>
        <w:tab/>
      </w:r>
      <w:r w:rsidR="00D06088" w:rsidRPr="00155A82">
        <w:t>Single Equality Act</w:t>
      </w:r>
      <w:bookmarkEnd w:id="3"/>
    </w:p>
    <w:p w14:paraId="7722C5B8" w14:textId="77777777" w:rsidR="00D06088" w:rsidRPr="00D06088" w:rsidRDefault="00D06088" w:rsidP="00D06088">
      <w:pPr>
        <w:numPr>
          <w:ilvl w:val="0"/>
          <w:numId w:val="4"/>
        </w:numPr>
        <w:contextualSpacing/>
        <w:rPr>
          <w:rFonts w:eastAsia="MS Mincho" w:cs="Arial"/>
          <w:vanish/>
          <w:kern w:val="0"/>
          <w:szCs w:val="24"/>
          <w14:ligatures w14:val="none"/>
        </w:rPr>
      </w:pPr>
    </w:p>
    <w:p w14:paraId="0C081849" w14:textId="77777777" w:rsidR="00D06088" w:rsidRPr="00D06088" w:rsidRDefault="00D06088" w:rsidP="00D06088">
      <w:pPr>
        <w:numPr>
          <w:ilvl w:val="0"/>
          <w:numId w:val="4"/>
        </w:numPr>
        <w:contextualSpacing/>
        <w:rPr>
          <w:rFonts w:eastAsia="MS Mincho" w:cs="Arial"/>
          <w:vanish/>
          <w:kern w:val="0"/>
          <w:szCs w:val="24"/>
          <w14:ligatures w14:val="none"/>
        </w:rPr>
      </w:pPr>
    </w:p>
    <w:p w14:paraId="2D98667D" w14:textId="77777777" w:rsidR="00D06088" w:rsidRPr="00D06088" w:rsidRDefault="00D06088" w:rsidP="00D06088">
      <w:pPr>
        <w:numPr>
          <w:ilvl w:val="0"/>
          <w:numId w:val="4"/>
        </w:numPr>
        <w:contextualSpacing/>
        <w:rPr>
          <w:rFonts w:eastAsia="MS Mincho" w:cs="Arial"/>
          <w:vanish/>
          <w:kern w:val="0"/>
          <w:szCs w:val="24"/>
          <w14:ligatures w14:val="none"/>
        </w:rPr>
      </w:pPr>
    </w:p>
    <w:p w14:paraId="5B69186D" w14:textId="77777777" w:rsidR="00CE31FD" w:rsidRPr="00CE31FD" w:rsidRDefault="00CE31FD" w:rsidP="00CE31FD">
      <w:pPr>
        <w:pStyle w:val="ListParagraph"/>
        <w:numPr>
          <w:ilvl w:val="0"/>
          <w:numId w:val="2"/>
        </w:numPr>
        <w:rPr>
          <w:rFonts w:eastAsia="MS Mincho" w:cs="Arial"/>
          <w:vanish/>
          <w:color w:val="000000"/>
          <w:szCs w:val="24"/>
        </w:rPr>
      </w:pPr>
    </w:p>
    <w:p w14:paraId="111B00C3" w14:textId="77777777" w:rsidR="00CE31FD" w:rsidRPr="00CE31FD" w:rsidRDefault="00CE31FD" w:rsidP="00CE31FD">
      <w:pPr>
        <w:pStyle w:val="ListParagraph"/>
        <w:numPr>
          <w:ilvl w:val="0"/>
          <w:numId w:val="2"/>
        </w:numPr>
        <w:rPr>
          <w:rFonts w:eastAsia="MS Mincho" w:cs="Arial"/>
          <w:vanish/>
          <w:color w:val="000000"/>
          <w:szCs w:val="24"/>
        </w:rPr>
      </w:pPr>
    </w:p>
    <w:p w14:paraId="12EFEA2C" w14:textId="77777777" w:rsidR="00CE31FD" w:rsidRPr="00CE31FD" w:rsidRDefault="00CE31FD" w:rsidP="00CE31FD">
      <w:pPr>
        <w:pStyle w:val="ListParagraph"/>
        <w:numPr>
          <w:ilvl w:val="0"/>
          <w:numId w:val="2"/>
        </w:numPr>
        <w:rPr>
          <w:rFonts w:eastAsia="MS Mincho" w:cs="Arial"/>
          <w:vanish/>
          <w:color w:val="000000"/>
          <w:szCs w:val="24"/>
        </w:rPr>
      </w:pPr>
    </w:p>
    <w:p w14:paraId="66266E36" w14:textId="77777777" w:rsidR="00CE31FD" w:rsidRPr="00CE31FD" w:rsidRDefault="00CE31FD" w:rsidP="00CE31FD">
      <w:pPr>
        <w:pStyle w:val="ListParagraph"/>
        <w:numPr>
          <w:ilvl w:val="0"/>
          <w:numId w:val="2"/>
        </w:numPr>
        <w:rPr>
          <w:rFonts w:eastAsia="MS Mincho" w:cs="Arial"/>
          <w:vanish/>
          <w:color w:val="000000"/>
          <w:szCs w:val="24"/>
        </w:rPr>
      </w:pPr>
    </w:p>
    <w:p w14:paraId="34F7309F" w14:textId="037F2331" w:rsidR="00CE31FD" w:rsidRDefault="00D06088" w:rsidP="007E00C0">
      <w:pPr>
        <w:pStyle w:val="ListParagraph"/>
        <w:numPr>
          <w:ilvl w:val="1"/>
          <w:numId w:val="2"/>
        </w:numPr>
        <w:ind w:left="709"/>
        <w:rPr>
          <w:rFonts w:eastAsia="MS Mincho" w:cs="Arial"/>
          <w:color w:val="000000"/>
          <w:szCs w:val="24"/>
        </w:rPr>
      </w:pPr>
      <w:r w:rsidRPr="00CE31FD">
        <w:rPr>
          <w:rFonts w:eastAsia="MS Mincho" w:cs="Arial"/>
          <w:color w:val="000000"/>
          <w:szCs w:val="24"/>
        </w:rPr>
        <w:t xml:space="preserve">In NI, discrimination is prohibited across several pieces of legislation, resulting in a complex framework. Unlike other parts of the UK, there is no single legislative instrument to consolidate, clarify and enhance existing equality protections in NI. </w:t>
      </w:r>
      <w:r w:rsidR="00AA304B" w:rsidRPr="00CE31FD">
        <w:rPr>
          <w:rFonts w:eastAsia="MS Mincho" w:cs="Arial"/>
          <w:color w:val="000000"/>
          <w:szCs w:val="24"/>
        </w:rPr>
        <w:t>T</w:t>
      </w:r>
      <w:r w:rsidRPr="00CE31FD">
        <w:rPr>
          <w:rFonts w:eastAsia="MS Mincho" w:cs="Arial"/>
          <w:color w:val="000000"/>
          <w:szCs w:val="24"/>
        </w:rPr>
        <w:t>here is currently no plan to bring forward a Single Equality Act for NI.</w:t>
      </w:r>
      <w:r w:rsidRPr="00D06088">
        <w:rPr>
          <w:vertAlign w:val="superscript"/>
        </w:rPr>
        <w:footnoteReference w:id="15"/>
      </w:r>
    </w:p>
    <w:p w14:paraId="4C1CC077" w14:textId="77777777" w:rsidR="00CE31FD" w:rsidRDefault="00CE31FD" w:rsidP="00CE31FD">
      <w:pPr>
        <w:pStyle w:val="ListParagraph"/>
        <w:ind w:left="709"/>
        <w:rPr>
          <w:rFonts w:eastAsia="MS Mincho" w:cs="Arial"/>
          <w:color w:val="000000"/>
          <w:szCs w:val="24"/>
        </w:rPr>
      </w:pPr>
    </w:p>
    <w:p w14:paraId="69B01348" w14:textId="3C376A56" w:rsidR="007E00C0" w:rsidRPr="00CE31FD" w:rsidRDefault="00D06088" w:rsidP="007E00C0">
      <w:pPr>
        <w:pStyle w:val="ListParagraph"/>
        <w:numPr>
          <w:ilvl w:val="1"/>
          <w:numId w:val="2"/>
        </w:numPr>
        <w:ind w:left="709"/>
        <w:rPr>
          <w:rFonts w:eastAsia="MS Mincho" w:cs="Arial"/>
          <w:color w:val="000000"/>
          <w:szCs w:val="24"/>
        </w:rPr>
      </w:pPr>
      <w:r w:rsidRPr="00CE31FD">
        <w:rPr>
          <w:rFonts w:eastAsia="MS Mincho" w:cs="Arial"/>
          <w:b/>
          <w:bCs/>
          <w:szCs w:val="24"/>
        </w:rPr>
        <w:t xml:space="preserve">The </w:t>
      </w:r>
      <w:r w:rsidR="007E00C0" w:rsidRPr="00CE31FD">
        <w:rPr>
          <w:rFonts w:eastAsia="MS Mincho" w:cs="Arial"/>
          <w:b/>
          <w:bCs/>
          <w:szCs w:val="24"/>
        </w:rPr>
        <w:t>NIHRC recommends that that the UK Government and NI Executive take effective steps to introduce a Single Equality Act for NI and provide the necessary support to secure the necessary political consensus to deliver this.</w:t>
      </w:r>
    </w:p>
    <w:p w14:paraId="3E8B7AD2" w14:textId="77777777" w:rsidR="00D06088" w:rsidRPr="00D06088" w:rsidRDefault="00D06088" w:rsidP="00D06088">
      <w:pPr>
        <w:ind w:left="720"/>
        <w:contextualSpacing/>
        <w:rPr>
          <w:rFonts w:eastAsia="MS Mincho" w:cs="Arial"/>
          <w:b/>
          <w:bCs/>
          <w:color w:val="000000"/>
          <w:kern w:val="0"/>
          <w:szCs w:val="24"/>
          <w14:ligatures w14:val="none"/>
        </w:rPr>
      </w:pPr>
    </w:p>
    <w:p w14:paraId="07F3A029" w14:textId="191CEE3F" w:rsidR="00D06088" w:rsidRPr="00155A82" w:rsidRDefault="00CE31FD" w:rsidP="00155A82">
      <w:pPr>
        <w:pStyle w:val="Heading2"/>
        <w:ind w:left="720" w:hanging="720"/>
      </w:pPr>
      <w:bookmarkStart w:id="4" w:name="_Toc158364480"/>
      <w:r>
        <w:t>5.0</w:t>
      </w:r>
      <w:r>
        <w:tab/>
      </w:r>
      <w:r w:rsidR="00D06088" w:rsidRPr="00155A82">
        <w:t xml:space="preserve">Multiple </w:t>
      </w:r>
      <w:r>
        <w:t>I</w:t>
      </w:r>
      <w:r w:rsidR="00D06088" w:rsidRPr="00155A82">
        <w:t xml:space="preserve">ntersectional </w:t>
      </w:r>
      <w:r>
        <w:t>D</w:t>
      </w:r>
      <w:r w:rsidR="00D06088" w:rsidRPr="00155A82">
        <w:t>iscrimination</w:t>
      </w:r>
      <w:bookmarkEnd w:id="4"/>
    </w:p>
    <w:p w14:paraId="1EF9630E" w14:textId="77777777" w:rsidR="00CE31FD" w:rsidRPr="00CE31FD" w:rsidRDefault="00CE31FD" w:rsidP="00CE31FD">
      <w:pPr>
        <w:pStyle w:val="ListParagraph"/>
        <w:numPr>
          <w:ilvl w:val="0"/>
          <w:numId w:val="9"/>
        </w:numPr>
        <w:rPr>
          <w:rFonts w:eastAsia="MS Mincho" w:cs="Arial"/>
          <w:vanish/>
          <w:color w:val="000000"/>
          <w:szCs w:val="24"/>
        </w:rPr>
      </w:pPr>
    </w:p>
    <w:p w14:paraId="6F489621" w14:textId="77777777" w:rsidR="00CE31FD" w:rsidRPr="00CE31FD" w:rsidRDefault="00CE31FD" w:rsidP="00CE31FD">
      <w:pPr>
        <w:pStyle w:val="ListParagraph"/>
        <w:numPr>
          <w:ilvl w:val="0"/>
          <w:numId w:val="9"/>
        </w:numPr>
        <w:rPr>
          <w:rFonts w:eastAsia="MS Mincho" w:cs="Arial"/>
          <w:vanish/>
          <w:color w:val="000000"/>
          <w:szCs w:val="24"/>
        </w:rPr>
      </w:pPr>
    </w:p>
    <w:p w14:paraId="7733284E" w14:textId="77777777" w:rsidR="00CE31FD" w:rsidRPr="00CE31FD" w:rsidRDefault="00CE31FD" w:rsidP="00CE31FD">
      <w:pPr>
        <w:pStyle w:val="ListParagraph"/>
        <w:numPr>
          <w:ilvl w:val="0"/>
          <w:numId w:val="9"/>
        </w:numPr>
        <w:rPr>
          <w:rFonts w:eastAsia="MS Mincho" w:cs="Arial"/>
          <w:vanish/>
          <w:color w:val="000000"/>
          <w:szCs w:val="24"/>
        </w:rPr>
      </w:pPr>
    </w:p>
    <w:p w14:paraId="51AC6F4A" w14:textId="77777777" w:rsidR="00CE31FD" w:rsidRPr="00CE31FD" w:rsidRDefault="00CE31FD" w:rsidP="00CE31FD">
      <w:pPr>
        <w:pStyle w:val="ListParagraph"/>
        <w:numPr>
          <w:ilvl w:val="0"/>
          <w:numId w:val="9"/>
        </w:numPr>
        <w:rPr>
          <w:rFonts w:eastAsia="MS Mincho" w:cs="Arial"/>
          <w:vanish/>
          <w:color w:val="000000"/>
          <w:szCs w:val="24"/>
        </w:rPr>
      </w:pPr>
    </w:p>
    <w:p w14:paraId="40B40320" w14:textId="77777777" w:rsidR="00CE31FD" w:rsidRPr="00CE31FD" w:rsidRDefault="00CE31FD" w:rsidP="00CE31FD">
      <w:pPr>
        <w:pStyle w:val="ListParagraph"/>
        <w:numPr>
          <w:ilvl w:val="0"/>
          <w:numId w:val="9"/>
        </w:numPr>
        <w:rPr>
          <w:rFonts w:eastAsia="MS Mincho" w:cs="Arial"/>
          <w:vanish/>
          <w:color w:val="000000"/>
          <w:szCs w:val="24"/>
        </w:rPr>
      </w:pPr>
    </w:p>
    <w:p w14:paraId="3704B4D3" w14:textId="77777777" w:rsidR="00CE31FD" w:rsidRPr="00CE31FD" w:rsidRDefault="00D06088" w:rsidP="00D06088">
      <w:pPr>
        <w:pStyle w:val="ListParagraph"/>
        <w:numPr>
          <w:ilvl w:val="1"/>
          <w:numId w:val="9"/>
        </w:numPr>
        <w:ind w:left="709"/>
        <w:rPr>
          <w:rFonts w:eastAsia="MS Mincho" w:cs="Arial"/>
          <w:b/>
          <w:bCs/>
          <w:color w:val="000000"/>
          <w:szCs w:val="24"/>
        </w:rPr>
      </w:pPr>
      <w:r w:rsidRPr="00CE31FD">
        <w:rPr>
          <w:rFonts w:eastAsia="MS Mincho" w:cs="Arial"/>
          <w:color w:val="000000"/>
          <w:szCs w:val="24"/>
        </w:rPr>
        <w:t>NI legislation does not provide for cases of intersectional multiple discrimination. At present in NI, each ground for discrimination must form its own case, meaning it must be considered and ruled on separately.</w:t>
      </w:r>
      <w:r w:rsidRPr="00D06088">
        <w:rPr>
          <w:vertAlign w:val="superscript"/>
        </w:rPr>
        <w:footnoteReference w:id="16"/>
      </w:r>
    </w:p>
    <w:p w14:paraId="04E964A3" w14:textId="77777777" w:rsidR="00CE31FD" w:rsidRPr="00CE31FD" w:rsidRDefault="00CE31FD" w:rsidP="00CE31FD">
      <w:pPr>
        <w:pStyle w:val="ListParagraph"/>
        <w:ind w:left="709"/>
        <w:rPr>
          <w:rFonts w:eastAsia="MS Mincho" w:cs="Arial"/>
          <w:b/>
          <w:bCs/>
          <w:color w:val="000000"/>
          <w:szCs w:val="24"/>
        </w:rPr>
      </w:pPr>
    </w:p>
    <w:p w14:paraId="66292AA7" w14:textId="22FBB1C9" w:rsidR="00CE31FD" w:rsidRPr="00CE31FD" w:rsidRDefault="00D06088" w:rsidP="00D06088">
      <w:pPr>
        <w:pStyle w:val="ListParagraph"/>
        <w:numPr>
          <w:ilvl w:val="1"/>
          <w:numId w:val="9"/>
        </w:numPr>
        <w:ind w:left="709"/>
        <w:rPr>
          <w:rFonts w:eastAsia="MS Mincho" w:cs="Arial"/>
          <w:b/>
          <w:bCs/>
          <w:color w:val="000000"/>
          <w:szCs w:val="24"/>
        </w:rPr>
      </w:pPr>
      <w:r w:rsidRPr="00CE31FD">
        <w:rPr>
          <w:rFonts w:eastAsia="MS Mincho" w:cs="Arial"/>
          <w:color w:val="000000"/>
          <w:szCs w:val="24"/>
        </w:rPr>
        <w:lastRenderedPageBreak/>
        <w:t xml:space="preserve">In 2020, </w:t>
      </w:r>
      <w:r w:rsidR="008D2CDA" w:rsidRPr="00CE31FD">
        <w:rPr>
          <w:rFonts w:eastAsia="MS Mincho" w:cs="Arial"/>
          <w:color w:val="000000"/>
          <w:szCs w:val="24"/>
        </w:rPr>
        <w:t>an</w:t>
      </w:r>
      <w:r w:rsidRPr="00CE31FD">
        <w:rPr>
          <w:rFonts w:eastAsia="MS Mincho" w:cs="Arial"/>
          <w:color w:val="000000"/>
          <w:szCs w:val="24"/>
        </w:rPr>
        <w:t xml:space="preserve"> Independent Review Team recommend</w:t>
      </w:r>
      <w:r w:rsidR="008D2CDA" w:rsidRPr="00CE31FD">
        <w:rPr>
          <w:rFonts w:eastAsia="MS Mincho" w:cs="Arial"/>
          <w:color w:val="000000"/>
          <w:szCs w:val="24"/>
        </w:rPr>
        <w:t>ed</w:t>
      </w:r>
      <w:r w:rsidRPr="00CE31FD">
        <w:rPr>
          <w:rFonts w:eastAsia="MS Mincho" w:cs="Arial"/>
          <w:color w:val="000000"/>
          <w:szCs w:val="24"/>
        </w:rPr>
        <w:t xml:space="preserve"> that any new hate crime legislation should provide appropriate recognition of the importance of intersectionality.</w:t>
      </w:r>
      <w:r w:rsidRPr="00D06088">
        <w:rPr>
          <w:vertAlign w:val="superscript"/>
        </w:rPr>
        <w:footnoteReference w:id="17"/>
      </w:r>
      <w:r w:rsidRPr="00CE31FD">
        <w:rPr>
          <w:rFonts w:eastAsia="MS Mincho" w:cs="Arial"/>
          <w:color w:val="000000"/>
          <w:szCs w:val="24"/>
        </w:rPr>
        <w:t xml:space="preserve"> It also recommended that intersectionality is reflected when considering statutory aggravations to existing offences.</w:t>
      </w:r>
      <w:r w:rsidRPr="00D06088">
        <w:rPr>
          <w:vertAlign w:val="superscript"/>
        </w:rPr>
        <w:footnoteReference w:id="18"/>
      </w:r>
      <w:r w:rsidRPr="00CE31FD">
        <w:rPr>
          <w:rFonts w:eastAsia="MS Mincho" w:cs="Arial"/>
          <w:color w:val="000000"/>
          <w:szCs w:val="24"/>
        </w:rPr>
        <w:t xml:space="preserve"> In 2022, the Department of Justice accepted that hate crime legislation should address intersectionality.</w:t>
      </w:r>
      <w:r w:rsidR="007266F7" w:rsidRPr="00D06088">
        <w:rPr>
          <w:vertAlign w:val="superscript"/>
        </w:rPr>
        <w:footnoteReference w:id="19"/>
      </w:r>
      <w:r w:rsidRPr="00CE31FD">
        <w:rPr>
          <w:rFonts w:eastAsia="MS Mincho" w:cs="Arial"/>
          <w:color w:val="000000"/>
          <w:szCs w:val="24"/>
        </w:rPr>
        <w:t xml:space="preserve"> However, if implemented, this will only address intersectionality in the context of hate crime. </w:t>
      </w:r>
    </w:p>
    <w:p w14:paraId="54563623" w14:textId="77777777" w:rsidR="00CE31FD" w:rsidRPr="00CE31FD" w:rsidRDefault="00CE31FD" w:rsidP="00CE31FD">
      <w:pPr>
        <w:pStyle w:val="ListParagraph"/>
        <w:rPr>
          <w:rFonts w:eastAsia="MS Mincho" w:cs="Arial"/>
          <w:b/>
          <w:bCs/>
          <w:szCs w:val="24"/>
        </w:rPr>
      </w:pPr>
    </w:p>
    <w:p w14:paraId="2A31B932" w14:textId="40751165" w:rsidR="00D06088" w:rsidRPr="00CE31FD" w:rsidRDefault="00D06088" w:rsidP="00D06088">
      <w:pPr>
        <w:pStyle w:val="ListParagraph"/>
        <w:numPr>
          <w:ilvl w:val="1"/>
          <w:numId w:val="9"/>
        </w:numPr>
        <w:ind w:left="709"/>
        <w:rPr>
          <w:rFonts w:eastAsia="MS Mincho" w:cs="Arial"/>
          <w:b/>
          <w:bCs/>
          <w:color w:val="000000"/>
          <w:szCs w:val="24"/>
        </w:rPr>
      </w:pPr>
      <w:r w:rsidRPr="00CE31FD">
        <w:rPr>
          <w:rFonts w:eastAsia="MS Mincho" w:cs="Arial"/>
          <w:b/>
          <w:bCs/>
          <w:szCs w:val="24"/>
        </w:rPr>
        <w:t xml:space="preserve">The </w:t>
      </w:r>
      <w:r w:rsidR="003D6404" w:rsidRPr="00CE31FD">
        <w:rPr>
          <w:rFonts w:eastAsia="MS Mincho" w:cs="Arial"/>
          <w:b/>
          <w:bCs/>
          <w:szCs w:val="24"/>
        </w:rPr>
        <w:t>NIHRC recommends</w:t>
      </w:r>
      <w:r w:rsidRPr="00CE31FD">
        <w:rPr>
          <w:rFonts w:eastAsia="MS Mincho" w:cs="Arial"/>
          <w:b/>
          <w:bCs/>
          <w:szCs w:val="24"/>
        </w:rPr>
        <w:t xml:space="preserve"> </w:t>
      </w:r>
      <w:r w:rsidR="003D6404" w:rsidRPr="00CE31FD">
        <w:rPr>
          <w:b/>
          <w:bCs/>
          <w:szCs w:val="24"/>
        </w:rPr>
        <w:t>that the UK Government and NI Executive take effective steps to ensure that intersectional multiple discrimination claims in NI are effectively addressed, including providing for intersectionality within equality legislation as required.</w:t>
      </w:r>
    </w:p>
    <w:p w14:paraId="008694A5" w14:textId="77777777" w:rsidR="00D06088" w:rsidRPr="00D06088" w:rsidRDefault="00D06088" w:rsidP="00D06088">
      <w:pPr>
        <w:contextualSpacing/>
        <w:rPr>
          <w:rFonts w:eastAsia="MS Mincho" w:cs="Arial"/>
          <w:b/>
          <w:bCs/>
          <w:color w:val="000000"/>
          <w:kern w:val="0"/>
          <w:szCs w:val="24"/>
          <w14:ligatures w14:val="none"/>
        </w:rPr>
      </w:pPr>
    </w:p>
    <w:p w14:paraId="202F4391" w14:textId="60A8966E" w:rsidR="00E82DAD" w:rsidRPr="00E82DAD" w:rsidRDefault="00CE31FD" w:rsidP="00155A82">
      <w:pPr>
        <w:pStyle w:val="Heading2"/>
        <w:ind w:left="720" w:hanging="720"/>
      </w:pPr>
      <w:bookmarkStart w:id="5" w:name="_Toc158364481"/>
      <w:r>
        <w:t>6.0</w:t>
      </w:r>
      <w:r>
        <w:tab/>
      </w:r>
      <w:r w:rsidR="00E82DAD" w:rsidRPr="00E82DAD">
        <w:t xml:space="preserve">Data </w:t>
      </w:r>
      <w:r>
        <w:t>C</w:t>
      </w:r>
      <w:r w:rsidR="00E82DAD" w:rsidRPr="00E82DAD">
        <w:t>ollection</w:t>
      </w:r>
      <w:bookmarkEnd w:id="5"/>
    </w:p>
    <w:p w14:paraId="1B8726DB" w14:textId="77777777" w:rsidR="00CE31FD" w:rsidRPr="00CE31FD" w:rsidRDefault="00CE31FD" w:rsidP="00CE31FD">
      <w:pPr>
        <w:pStyle w:val="ListParagraph"/>
        <w:numPr>
          <w:ilvl w:val="0"/>
          <w:numId w:val="10"/>
        </w:numPr>
        <w:rPr>
          <w:vanish/>
          <w:szCs w:val="24"/>
        </w:rPr>
      </w:pPr>
    </w:p>
    <w:p w14:paraId="7EADA1D4" w14:textId="77777777" w:rsidR="00CE31FD" w:rsidRPr="00CE31FD" w:rsidRDefault="00CE31FD" w:rsidP="00CE31FD">
      <w:pPr>
        <w:pStyle w:val="ListParagraph"/>
        <w:numPr>
          <w:ilvl w:val="0"/>
          <w:numId w:val="10"/>
        </w:numPr>
        <w:rPr>
          <w:vanish/>
          <w:szCs w:val="24"/>
        </w:rPr>
      </w:pPr>
    </w:p>
    <w:p w14:paraId="64EF6E47" w14:textId="77777777" w:rsidR="00CE31FD" w:rsidRPr="00CE31FD" w:rsidRDefault="00CE31FD" w:rsidP="00CE31FD">
      <w:pPr>
        <w:pStyle w:val="ListParagraph"/>
        <w:numPr>
          <w:ilvl w:val="0"/>
          <w:numId w:val="10"/>
        </w:numPr>
        <w:rPr>
          <w:vanish/>
          <w:szCs w:val="24"/>
        </w:rPr>
      </w:pPr>
    </w:p>
    <w:p w14:paraId="0943136D" w14:textId="77777777" w:rsidR="00CE31FD" w:rsidRPr="00CE31FD" w:rsidRDefault="00CE31FD" w:rsidP="00CE31FD">
      <w:pPr>
        <w:pStyle w:val="ListParagraph"/>
        <w:numPr>
          <w:ilvl w:val="0"/>
          <w:numId w:val="10"/>
        </w:numPr>
        <w:rPr>
          <w:vanish/>
          <w:szCs w:val="24"/>
        </w:rPr>
      </w:pPr>
    </w:p>
    <w:p w14:paraId="3DB0E2E8" w14:textId="77777777" w:rsidR="00CE31FD" w:rsidRPr="00CE31FD" w:rsidRDefault="00CE31FD" w:rsidP="00CE31FD">
      <w:pPr>
        <w:pStyle w:val="ListParagraph"/>
        <w:numPr>
          <w:ilvl w:val="0"/>
          <w:numId w:val="10"/>
        </w:numPr>
        <w:rPr>
          <w:vanish/>
          <w:szCs w:val="24"/>
        </w:rPr>
      </w:pPr>
    </w:p>
    <w:p w14:paraId="3375F8F3" w14:textId="77777777" w:rsidR="00CE31FD" w:rsidRPr="00CE31FD" w:rsidRDefault="00CE31FD" w:rsidP="00CE31FD">
      <w:pPr>
        <w:pStyle w:val="ListParagraph"/>
        <w:numPr>
          <w:ilvl w:val="0"/>
          <w:numId w:val="10"/>
        </w:numPr>
        <w:rPr>
          <w:vanish/>
          <w:szCs w:val="24"/>
        </w:rPr>
      </w:pPr>
    </w:p>
    <w:p w14:paraId="432BECE8" w14:textId="026F6F7F" w:rsidR="00CE31FD" w:rsidRDefault="2E7CDBAF" w:rsidP="00E82DAD">
      <w:pPr>
        <w:pStyle w:val="ListParagraph"/>
        <w:numPr>
          <w:ilvl w:val="1"/>
          <w:numId w:val="10"/>
        </w:numPr>
        <w:ind w:left="709"/>
      </w:pPr>
      <w:r w:rsidRPr="43C9637B">
        <w:t xml:space="preserve">The system for the collection of relevant data in </w:t>
      </w:r>
      <w:r w:rsidR="006B0D5C">
        <w:t>NI</w:t>
      </w:r>
      <w:r w:rsidRPr="43C9637B">
        <w:t xml:space="preserve"> is inconsistent and not </w:t>
      </w:r>
      <w:r w:rsidR="7391B0FA" w:rsidRPr="43C9637B">
        <w:t>comprehensive</w:t>
      </w:r>
      <w:r w:rsidRPr="43C9637B">
        <w:t>.</w:t>
      </w:r>
      <w:r w:rsidR="00E82DAD" w:rsidRPr="00E82DAD">
        <w:rPr>
          <w:vertAlign w:val="superscript"/>
        </w:rPr>
        <w:footnoteReference w:id="20"/>
      </w:r>
      <w:r w:rsidR="00E82DAD" w:rsidRPr="43C9637B">
        <w:t xml:space="preserve"> UK</w:t>
      </w:r>
      <w:r w:rsidR="00F422BF" w:rsidRPr="43C9637B">
        <w:t>-wide</w:t>
      </w:r>
      <w:r w:rsidR="00E82DAD" w:rsidRPr="43C9637B">
        <w:t xml:space="preserve"> data indicates that one in two disabled women experience domestic abuse in their lifetime</w:t>
      </w:r>
      <w:r w:rsidR="00B66F13" w:rsidRPr="43C9637B">
        <w:rPr>
          <w:rStyle w:val="FootnoteReference"/>
        </w:rPr>
        <w:footnoteReference w:id="21"/>
      </w:r>
      <w:r w:rsidR="00E82DAD" w:rsidRPr="43C9637B">
        <w:t xml:space="preserve"> and that one in four of all lesbian and bisexual women have experienced domestic abuse.</w:t>
      </w:r>
      <w:r w:rsidR="00B66F13" w:rsidRPr="43C9637B">
        <w:rPr>
          <w:rStyle w:val="FootnoteReference"/>
        </w:rPr>
        <w:footnoteReference w:id="22"/>
      </w:r>
      <w:r w:rsidR="00E82DAD" w:rsidRPr="43C9637B">
        <w:t xml:space="preserve"> However, no </w:t>
      </w:r>
      <w:r w:rsidR="00F422BF" w:rsidRPr="43C9637B">
        <w:t>specific</w:t>
      </w:r>
      <w:r w:rsidR="00E82DAD" w:rsidRPr="43C9637B">
        <w:t xml:space="preserve"> data</w:t>
      </w:r>
      <w:r w:rsidR="008019C3" w:rsidRPr="43C9637B">
        <w:t xml:space="preserve"> is available </w:t>
      </w:r>
      <w:r w:rsidR="00F422BF" w:rsidRPr="43C9637B">
        <w:t>for</w:t>
      </w:r>
      <w:r w:rsidR="008019C3" w:rsidRPr="43C9637B">
        <w:t xml:space="preserve"> NI</w:t>
      </w:r>
      <w:r w:rsidR="00F422BF" w:rsidRPr="43C9637B">
        <w:t>. D</w:t>
      </w:r>
      <w:r w:rsidR="00595536" w:rsidRPr="43C9637B">
        <w:t>ata</w:t>
      </w:r>
      <w:r w:rsidR="00E82DAD" w:rsidRPr="43C9637B">
        <w:t xml:space="preserve"> collected domestic abuse </w:t>
      </w:r>
      <w:r w:rsidR="00595536" w:rsidRPr="43C9637B">
        <w:t xml:space="preserve">in NI </w:t>
      </w:r>
      <w:r w:rsidR="00E82DAD" w:rsidRPr="43C9637B">
        <w:t xml:space="preserve">is not disaggregated by disability, sexual </w:t>
      </w:r>
      <w:proofErr w:type="gramStart"/>
      <w:r w:rsidR="00E82DAD" w:rsidRPr="43C9637B">
        <w:t>orientation</w:t>
      </w:r>
      <w:proofErr w:type="gramEnd"/>
      <w:r w:rsidR="00E82DAD" w:rsidRPr="43C9637B">
        <w:t xml:space="preserve"> or gender identity.</w:t>
      </w:r>
      <w:r w:rsidR="003177F1" w:rsidRPr="43C9637B">
        <w:rPr>
          <w:rStyle w:val="FootnoteReference"/>
        </w:rPr>
        <w:footnoteReference w:id="23"/>
      </w:r>
      <w:r w:rsidR="003177F1" w:rsidRPr="00CE31FD">
        <w:rPr>
          <w:szCs w:val="24"/>
        </w:rPr>
        <w:t xml:space="preserve"> </w:t>
      </w:r>
    </w:p>
    <w:p w14:paraId="7E0F0FF8" w14:textId="77777777" w:rsidR="00CE31FD" w:rsidRDefault="00CE31FD" w:rsidP="00CE31FD">
      <w:pPr>
        <w:pStyle w:val="ListParagraph"/>
        <w:ind w:left="709"/>
        <w:rPr>
          <w:szCs w:val="24"/>
        </w:rPr>
      </w:pPr>
    </w:p>
    <w:p w14:paraId="6122290C" w14:textId="16368C9A" w:rsidR="00CE31FD" w:rsidRDefault="00E82DAD" w:rsidP="00BB0875">
      <w:pPr>
        <w:pStyle w:val="ListParagraph"/>
        <w:numPr>
          <w:ilvl w:val="1"/>
          <w:numId w:val="10"/>
        </w:numPr>
        <w:ind w:left="709"/>
        <w:rPr>
          <w:szCs w:val="24"/>
        </w:rPr>
      </w:pPr>
      <w:r w:rsidRPr="00CE31FD">
        <w:rPr>
          <w:szCs w:val="24"/>
        </w:rPr>
        <w:t xml:space="preserve">Additionally, there are challenges in tracking a victim’s journey through the criminal justice process </w:t>
      </w:r>
      <w:r w:rsidR="00F871F5" w:rsidRPr="00CE31FD">
        <w:rPr>
          <w:szCs w:val="24"/>
        </w:rPr>
        <w:t xml:space="preserve">in NI </w:t>
      </w:r>
      <w:r w:rsidRPr="00CE31FD">
        <w:rPr>
          <w:szCs w:val="24"/>
        </w:rPr>
        <w:t xml:space="preserve">due to different data </w:t>
      </w:r>
      <w:r w:rsidRPr="00CE31FD">
        <w:rPr>
          <w:szCs w:val="24"/>
        </w:rPr>
        <w:lastRenderedPageBreak/>
        <w:t xml:space="preserve">collecting systems </w:t>
      </w:r>
      <w:r w:rsidR="00103306" w:rsidRPr="00CE31FD">
        <w:rPr>
          <w:szCs w:val="24"/>
        </w:rPr>
        <w:t xml:space="preserve">by </w:t>
      </w:r>
      <w:r w:rsidRPr="00CE31FD">
        <w:rPr>
          <w:szCs w:val="24"/>
        </w:rPr>
        <w:t>the Police Service of NI and the Public Prosecution Service.</w:t>
      </w:r>
      <w:r w:rsidRPr="00E82DAD">
        <w:rPr>
          <w:vertAlign w:val="superscript"/>
        </w:rPr>
        <w:footnoteReference w:id="24"/>
      </w:r>
    </w:p>
    <w:p w14:paraId="768D9FCE" w14:textId="77777777" w:rsidR="00CE31FD" w:rsidRPr="00CE31FD" w:rsidRDefault="00CE31FD" w:rsidP="00CE31FD">
      <w:pPr>
        <w:pStyle w:val="ListParagraph"/>
        <w:rPr>
          <w:b/>
          <w:bCs/>
          <w:szCs w:val="24"/>
        </w:rPr>
      </w:pPr>
    </w:p>
    <w:p w14:paraId="7D9515D2" w14:textId="0343F532" w:rsidR="00BB0875" w:rsidRPr="00CE31FD" w:rsidRDefault="00BB0875" w:rsidP="00BB0875">
      <w:pPr>
        <w:pStyle w:val="ListParagraph"/>
        <w:numPr>
          <w:ilvl w:val="1"/>
          <w:numId w:val="10"/>
        </w:numPr>
        <w:ind w:left="709"/>
        <w:rPr>
          <w:szCs w:val="24"/>
        </w:rPr>
      </w:pPr>
      <w:r w:rsidRPr="00CE31FD">
        <w:rPr>
          <w:b/>
          <w:bCs/>
          <w:szCs w:val="24"/>
        </w:rPr>
        <w:t>The NIHRC recommends that the UK Government and NI Executive take effective steps to adopt measures that improve the collection of disaggregated data on violence against women and domestic abuse. This includes collecting data in a way which reflects society in NI and enables comprehensive comparison with other parts of the UK.</w:t>
      </w:r>
    </w:p>
    <w:p w14:paraId="482FBA22" w14:textId="77777777" w:rsidR="00A77D9B" w:rsidRPr="00A77D9B" w:rsidRDefault="00A77D9B" w:rsidP="00A77D9B">
      <w:pPr>
        <w:rPr>
          <w:color w:val="000000"/>
          <w:szCs w:val="24"/>
        </w:rPr>
      </w:pPr>
    </w:p>
    <w:p w14:paraId="53B21D90" w14:textId="03D14ECD" w:rsidR="00B66F13" w:rsidRPr="00866199" w:rsidRDefault="00CE31FD" w:rsidP="00155A82">
      <w:pPr>
        <w:pStyle w:val="Heading2"/>
        <w:ind w:left="720" w:hanging="720"/>
      </w:pPr>
      <w:bookmarkStart w:id="7" w:name="_Toc158364482"/>
      <w:r>
        <w:t>7.0</w:t>
      </w:r>
      <w:r>
        <w:tab/>
      </w:r>
      <w:r w:rsidR="00B66F13" w:rsidRPr="00866199">
        <w:t xml:space="preserve">Gender </w:t>
      </w:r>
      <w:r>
        <w:t>N</w:t>
      </w:r>
      <w:r w:rsidR="00B66F13" w:rsidRPr="00866199">
        <w:t xml:space="preserve">eutral </w:t>
      </w:r>
      <w:r>
        <w:t>P</w:t>
      </w:r>
      <w:r w:rsidR="00B66F13" w:rsidRPr="00866199">
        <w:t xml:space="preserve">olicy </w:t>
      </w:r>
      <w:r>
        <w:t>M</w:t>
      </w:r>
      <w:r w:rsidR="00B66F13" w:rsidRPr="00866199">
        <w:t>aking</w:t>
      </w:r>
      <w:bookmarkEnd w:id="7"/>
    </w:p>
    <w:p w14:paraId="16F0DD3C" w14:textId="77777777" w:rsidR="00CE31FD" w:rsidRPr="00CE31FD" w:rsidRDefault="00CE31FD" w:rsidP="00CE31FD">
      <w:pPr>
        <w:pStyle w:val="ListParagraph"/>
        <w:numPr>
          <w:ilvl w:val="0"/>
          <w:numId w:val="11"/>
        </w:numPr>
        <w:rPr>
          <w:vanish/>
          <w:color w:val="000000"/>
          <w:szCs w:val="24"/>
        </w:rPr>
      </w:pPr>
    </w:p>
    <w:p w14:paraId="65510C68" w14:textId="77777777" w:rsidR="00CE31FD" w:rsidRPr="00CE31FD" w:rsidRDefault="00CE31FD" w:rsidP="00CE31FD">
      <w:pPr>
        <w:pStyle w:val="ListParagraph"/>
        <w:numPr>
          <w:ilvl w:val="0"/>
          <w:numId w:val="11"/>
        </w:numPr>
        <w:rPr>
          <w:vanish/>
          <w:color w:val="000000"/>
          <w:szCs w:val="24"/>
        </w:rPr>
      </w:pPr>
    </w:p>
    <w:p w14:paraId="080BEF6A" w14:textId="77777777" w:rsidR="00CE31FD" w:rsidRPr="00CE31FD" w:rsidRDefault="00CE31FD" w:rsidP="00CE31FD">
      <w:pPr>
        <w:pStyle w:val="ListParagraph"/>
        <w:numPr>
          <w:ilvl w:val="0"/>
          <w:numId w:val="11"/>
        </w:numPr>
        <w:rPr>
          <w:vanish/>
          <w:color w:val="000000"/>
          <w:szCs w:val="24"/>
        </w:rPr>
      </w:pPr>
    </w:p>
    <w:p w14:paraId="2433E0D8" w14:textId="77777777" w:rsidR="00CE31FD" w:rsidRPr="00CE31FD" w:rsidRDefault="00CE31FD" w:rsidP="00CE31FD">
      <w:pPr>
        <w:pStyle w:val="ListParagraph"/>
        <w:numPr>
          <w:ilvl w:val="0"/>
          <w:numId w:val="11"/>
        </w:numPr>
        <w:rPr>
          <w:vanish/>
          <w:color w:val="000000"/>
          <w:szCs w:val="24"/>
        </w:rPr>
      </w:pPr>
    </w:p>
    <w:p w14:paraId="042B62D9" w14:textId="77777777" w:rsidR="00CE31FD" w:rsidRPr="00CE31FD" w:rsidRDefault="00CE31FD" w:rsidP="00CE31FD">
      <w:pPr>
        <w:pStyle w:val="ListParagraph"/>
        <w:numPr>
          <w:ilvl w:val="0"/>
          <w:numId w:val="11"/>
        </w:numPr>
        <w:rPr>
          <w:vanish/>
          <w:color w:val="000000"/>
          <w:szCs w:val="24"/>
        </w:rPr>
      </w:pPr>
    </w:p>
    <w:p w14:paraId="1D6AE4EC" w14:textId="77777777" w:rsidR="00CE31FD" w:rsidRPr="00CE31FD" w:rsidRDefault="00CE31FD" w:rsidP="00CE31FD">
      <w:pPr>
        <w:pStyle w:val="ListParagraph"/>
        <w:numPr>
          <w:ilvl w:val="0"/>
          <w:numId w:val="11"/>
        </w:numPr>
        <w:rPr>
          <w:vanish/>
          <w:color w:val="000000"/>
          <w:szCs w:val="24"/>
        </w:rPr>
      </w:pPr>
    </w:p>
    <w:p w14:paraId="4203A43B" w14:textId="77777777" w:rsidR="00CE31FD" w:rsidRPr="00CE31FD" w:rsidRDefault="00CE31FD" w:rsidP="00CE31FD">
      <w:pPr>
        <w:pStyle w:val="ListParagraph"/>
        <w:numPr>
          <w:ilvl w:val="0"/>
          <w:numId w:val="11"/>
        </w:numPr>
        <w:rPr>
          <w:vanish/>
          <w:color w:val="000000"/>
          <w:szCs w:val="24"/>
        </w:rPr>
      </w:pPr>
    </w:p>
    <w:p w14:paraId="0D1F96E0" w14:textId="27993C11" w:rsidR="00CE31FD" w:rsidRPr="00CE31FD" w:rsidRDefault="00285BF9" w:rsidP="00CE31FD">
      <w:pPr>
        <w:pStyle w:val="ListParagraph"/>
        <w:numPr>
          <w:ilvl w:val="1"/>
          <w:numId w:val="11"/>
        </w:numPr>
        <w:ind w:left="709"/>
        <w:rPr>
          <w:b/>
          <w:color w:val="000000"/>
        </w:rPr>
      </w:pPr>
      <w:r w:rsidRPr="0AE7A357">
        <w:rPr>
          <w:color w:val="000000"/>
        </w:rPr>
        <w:t>There is no commitment</w:t>
      </w:r>
      <w:r w:rsidR="00A77D9B" w:rsidRPr="0AE7A357">
        <w:rPr>
          <w:color w:val="000000"/>
        </w:rPr>
        <w:t xml:space="preserve"> to adopt </w:t>
      </w:r>
      <w:r w:rsidR="008C2417" w:rsidRPr="0AE7A357">
        <w:rPr>
          <w:color w:val="000000"/>
        </w:rPr>
        <w:t xml:space="preserve">a </w:t>
      </w:r>
      <w:r w:rsidR="00A77D9B" w:rsidRPr="0AE7A357">
        <w:rPr>
          <w:color w:val="000000"/>
        </w:rPr>
        <w:t xml:space="preserve">gender sensitive approach in relevant </w:t>
      </w:r>
      <w:r w:rsidRPr="0AE7A357">
        <w:rPr>
          <w:color w:val="000000"/>
        </w:rPr>
        <w:t xml:space="preserve">NI </w:t>
      </w:r>
      <w:r w:rsidR="00A77D9B" w:rsidRPr="0AE7A357">
        <w:rPr>
          <w:color w:val="000000"/>
        </w:rPr>
        <w:t xml:space="preserve">policies. </w:t>
      </w:r>
      <w:r w:rsidR="00323102" w:rsidRPr="0AE7A357">
        <w:rPr>
          <w:color w:val="000000"/>
        </w:rPr>
        <w:t>Consequently, the</w:t>
      </w:r>
      <w:r w:rsidR="00A77D9B" w:rsidRPr="0AE7A357">
        <w:rPr>
          <w:color w:val="000000"/>
        </w:rPr>
        <w:t xml:space="preserve"> draft domestic and sexual abuse strategy</w:t>
      </w:r>
      <w:r w:rsidR="00341610" w:rsidRPr="0AE7A357">
        <w:rPr>
          <w:color w:val="000000"/>
        </w:rPr>
        <w:t xml:space="preserve"> for NI</w:t>
      </w:r>
      <w:r w:rsidR="00323102" w:rsidRPr="0AE7A357">
        <w:rPr>
          <w:color w:val="000000"/>
        </w:rPr>
        <w:t xml:space="preserve"> and draft Modern Slavery and Human Trafficking Strategy</w:t>
      </w:r>
      <w:r w:rsidR="00341610" w:rsidRPr="0AE7A357">
        <w:rPr>
          <w:color w:val="000000"/>
        </w:rPr>
        <w:t xml:space="preserve"> </w:t>
      </w:r>
      <w:r w:rsidR="00AE1FAE" w:rsidRPr="0AE7A357">
        <w:rPr>
          <w:color w:val="000000"/>
        </w:rPr>
        <w:t>for NI</w:t>
      </w:r>
      <w:r w:rsidR="00A77D9B" w:rsidRPr="0AE7A357">
        <w:rPr>
          <w:color w:val="000000"/>
        </w:rPr>
        <w:t xml:space="preserve"> take a gender-neutral approach.</w:t>
      </w:r>
      <w:r w:rsidR="00A77D9B" w:rsidRPr="0AE7A357">
        <w:rPr>
          <w:rStyle w:val="FootnoteReference"/>
          <w:color w:val="000000"/>
        </w:rPr>
        <w:footnoteReference w:id="25"/>
      </w:r>
      <w:r w:rsidR="00A77D9B" w:rsidRPr="0AE7A357">
        <w:rPr>
          <w:color w:val="000000"/>
        </w:rPr>
        <w:t xml:space="preserve"> </w:t>
      </w:r>
    </w:p>
    <w:p w14:paraId="74074128" w14:textId="77777777" w:rsidR="00CE31FD" w:rsidRPr="00CE31FD" w:rsidRDefault="00CE31FD" w:rsidP="00CE31FD">
      <w:pPr>
        <w:pStyle w:val="ListParagraph"/>
        <w:ind w:left="709"/>
        <w:rPr>
          <w:b/>
          <w:bCs/>
          <w:color w:val="000000"/>
          <w:szCs w:val="24"/>
        </w:rPr>
      </w:pPr>
    </w:p>
    <w:p w14:paraId="7558AAE5" w14:textId="1AD8E03F" w:rsidR="00E82DAD" w:rsidRPr="00CE31FD" w:rsidRDefault="00A77D9B" w:rsidP="00CE31FD">
      <w:pPr>
        <w:pStyle w:val="ListParagraph"/>
        <w:numPr>
          <w:ilvl w:val="1"/>
          <w:numId w:val="11"/>
        </w:numPr>
        <w:ind w:left="709"/>
        <w:rPr>
          <w:b/>
          <w:bCs/>
          <w:color w:val="000000"/>
          <w:szCs w:val="24"/>
        </w:rPr>
      </w:pPr>
      <w:r w:rsidRPr="00CE31FD">
        <w:rPr>
          <w:b/>
          <w:bCs/>
          <w:szCs w:val="24"/>
        </w:rPr>
        <w:t xml:space="preserve">The </w:t>
      </w:r>
      <w:r w:rsidR="00C177FC" w:rsidRPr="00CE31FD">
        <w:rPr>
          <w:b/>
          <w:bCs/>
          <w:szCs w:val="24"/>
        </w:rPr>
        <w:t>NIHRC recommends that</w:t>
      </w:r>
      <w:r w:rsidR="00B66F13" w:rsidRPr="00CE31FD">
        <w:rPr>
          <w:b/>
          <w:bCs/>
          <w:szCs w:val="24"/>
        </w:rPr>
        <w:t xml:space="preserve"> </w:t>
      </w:r>
      <w:r w:rsidRPr="00CE31FD">
        <w:rPr>
          <w:b/>
          <w:bCs/>
          <w:color w:val="000000"/>
          <w:szCs w:val="24"/>
        </w:rPr>
        <w:t>the UK Government and NI Executive take effective steps to explicitly adopt a gender-sensitive approach to tackle all forms of violence against women and girls in NI. This includes access to specialised, gender-sensitive, accessible support services.</w:t>
      </w:r>
    </w:p>
    <w:p w14:paraId="6E35A9A9" w14:textId="77777777" w:rsidR="00E82DAD" w:rsidRDefault="00E82DAD">
      <w:pPr>
        <w:rPr>
          <w:szCs w:val="24"/>
        </w:rPr>
      </w:pPr>
    </w:p>
    <w:p w14:paraId="5667F194" w14:textId="2DDE064F" w:rsidR="0009350E" w:rsidRPr="00866199" w:rsidRDefault="00CE31FD" w:rsidP="00155A82">
      <w:pPr>
        <w:pStyle w:val="Heading2"/>
        <w:ind w:left="720" w:hanging="720"/>
      </w:pPr>
      <w:bookmarkStart w:id="8" w:name="_Toc158364483"/>
      <w:r>
        <w:t>8.0</w:t>
      </w:r>
      <w:r>
        <w:tab/>
      </w:r>
      <w:r w:rsidR="0009350E" w:rsidRPr="00866199">
        <w:t>Paramilitarism</w:t>
      </w:r>
      <w:bookmarkEnd w:id="8"/>
    </w:p>
    <w:p w14:paraId="01A4EC78" w14:textId="77777777" w:rsidR="00CE31FD" w:rsidRPr="00CE31FD" w:rsidRDefault="00CE31FD" w:rsidP="00CE31FD">
      <w:pPr>
        <w:pStyle w:val="ListParagraph"/>
        <w:numPr>
          <w:ilvl w:val="0"/>
          <w:numId w:val="12"/>
        </w:numPr>
        <w:rPr>
          <w:vanish/>
          <w:szCs w:val="24"/>
        </w:rPr>
      </w:pPr>
    </w:p>
    <w:p w14:paraId="252A54BB" w14:textId="77777777" w:rsidR="00CE31FD" w:rsidRPr="00CE31FD" w:rsidRDefault="00CE31FD" w:rsidP="00CE31FD">
      <w:pPr>
        <w:pStyle w:val="ListParagraph"/>
        <w:numPr>
          <w:ilvl w:val="0"/>
          <w:numId w:val="12"/>
        </w:numPr>
        <w:rPr>
          <w:vanish/>
          <w:szCs w:val="24"/>
        </w:rPr>
      </w:pPr>
    </w:p>
    <w:p w14:paraId="2017B5D0" w14:textId="77777777" w:rsidR="00CE31FD" w:rsidRPr="00CE31FD" w:rsidRDefault="00CE31FD" w:rsidP="00CE31FD">
      <w:pPr>
        <w:pStyle w:val="ListParagraph"/>
        <w:numPr>
          <w:ilvl w:val="0"/>
          <w:numId w:val="12"/>
        </w:numPr>
        <w:rPr>
          <w:vanish/>
          <w:szCs w:val="24"/>
        </w:rPr>
      </w:pPr>
    </w:p>
    <w:p w14:paraId="3D6A3961" w14:textId="77777777" w:rsidR="00CE31FD" w:rsidRPr="00CE31FD" w:rsidRDefault="00CE31FD" w:rsidP="00CE31FD">
      <w:pPr>
        <w:pStyle w:val="ListParagraph"/>
        <w:numPr>
          <w:ilvl w:val="0"/>
          <w:numId w:val="12"/>
        </w:numPr>
        <w:rPr>
          <w:vanish/>
          <w:szCs w:val="24"/>
        </w:rPr>
      </w:pPr>
    </w:p>
    <w:p w14:paraId="30DA214F" w14:textId="77777777" w:rsidR="00CE31FD" w:rsidRPr="00CE31FD" w:rsidRDefault="00CE31FD" w:rsidP="00CE31FD">
      <w:pPr>
        <w:pStyle w:val="ListParagraph"/>
        <w:numPr>
          <w:ilvl w:val="0"/>
          <w:numId w:val="12"/>
        </w:numPr>
        <w:rPr>
          <w:vanish/>
          <w:szCs w:val="24"/>
        </w:rPr>
      </w:pPr>
    </w:p>
    <w:p w14:paraId="1FD7CFF5" w14:textId="77777777" w:rsidR="00CE31FD" w:rsidRPr="00CE31FD" w:rsidRDefault="00CE31FD" w:rsidP="00CE31FD">
      <w:pPr>
        <w:pStyle w:val="ListParagraph"/>
        <w:numPr>
          <w:ilvl w:val="0"/>
          <w:numId w:val="12"/>
        </w:numPr>
        <w:rPr>
          <w:vanish/>
          <w:szCs w:val="24"/>
        </w:rPr>
      </w:pPr>
    </w:p>
    <w:p w14:paraId="18525B01" w14:textId="77777777" w:rsidR="00CE31FD" w:rsidRPr="00CE31FD" w:rsidRDefault="00CE31FD" w:rsidP="00CE31FD">
      <w:pPr>
        <w:pStyle w:val="ListParagraph"/>
        <w:numPr>
          <w:ilvl w:val="0"/>
          <w:numId w:val="12"/>
        </w:numPr>
        <w:rPr>
          <w:vanish/>
          <w:szCs w:val="24"/>
        </w:rPr>
      </w:pPr>
    </w:p>
    <w:p w14:paraId="22452D83" w14:textId="77777777" w:rsidR="00CE31FD" w:rsidRPr="00CE31FD" w:rsidRDefault="00CE31FD" w:rsidP="00CE31FD">
      <w:pPr>
        <w:pStyle w:val="ListParagraph"/>
        <w:numPr>
          <w:ilvl w:val="0"/>
          <w:numId w:val="12"/>
        </w:numPr>
        <w:rPr>
          <w:vanish/>
          <w:szCs w:val="24"/>
        </w:rPr>
      </w:pPr>
    </w:p>
    <w:p w14:paraId="706EEE7F" w14:textId="29AB0377" w:rsidR="00CE31FD" w:rsidRDefault="00AD25ED" w:rsidP="00CE31FD">
      <w:pPr>
        <w:pStyle w:val="ListParagraph"/>
        <w:numPr>
          <w:ilvl w:val="1"/>
          <w:numId w:val="12"/>
        </w:numPr>
        <w:ind w:left="709"/>
        <w:rPr>
          <w:szCs w:val="24"/>
        </w:rPr>
      </w:pPr>
      <w:r w:rsidRPr="00CE31FD">
        <w:rPr>
          <w:szCs w:val="24"/>
        </w:rPr>
        <w:t>Paramilitary activity is having a particular effect on women within the affected communities in NI</w:t>
      </w:r>
      <w:r w:rsidR="00FB1002" w:rsidRPr="00CE31FD">
        <w:rPr>
          <w:szCs w:val="24"/>
        </w:rPr>
        <w:t>.</w:t>
      </w:r>
      <w:r w:rsidRPr="008A315B">
        <w:rPr>
          <w:rStyle w:val="FootnoteReference"/>
          <w:szCs w:val="24"/>
        </w:rPr>
        <w:footnoteReference w:id="26"/>
      </w:r>
      <w:r w:rsidR="00C92666" w:rsidRPr="00CE31FD">
        <w:rPr>
          <w:szCs w:val="24"/>
        </w:rPr>
        <w:t xml:space="preserve"> </w:t>
      </w:r>
      <w:r w:rsidR="006A55BA" w:rsidRPr="00CE31FD">
        <w:rPr>
          <w:szCs w:val="24"/>
        </w:rPr>
        <w:t xml:space="preserve">Domestic and sexual abuse victims’ </w:t>
      </w:r>
      <w:r w:rsidR="00C92666" w:rsidRPr="00CE31FD">
        <w:rPr>
          <w:szCs w:val="24"/>
        </w:rPr>
        <w:t xml:space="preserve">access to justice is </w:t>
      </w:r>
      <w:r w:rsidR="00771F7D" w:rsidRPr="00CE31FD">
        <w:rPr>
          <w:szCs w:val="24"/>
        </w:rPr>
        <w:t xml:space="preserve">affected </w:t>
      </w:r>
      <w:r w:rsidR="00C92666" w:rsidRPr="00CE31FD">
        <w:rPr>
          <w:szCs w:val="24"/>
        </w:rPr>
        <w:t>in two respects</w:t>
      </w:r>
      <w:r w:rsidR="00C96CFE" w:rsidRPr="00CE31FD">
        <w:rPr>
          <w:szCs w:val="24"/>
        </w:rPr>
        <w:t xml:space="preserve">, affiliation with paramilitary groups provides power to perpetrators, and </w:t>
      </w:r>
      <w:r w:rsidR="00C96CFE" w:rsidRPr="00CE31FD">
        <w:rPr>
          <w:szCs w:val="24"/>
        </w:rPr>
        <w:lastRenderedPageBreak/>
        <w:t>paramilitary groups are seen to provide a more “rapid response” to domestic abuse, bypassing the criminal justice system.</w:t>
      </w:r>
      <w:r w:rsidR="00C96CFE" w:rsidRPr="008A315B">
        <w:rPr>
          <w:rStyle w:val="FootnoteReference"/>
          <w:szCs w:val="24"/>
        </w:rPr>
        <w:footnoteReference w:id="27"/>
      </w:r>
      <w:r w:rsidR="00C426D0" w:rsidRPr="00CE31FD">
        <w:rPr>
          <w:szCs w:val="24"/>
        </w:rPr>
        <w:t xml:space="preserve"> </w:t>
      </w:r>
    </w:p>
    <w:p w14:paraId="473606B0" w14:textId="77777777" w:rsidR="00CE31FD" w:rsidRDefault="00CE31FD" w:rsidP="00CE31FD">
      <w:pPr>
        <w:pStyle w:val="ListParagraph"/>
        <w:ind w:left="709"/>
        <w:rPr>
          <w:szCs w:val="24"/>
        </w:rPr>
      </w:pPr>
    </w:p>
    <w:p w14:paraId="48B52B04" w14:textId="31019758" w:rsidR="00CE31FD" w:rsidRDefault="00C426D0" w:rsidP="00CE31FD">
      <w:pPr>
        <w:pStyle w:val="ListParagraph"/>
        <w:numPr>
          <w:ilvl w:val="1"/>
          <w:numId w:val="12"/>
        </w:numPr>
        <w:ind w:left="709"/>
        <w:rPr>
          <w:szCs w:val="24"/>
        </w:rPr>
      </w:pPr>
      <w:r w:rsidRPr="00CE31FD">
        <w:rPr>
          <w:szCs w:val="24"/>
        </w:rPr>
        <w:t xml:space="preserve">Victims’ access </w:t>
      </w:r>
      <w:r w:rsidR="00BC764C" w:rsidRPr="00CE31FD">
        <w:rPr>
          <w:szCs w:val="24"/>
        </w:rPr>
        <w:t xml:space="preserve">to </w:t>
      </w:r>
      <w:r w:rsidR="00016A7D" w:rsidRPr="00CE31FD">
        <w:rPr>
          <w:szCs w:val="24"/>
        </w:rPr>
        <w:t>social housing</w:t>
      </w:r>
      <w:r w:rsidR="00C94EF8" w:rsidRPr="00CE31FD">
        <w:rPr>
          <w:szCs w:val="24"/>
        </w:rPr>
        <w:t xml:space="preserve"> </w:t>
      </w:r>
      <w:r w:rsidR="00DC53F8" w:rsidRPr="00CE31FD">
        <w:rPr>
          <w:szCs w:val="24"/>
        </w:rPr>
        <w:t xml:space="preserve">allocation </w:t>
      </w:r>
      <w:r w:rsidR="00FB1002" w:rsidRPr="00CE31FD">
        <w:rPr>
          <w:szCs w:val="24"/>
        </w:rPr>
        <w:t xml:space="preserve">in NI </w:t>
      </w:r>
      <w:r w:rsidR="00DC53F8" w:rsidRPr="00CE31FD">
        <w:rPr>
          <w:szCs w:val="24"/>
        </w:rPr>
        <w:t xml:space="preserve">relating to paramilitary </w:t>
      </w:r>
      <w:r w:rsidR="00E57AA7" w:rsidRPr="00CE31FD">
        <w:rPr>
          <w:szCs w:val="24"/>
        </w:rPr>
        <w:t>intimidation</w:t>
      </w:r>
      <w:r w:rsidR="00016A7D" w:rsidRPr="00CE31FD">
        <w:rPr>
          <w:szCs w:val="24"/>
        </w:rPr>
        <w:t xml:space="preserve"> </w:t>
      </w:r>
      <w:r w:rsidR="00E039FF" w:rsidRPr="00CE31FD">
        <w:rPr>
          <w:szCs w:val="24"/>
        </w:rPr>
        <w:t xml:space="preserve">is affected where </w:t>
      </w:r>
      <w:r w:rsidR="00895BDB" w:rsidRPr="00895BDB">
        <w:t xml:space="preserve">the perpetrator has a connection to a paramilitary organisation, </w:t>
      </w:r>
      <w:r w:rsidR="002243CA">
        <w:t xml:space="preserve">as </w:t>
      </w:r>
      <w:r w:rsidR="00895BDB" w:rsidRPr="00895BDB">
        <w:t>the leadership will deny the intimidat</w:t>
      </w:r>
      <w:r w:rsidR="00895BDB">
        <w:t>ion</w:t>
      </w:r>
      <w:r w:rsidR="00E57AA7">
        <w:t>.</w:t>
      </w:r>
      <w:r w:rsidR="00E57AA7">
        <w:rPr>
          <w:rStyle w:val="FootnoteReference"/>
        </w:rPr>
        <w:footnoteReference w:id="28"/>
      </w:r>
      <w:r w:rsidR="0001062C">
        <w:t xml:space="preserve"> </w:t>
      </w:r>
      <w:r w:rsidR="00B04DD6">
        <w:t>Many</w:t>
      </w:r>
      <w:r w:rsidR="0001062C" w:rsidRPr="00CE31FD">
        <w:rPr>
          <w:szCs w:val="24"/>
        </w:rPr>
        <w:t xml:space="preserve"> social housing estates </w:t>
      </w:r>
      <w:r w:rsidR="00B04DD6" w:rsidRPr="00CE31FD">
        <w:rPr>
          <w:szCs w:val="24"/>
        </w:rPr>
        <w:t>are</w:t>
      </w:r>
      <w:r w:rsidR="0001062C" w:rsidRPr="00CE31FD">
        <w:rPr>
          <w:szCs w:val="24"/>
        </w:rPr>
        <w:t xml:space="preserve"> segregated and </w:t>
      </w:r>
      <w:proofErr w:type="gramStart"/>
      <w:r w:rsidR="0001062C" w:rsidRPr="00CE31FD">
        <w:rPr>
          <w:szCs w:val="24"/>
        </w:rPr>
        <w:t>paramilitary-controlled</w:t>
      </w:r>
      <w:proofErr w:type="gramEnd"/>
      <w:r w:rsidR="00FE5738" w:rsidRPr="00CE31FD">
        <w:rPr>
          <w:szCs w:val="24"/>
        </w:rPr>
        <w:t>.</w:t>
      </w:r>
      <w:r w:rsidR="000E7A3A">
        <w:rPr>
          <w:rStyle w:val="FootnoteReference"/>
          <w:szCs w:val="24"/>
        </w:rPr>
        <w:footnoteReference w:id="29"/>
      </w:r>
      <w:r w:rsidR="0001062C" w:rsidRPr="00CE31FD">
        <w:rPr>
          <w:szCs w:val="24"/>
        </w:rPr>
        <w:t xml:space="preserve"> </w:t>
      </w:r>
      <w:r w:rsidR="00FE5738" w:rsidRPr="00CE31FD">
        <w:rPr>
          <w:szCs w:val="24"/>
        </w:rPr>
        <w:t>W</w:t>
      </w:r>
      <w:r w:rsidR="0001062C" w:rsidRPr="00CE31FD">
        <w:rPr>
          <w:szCs w:val="24"/>
        </w:rPr>
        <w:t>omen can often be placed on housing lists for years awaiting safe accommodation.</w:t>
      </w:r>
      <w:r w:rsidR="0001062C">
        <w:rPr>
          <w:rStyle w:val="FootnoteReference"/>
          <w:szCs w:val="24"/>
        </w:rPr>
        <w:footnoteReference w:id="30"/>
      </w:r>
    </w:p>
    <w:p w14:paraId="694004A7" w14:textId="77777777" w:rsidR="00CE31FD" w:rsidRPr="00CE31FD" w:rsidRDefault="00CE31FD" w:rsidP="00CE31FD">
      <w:pPr>
        <w:pStyle w:val="ListParagraph"/>
        <w:rPr>
          <w:szCs w:val="24"/>
        </w:rPr>
      </w:pPr>
    </w:p>
    <w:p w14:paraId="1D20D213" w14:textId="77777777" w:rsidR="00CE31FD" w:rsidRDefault="00B2558D" w:rsidP="00CE31FD">
      <w:pPr>
        <w:pStyle w:val="ListParagraph"/>
        <w:numPr>
          <w:ilvl w:val="1"/>
          <w:numId w:val="12"/>
        </w:numPr>
        <w:ind w:left="709"/>
        <w:rPr>
          <w:szCs w:val="24"/>
        </w:rPr>
      </w:pPr>
      <w:r w:rsidRPr="00CE31FD">
        <w:rPr>
          <w:szCs w:val="24"/>
        </w:rPr>
        <w:t>Personal debt is higher in NI than other parts of the UK,</w:t>
      </w:r>
      <w:r w:rsidRPr="00FB1002">
        <w:rPr>
          <w:rStyle w:val="FootnoteReference"/>
          <w:szCs w:val="24"/>
        </w:rPr>
        <w:footnoteReference w:id="31"/>
      </w:r>
      <w:r w:rsidR="003006A9" w:rsidRPr="00CE31FD">
        <w:rPr>
          <w:szCs w:val="24"/>
        </w:rPr>
        <w:t xml:space="preserve"> which raises concerns regarding debt vulnerability for individuals in receipt of social security, particularly women.</w:t>
      </w:r>
      <w:r w:rsidR="003006A9" w:rsidRPr="00FB1002">
        <w:rPr>
          <w:rStyle w:val="FootnoteReference"/>
          <w:szCs w:val="24"/>
        </w:rPr>
        <w:footnoteReference w:id="32"/>
      </w:r>
      <w:r w:rsidR="00031444" w:rsidRPr="00CE31FD">
        <w:rPr>
          <w:szCs w:val="24"/>
        </w:rPr>
        <w:t xml:space="preserve"> In NI, this has an added dimension with paramilitary groups often operating as illegal lenders.</w:t>
      </w:r>
      <w:r w:rsidR="00031444" w:rsidRPr="00FB1002">
        <w:rPr>
          <w:rStyle w:val="FootnoteReference"/>
          <w:szCs w:val="24"/>
        </w:rPr>
        <w:footnoteReference w:id="33"/>
      </w:r>
    </w:p>
    <w:p w14:paraId="0F27F660" w14:textId="77777777" w:rsidR="00CE31FD" w:rsidRPr="00CE31FD" w:rsidRDefault="00CE31FD" w:rsidP="00CE31FD">
      <w:pPr>
        <w:pStyle w:val="ListParagraph"/>
        <w:rPr>
          <w:szCs w:val="24"/>
        </w:rPr>
      </w:pPr>
    </w:p>
    <w:p w14:paraId="27583EFF" w14:textId="77777777" w:rsidR="00CE31FD" w:rsidRDefault="00B8022E" w:rsidP="00CE31FD">
      <w:pPr>
        <w:pStyle w:val="ListParagraph"/>
        <w:numPr>
          <w:ilvl w:val="1"/>
          <w:numId w:val="12"/>
        </w:numPr>
        <w:ind w:left="709"/>
        <w:rPr>
          <w:szCs w:val="24"/>
        </w:rPr>
      </w:pPr>
      <w:r w:rsidRPr="00CE31FD">
        <w:rPr>
          <w:szCs w:val="24"/>
        </w:rPr>
        <w:t>Additionally, paramilitary intimidation can dissuade women and women’s groups in NI from participating in public and political life, including peace initiatives.</w:t>
      </w:r>
      <w:r w:rsidRPr="006E0B51">
        <w:rPr>
          <w:rStyle w:val="FootnoteReference"/>
          <w:szCs w:val="24"/>
        </w:rPr>
        <w:footnoteReference w:id="34"/>
      </w:r>
    </w:p>
    <w:p w14:paraId="7F757641" w14:textId="77777777" w:rsidR="00CE31FD" w:rsidRPr="00CE31FD" w:rsidRDefault="00CE31FD" w:rsidP="00CE31FD">
      <w:pPr>
        <w:pStyle w:val="ListParagraph"/>
        <w:rPr>
          <w:b/>
          <w:bCs/>
          <w:szCs w:val="24"/>
        </w:rPr>
      </w:pPr>
    </w:p>
    <w:p w14:paraId="761D758E" w14:textId="7FE24AB0" w:rsidR="000F2A20" w:rsidRPr="00CE31FD" w:rsidRDefault="000F2A20" w:rsidP="00CE31FD">
      <w:pPr>
        <w:pStyle w:val="ListParagraph"/>
        <w:numPr>
          <w:ilvl w:val="1"/>
          <w:numId w:val="12"/>
        </w:numPr>
        <w:ind w:left="709"/>
        <w:rPr>
          <w:szCs w:val="24"/>
        </w:rPr>
      </w:pPr>
      <w:r w:rsidRPr="00CE31FD">
        <w:rPr>
          <w:b/>
          <w:bCs/>
          <w:szCs w:val="24"/>
        </w:rPr>
        <w:lastRenderedPageBreak/>
        <w:t xml:space="preserve">The </w:t>
      </w:r>
      <w:r w:rsidR="00D24634" w:rsidRPr="00CE31FD">
        <w:rPr>
          <w:b/>
          <w:bCs/>
          <w:szCs w:val="24"/>
        </w:rPr>
        <w:t>NIHRC recommends that</w:t>
      </w:r>
      <w:r w:rsidRPr="00CE31FD">
        <w:rPr>
          <w:b/>
          <w:bCs/>
          <w:szCs w:val="24"/>
        </w:rPr>
        <w:t xml:space="preserve"> the UK Government and NI Executive </w:t>
      </w:r>
      <w:r w:rsidR="00C40D7E" w:rsidRPr="00CE31FD">
        <w:rPr>
          <w:b/>
          <w:bCs/>
          <w:szCs w:val="24"/>
        </w:rPr>
        <w:t xml:space="preserve">take effective steps to </w:t>
      </w:r>
      <w:r w:rsidRPr="00CE31FD">
        <w:rPr>
          <w:b/>
          <w:bCs/>
          <w:szCs w:val="24"/>
        </w:rPr>
        <w:t>consider the specific gendered effect of paramilitarism in NI when implementing programmes to tackle the issue, particularly its effect on women and girls that are victims and survivors of violence and domestic abuse.</w:t>
      </w:r>
    </w:p>
    <w:p w14:paraId="2C60181F" w14:textId="77777777" w:rsidR="00596873" w:rsidRPr="00596873" w:rsidRDefault="00596873">
      <w:pPr>
        <w:rPr>
          <w:szCs w:val="24"/>
        </w:rPr>
      </w:pPr>
    </w:p>
    <w:p w14:paraId="7D6DD82A" w14:textId="3BD3425F" w:rsidR="00F422FF" w:rsidRDefault="00CE31FD" w:rsidP="00155A82">
      <w:pPr>
        <w:pStyle w:val="Heading2"/>
        <w:ind w:left="720" w:hanging="720"/>
      </w:pPr>
      <w:bookmarkStart w:id="9" w:name="_Toc158364484"/>
      <w:r>
        <w:t>9.0</w:t>
      </w:r>
      <w:r>
        <w:tab/>
      </w:r>
      <w:r w:rsidR="00F422FF" w:rsidRPr="00866199">
        <w:t xml:space="preserve">Family </w:t>
      </w:r>
      <w:r>
        <w:t>C</w:t>
      </w:r>
      <w:r w:rsidR="00F422FF" w:rsidRPr="00866199">
        <w:t>ourts</w:t>
      </w:r>
      <w:bookmarkEnd w:id="9"/>
    </w:p>
    <w:p w14:paraId="697FE58C" w14:textId="77777777" w:rsidR="00CE31FD" w:rsidRPr="00CE31FD" w:rsidRDefault="00CE31FD" w:rsidP="00CE31FD">
      <w:pPr>
        <w:pStyle w:val="ListParagraph"/>
        <w:numPr>
          <w:ilvl w:val="0"/>
          <w:numId w:val="13"/>
        </w:numPr>
        <w:rPr>
          <w:vanish/>
          <w:szCs w:val="24"/>
        </w:rPr>
      </w:pPr>
    </w:p>
    <w:p w14:paraId="19CFA568" w14:textId="77777777" w:rsidR="00CE31FD" w:rsidRPr="00CE31FD" w:rsidRDefault="00CE31FD" w:rsidP="00CE31FD">
      <w:pPr>
        <w:pStyle w:val="ListParagraph"/>
        <w:numPr>
          <w:ilvl w:val="0"/>
          <w:numId w:val="13"/>
        </w:numPr>
        <w:rPr>
          <w:vanish/>
          <w:szCs w:val="24"/>
        </w:rPr>
      </w:pPr>
    </w:p>
    <w:p w14:paraId="55A7A9A5" w14:textId="77777777" w:rsidR="00CE31FD" w:rsidRPr="00CE31FD" w:rsidRDefault="00CE31FD" w:rsidP="00CE31FD">
      <w:pPr>
        <w:pStyle w:val="ListParagraph"/>
        <w:numPr>
          <w:ilvl w:val="0"/>
          <w:numId w:val="13"/>
        </w:numPr>
        <w:rPr>
          <w:vanish/>
          <w:szCs w:val="24"/>
        </w:rPr>
      </w:pPr>
    </w:p>
    <w:p w14:paraId="2B6D9DEF" w14:textId="77777777" w:rsidR="00CE31FD" w:rsidRPr="00CE31FD" w:rsidRDefault="00CE31FD" w:rsidP="00CE31FD">
      <w:pPr>
        <w:pStyle w:val="ListParagraph"/>
        <w:numPr>
          <w:ilvl w:val="0"/>
          <w:numId w:val="13"/>
        </w:numPr>
        <w:rPr>
          <w:vanish/>
          <w:szCs w:val="24"/>
        </w:rPr>
      </w:pPr>
    </w:p>
    <w:p w14:paraId="5A37FE66" w14:textId="77777777" w:rsidR="00CE31FD" w:rsidRPr="00CE31FD" w:rsidRDefault="00CE31FD" w:rsidP="00CE31FD">
      <w:pPr>
        <w:pStyle w:val="ListParagraph"/>
        <w:numPr>
          <w:ilvl w:val="0"/>
          <w:numId w:val="13"/>
        </w:numPr>
        <w:rPr>
          <w:vanish/>
          <w:szCs w:val="24"/>
        </w:rPr>
      </w:pPr>
    </w:p>
    <w:p w14:paraId="52E108FB" w14:textId="77777777" w:rsidR="00CE31FD" w:rsidRPr="00CE31FD" w:rsidRDefault="00CE31FD" w:rsidP="00CE31FD">
      <w:pPr>
        <w:pStyle w:val="ListParagraph"/>
        <w:numPr>
          <w:ilvl w:val="0"/>
          <w:numId w:val="13"/>
        </w:numPr>
        <w:rPr>
          <w:vanish/>
          <w:szCs w:val="24"/>
        </w:rPr>
      </w:pPr>
    </w:p>
    <w:p w14:paraId="26BE4533" w14:textId="77777777" w:rsidR="00CE31FD" w:rsidRPr="00CE31FD" w:rsidRDefault="00CE31FD" w:rsidP="00CE31FD">
      <w:pPr>
        <w:pStyle w:val="ListParagraph"/>
        <w:numPr>
          <w:ilvl w:val="0"/>
          <w:numId w:val="13"/>
        </w:numPr>
        <w:rPr>
          <w:vanish/>
          <w:szCs w:val="24"/>
        </w:rPr>
      </w:pPr>
    </w:p>
    <w:p w14:paraId="592EB67F" w14:textId="77777777" w:rsidR="00CE31FD" w:rsidRPr="00CE31FD" w:rsidRDefault="00CE31FD" w:rsidP="00CE31FD">
      <w:pPr>
        <w:pStyle w:val="ListParagraph"/>
        <w:numPr>
          <w:ilvl w:val="0"/>
          <w:numId w:val="13"/>
        </w:numPr>
        <w:rPr>
          <w:vanish/>
          <w:szCs w:val="24"/>
        </w:rPr>
      </w:pPr>
    </w:p>
    <w:p w14:paraId="7D156D0A" w14:textId="77777777" w:rsidR="00CE31FD" w:rsidRPr="00CE31FD" w:rsidRDefault="00CE31FD" w:rsidP="00CE31FD">
      <w:pPr>
        <w:pStyle w:val="ListParagraph"/>
        <w:numPr>
          <w:ilvl w:val="0"/>
          <w:numId w:val="13"/>
        </w:numPr>
        <w:rPr>
          <w:vanish/>
          <w:szCs w:val="24"/>
        </w:rPr>
      </w:pPr>
    </w:p>
    <w:p w14:paraId="0A1A4999" w14:textId="321790A0" w:rsidR="00CE31FD" w:rsidRDefault="0097768B" w:rsidP="00CE31FD">
      <w:pPr>
        <w:pStyle w:val="ListParagraph"/>
        <w:numPr>
          <w:ilvl w:val="1"/>
          <w:numId w:val="13"/>
        </w:numPr>
        <w:ind w:left="709"/>
        <w:rPr>
          <w:szCs w:val="24"/>
        </w:rPr>
      </w:pPr>
      <w:r w:rsidRPr="00CE31FD">
        <w:rPr>
          <w:szCs w:val="24"/>
        </w:rPr>
        <w:t>T</w:t>
      </w:r>
      <w:r w:rsidR="00C76B9C" w:rsidRPr="00CE31FD">
        <w:rPr>
          <w:szCs w:val="24"/>
        </w:rPr>
        <w:t xml:space="preserve">he family court system in NI is </w:t>
      </w:r>
      <w:r w:rsidRPr="00CE31FD">
        <w:rPr>
          <w:szCs w:val="24"/>
        </w:rPr>
        <w:t xml:space="preserve">reportedly </w:t>
      </w:r>
      <w:r w:rsidR="00C76B9C" w:rsidRPr="00CE31FD">
        <w:rPr>
          <w:szCs w:val="24"/>
        </w:rPr>
        <w:t>being manipulated by abusers to continue to abuse victims and survivors, including through child contact arrangements.</w:t>
      </w:r>
      <w:r w:rsidR="004A705B">
        <w:rPr>
          <w:rStyle w:val="FootnoteReference"/>
          <w:szCs w:val="24"/>
        </w:rPr>
        <w:footnoteReference w:id="35"/>
      </w:r>
      <w:r w:rsidR="00C76B9C" w:rsidRPr="00CE31FD">
        <w:rPr>
          <w:szCs w:val="24"/>
        </w:rPr>
        <w:t xml:space="preserve"> </w:t>
      </w:r>
      <w:r w:rsidR="002D0974" w:rsidRPr="00CE31FD">
        <w:rPr>
          <w:szCs w:val="24"/>
        </w:rPr>
        <w:t>Continuous</w:t>
      </w:r>
      <w:r w:rsidR="00C76B9C" w:rsidRPr="00CE31FD">
        <w:rPr>
          <w:szCs w:val="24"/>
        </w:rPr>
        <w:t xml:space="preserve"> litigation through family courts in NI can be used to further perpetuate emotional and financial abuse, as women repeatedly </w:t>
      </w:r>
      <w:proofErr w:type="gramStart"/>
      <w:r w:rsidR="00C76B9C" w:rsidRPr="00CE31FD">
        <w:rPr>
          <w:szCs w:val="24"/>
        </w:rPr>
        <w:t>have to</w:t>
      </w:r>
      <w:proofErr w:type="gramEnd"/>
      <w:r w:rsidR="00C76B9C" w:rsidRPr="00CE31FD">
        <w:rPr>
          <w:szCs w:val="24"/>
        </w:rPr>
        <w:t xml:space="preserve"> pay legal fees to be represented in proceedings.</w:t>
      </w:r>
      <w:r w:rsidR="003A3DC4">
        <w:rPr>
          <w:rStyle w:val="FootnoteReference"/>
          <w:szCs w:val="24"/>
        </w:rPr>
        <w:footnoteReference w:id="36"/>
      </w:r>
    </w:p>
    <w:p w14:paraId="1082A733" w14:textId="77777777" w:rsidR="00CE31FD" w:rsidRDefault="00CE31FD" w:rsidP="00CE31FD">
      <w:pPr>
        <w:pStyle w:val="ListParagraph"/>
        <w:ind w:left="709"/>
        <w:rPr>
          <w:szCs w:val="24"/>
        </w:rPr>
      </w:pPr>
    </w:p>
    <w:p w14:paraId="3CB506D1" w14:textId="0F21432A" w:rsidR="00884215" w:rsidRPr="00CE31FD" w:rsidRDefault="003A3DC4" w:rsidP="00CE31FD">
      <w:pPr>
        <w:pStyle w:val="ListParagraph"/>
        <w:numPr>
          <w:ilvl w:val="1"/>
          <w:numId w:val="13"/>
        </w:numPr>
        <w:ind w:left="709"/>
        <w:rPr>
          <w:szCs w:val="24"/>
        </w:rPr>
      </w:pPr>
      <w:r w:rsidRPr="00CE31FD">
        <w:rPr>
          <w:b/>
          <w:bCs/>
          <w:szCs w:val="24"/>
        </w:rPr>
        <w:t>Th</w:t>
      </w:r>
      <w:r w:rsidR="00FD54FE" w:rsidRPr="00CE31FD">
        <w:rPr>
          <w:b/>
          <w:bCs/>
          <w:szCs w:val="24"/>
        </w:rPr>
        <w:t>e NIHRC recommends that</w:t>
      </w:r>
      <w:r w:rsidRPr="00CE31FD">
        <w:rPr>
          <w:b/>
          <w:bCs/>
          <w:szCs w:val="24"/>
        </w:rPr>
        <w:t xml:space="preserve"> the UK Government and NI Executive take effective steps to ensure that the court process </w:t>
      </w:r>
      <w:r w:rsidR="009F5656" w:rsidRPr="00CE31FD">
        <w:rPr>
          <w:b/>
          <w:bCs/>
          <w:szCs w:val="24"/>
        </w:rPr>
        <w:t>f</w:t>
      </w:r>
      <w:r w:rsidRPr="00CE31FD">
        <w:rPr>
          <w:b/>
          <w:bCs/>
          <w:szCs w:val="24"/>
        </w:rPr>
        <w:t xml:space="preserve">or child contact arrangements in NI are not being used to perpetrate domestic abuse. </w:t>
      </w:r>
    </w:p>
    <w:p w14:paraId="203EA396" w14:textId="77777777" w:rsidR="00884215" w:rsidRPr="003A3DC4" w:rsidRDefault="00884215">
      <w:pPr>
        <w:rPr>
          <w:b/>
          <w:bCs/>
          <w:szCs w:val="24"/>
        </w:rPr>
      </w:pPr>
    </w:p>
    <w:p w14:paraId="1F83C85F" w14:textId="2C571A0C" w:rsidR="0068552D" w:rsidRPr="00866199" w:rsidRDefault="00CE31FD" w:rsidP="00F15F92">
      <w:pPr>
        <w:pStyle w:val="Heading2"/>
        <w:ind w:left="851" w:hanging="851"/>
      </w:pPr>
      <w:bookmarkStart w:id="10" w:name="_Toc158364485"/>
      <w:r>
        <w:t>10.0</w:t>
      </w:r>
      <w:r w:rsidR="00527234">
        <w:t xml:space="preserve"> </w:t>
      </w:r>
      <w:r w:rsidR="00D02D50" w:rsidRPr="00866199">
        <w:t xml:space="preserve">Migrant </w:t>
      </w:r>
      <w:r>
        <w:t>W</w:t>
      </w:r>
      <w:r w:rsidR="00D02D50" w:rsidRPr="00866199">
        <w:t>omen</w:t>
      </w:r>
      <w:bookmarkEnd w:id="10"/>
    </w:p>
    <w:p w14:paraId="3619B890" w14:textId="77777777" w:rsidR="00CE31FD" w:rsidRPr="00CE31FD" w:rsidRDefault="00CE31FD" w:rsidP="00CE31FD">
      <w:pPr>
        <w:pStyle w:val="ListParagraph"/>
        <w:numPr>
          <w:ilvl w:val="0"/>
          <w:numId w:val="14"/>
        </w:numPr>
        <w:rPr>
          <w:vanish/>
          <w:szCs w:val="24"/>
        </w:rPr>
      </w:pPr>
    </w:p>
    <w:p w14:paraId="52FA8BF1" w14:textId="77777777" w:rsidR="00CE31FD" w:rsidRPr="00CE31FD" w:rsidRDefault="00CE31FD" w:rsidP="00CE31FD">
      <w:pPr>
        <w:pStyle w:val="ListParagraph"/>
        <w:numPr>
          <w:ilvl w:val="0"/>
          <w:numId w:val="14"/>
        </w:numPr>
        <w:rPr>
          <w:vanish/>
          <w:szCs w:val="24"/>
        </w:rPr>
      </w:pPr>
    </w:p>
    <w:p w14:paraId="1580E505" w14:textId="77777777" w:rsidR="00CE31FD" w:rsidRPr="00CE31FD" w:rsidRDefault="00CE31FD" w:rsidP="00CE31FD">
      <w:pPr>
        <w:pStyle w:val="ListParagraph"/>
        <w:numPr>
          <w:ilvl w:val="0"/>
          <w:numId w:val="14"/>
        </w:numPr>
        <w:rPr>
          <w:vanish/>
          <w:szCs w:val="24"/>
        </w:rPr>
      </w:pPr>
    </w:p>
    <w:p w14:paraId="55659680" w14:textId="77777777" w:rsidR="00CE31FD" w:rsidRPr="00CE31FD" w:rsidRDefault="00CE31FD" w:rsidP="00CE31FD">
      <w:pPr>
        <w:pStyle w:val="ListParagraph"/>
        <w:numPr>
          <w:ilvl w:val="0"/>
          <w:numId w:val="14"/>
        </w:numPr>
        <w:rPr>
          <w:vanish/>
          <w:szCs w:val="24"/>
        </w:rPr>
      </w:pPr>
    </w:p>
    <w:p w14:paraId="31501C88" w14:textId="77777777" w:rsidR="00CE31FD" w:rsidRPr="00CE31FD" w:rsidRDefault="00CE31FD" w:rsidP="00CE31FD">
      <w:pPr>
        <w:pStyle w:val="ListParagraph"/>
        <w:numPr>
          <w:ilvl w:val="0"/>
          <w:numId w:val="14"/>
        </w:numPr>
        <w:rPr>
          <w:vanish/>
          <w:szCs w:val="24"/>
        </w:rPr>
      </w:pPr>
    </w:p>
    <w:p w14:paraId="24743975" w14:textId="77777777" w:rsidR="00CE31FD" w:rsidRPr="00CE31FD" w:rsidRDefault="00CE31FD" w:rsidP="00CE31FD">
      <w:pPr>
        <w:pStyle w:val="ListParagraph"/>
        <w:numPr>
          <w:ilvl w:val="0"/>
          <w:numId w:val="14"/>
        </w:numPr>
        <w:rPr>
          <w:vanish/>
          <w:szCs w:val="24"/>
        </w:rPr>
      </w:pPr>
    </w:p>
    <w:p w14:paraId="6B47A52C" w14:textId="77777777" w:rsidR="00CE31FD" w:rsidRPr="00CE31FD" w:rsidRDefault="00CE31FD" w:rsidP="00CE31FD">
      <w:pPr>
        <w:pStyle w:val="ListParagraph"/>
        <w:numPr>
          <w:ilvl w:val="0"/>
          <w:numId w:val="14"/>
        </w:numPr>
        <w:rPr>
          <w:vanish/>
          <w:szCs w:val="24"/>
        </w:rPr>
      </w:pPr>
    </w:p>
    <w:p w14:paraId="1546C304" w14:textId="77777777" w:rsidR="00CE31FD" w:rsidRPr="00CE31FD" w:rsidRDefault="00CE31FD" w:rsidP="00CE31FD">
      <w:pPr>
        <w:pStyle w:val="ListParagraph"/>
        <w:numPr>
          <w:ilvl w:val="0"/>
          <w:numId w:val="14"/>
        </w:numPr>
        <w:rPr>
          <w:vanish/>
          <w:szCs w:val="24"/>
        </w:rPr>
      </w:pPr>
    </w:p>
    <w:p w14:paraId="57185B8A" w14:textId="77777777" w:rsidR="00CE31FD" w:rsidRPr="00CE31FD" w:rsidRDefault="00CE31FD" w:rsidP="00CE31FD">
      <w:pPr>
        <w:pStyle w:val="ListParagraph"/>
        <w:numPr>
          <w:ilvl w:val="0"/>
          <w:numId w:val="14"/>
        </w:numPr>
        <w:rPr>
          <w:vanish/>
          <w:szCs w:val="24"/>
        </w:rPr>
      </w:pPr>
    </w:p>
    <w:p w14:paraId="328D8212" w14:textId="77777777" w:rsidR="00CE31FD" w:rsidRPr="00CE31FD" w:rsidRDefault="00CE31FD" w:rsidP="00CE31FD">
      <w:pPr>
        <w:pStyle w:val="ListParagraph"/>
        <w:numPr>
          <w:ilvl w:val="0"/>
          <w:numId w:val="14"/>
        </w:numPr>
        <w:rPr>
          <w:vanish/>
          <w:szCs w:val="24"/>
        </w:rPr>
      </w:pPr>
    </w:p>
    <w:p w14:paraId="10C4CE56" w14:textId="77777777" w:rsidR="00CE31FD" w:rsidRDefault="00D02D50" w:rsidP="00CE31FD">
      <w:pPr>
        <w:pStyle w:val="ListParagraph"/>
        <w:numPr>
          <w:ilvl w:val="1"/>
          <w:numId w:val="14"/>
        </w:numPr>
        <w:ind w:left="709"/>
        <w:rPr>
          <w:szCs w:val="24"/>
        </w:rPr>
      </w:pPr>
      <w:r w:rsidRPr="00CE31FD">
        <w:rPr>
          <w:szCs w:val="24"/>
        </w:rPr>
        <w:t>Migrant women in domestic abuse situations in NI may be unable to or fear seeking help due to having precarious residence status in the UK, or being under the impression that they are in such a situation.</w:t>
      </w:r>
      <w:r w:rsidRPr="0002278B">
        <w:rPr>
          <w:rStyle w:val="FootnoteReference"/>
          <w:szCs w:val="24"/>
        </w:rPr>
        <w:footnoteReference w:id="37"/>
      </w:r>
      <w:r w:rsidRPr="00CE31FD">
        <w:rPr>
          <w:szCs w:val="24"/>
        </w:rPr>
        <w:t xml:space="preserve"> </w:t>
      </w:r>
      <w:r w:rsidR="0002278B" w:rsidRPr="00CE31FD">
        <w:rPr>
          <w:szCs w:val="24"/>
        </w:rPr>
        <w:t>Migrant women in NI with no recourse to public funds continue to face barriers to accessing support, including refuge support.</w:t>
      </w:r>
      <w:r w:rsidR="0002278B" w:rsidRPr="0002278B">
        <w:rPr>
          <w:rStyle w:val="FootnoteReference"/>
          <w:szCs w:val="24"/>
        </w:rPr>
        <w:footnoteReference w:id="38"/>
      </w:r>
    </w:p>
    <w:p w14:paraId="36ACEE4C" w14:textId="77777777" w:rsidR="00CE31FD" w:rsidRDefault="00CE31FD" w:rsidP="00CE31FD">
      <w:pPr>
        <w:pStyle w:val="ListParagraph"/>
        <w:ind w:left="709"/>
        <w:rPr>
          <w:szCs w:val="24"/>
        </w:rPr>
      </w:pPr>
    </w:p>
    <w:p w14:paraId="5223BBB9" w14:textId="4425DCAE" w:rsidR="00CE31FD" w:rsidRDefault="0002278B" w:rsidP="00CE31FD">
      <w:pPr>
        <w:pStyle w:val="ListParagraph"/>
        <w:numPr>
          <w:ilvl w:val="1"/>
          <w:numId w:val="14"/>
        </w:numPr>
        <w:ind w:left="709"/>
        <w:rPr>
          <w:szCs w:val="24"/>
        </w:rPr>
      </w:pPr>
      <w:r w:rsidRPr="00CE31FD">
        <w:rPr>
          <w:szCs w:val="24"/>
        </w:rPr>
        <w:t>Migrant victims</w:t>
      </w:r>
      <w:r w:rsidR="00D02D50" w:rsidRPr="00CE31FD">
        <w:rPr>
          <w:szCs w:val="24"/>
        </w:rPr>
        <w:t xml:space="preserve"> of domestic abuse can apply for the Destitution Domestic Violence Concession, offering an initial three</w:t>
      </w:r>
      <w:r w:rsidR="00E01872" w:rsidRPr="00CE31FD">
        <w:rPr>
          <w:szCs w:val="24"/>
        </w:rPr>
        <w:t>-</w:t>
      </w:r>
      <w:r w:rsidR="00D02D50" w:rsidRPr="00CE31FD">
        <w:rPr>
          <w:szCs w:val="24"/>
        </w:rPr>
        <w:t>month visa</w:t>
      </w:r>
      <w:r w:rsidRPr="00CE31FD">
        <w:rPr>
          <w:szCs w:val="24"/>
        </w:rPr>
        <w:t xml:space="preserve">, allowing successful applicants access to benefits and to apply for </w:t>
      </w:r>
      <w:r w:rsidRPr="00CE31FD">
        <w:rPr>
          <w:szCs w:val="24"/>
        </w:rPr>
        <w:lastRenderedPageBreak/>
        <w:t>leave to remain.</w:t>
      </w:r>
      <w:r w:rsidRPr="0002278B">
        <w:rPr>
          <w:rStyle w:val="FootnoteReference"/>
          <w:szCs w:val="24"/>
        </w:rPr>
        <w:footnoteReference w:id="39"/>
      </w:r>
      <w:r w:rsidRPr="00CE31FD">
        <w:rPr>
          <w:szCs w:val="24"/>
        </w:rPr>
        <w:t xml:space="preserve"> However, this is </w:t>
      </w:r>
      <w:r w:rsidR="00E613D1" w:rsidRPr="00CE31FD">
        <w:rPr>
          <w:szCs w:val="24"/>
        </w:rPr>
        <w:t xml:space="preserve">reportedly </w:t>
      </w:r>
      <w:r w:rsidRPr="00CE31FD">
        <w:rPr>
          <w:szCs w:val="24"/>
        </w:rPr>
        <w:t>not enough time to make a second application</w:t>
      </w:r>
      <w:r w:rsidR="00D02D50" w:rsidRPr="00CE31FD">
        <w:rPr>
          <w:szCs w:val="24"/>
        </w:rPr>
        <w:t>.</w:t>
      </w:r>
      <w:r w:rsidR="00D02D50" w:rsidRPr="0002278B">
        <w:rPr>
          <w:rStyle w:val="FootnoteReference"/>
          <w:szCs w:val="24"/>
        </w:rPr>
        <w:footnoteReference w:id="40"/>
      </w:r>
    </w:p>
    <w:p w14:paraId="3FE57F93" w14:textId="77777777" w:rsidR="00CE31FD" w:rsidRPr="00CE31FD" w:rsidRDefault="00CE31FD" w:rsidP="00CE31FD">
      <w:pPr>
        <w:pStyle w:val="ListParagraph"/>
        <w:rPr>
          <w:szCs w:val="24"/>
        </w:rPr>
      </w:pPr>
    </w:p>
    <w:p w14:paraId="74F26381" w14:textId="580B1DD2" w:rsidR="00CE31FD" w:rsidRDefault="0002278B" w:rsidP="0050437F">
      <w:pPr>
        <w:pStyle w:val="ListParagraph"/>
        <w:numPr>
          <w:ilvl w:val="1"/>
          <w:numId w:val="14"/>
        </w:numPr>
        <w:ind w:left="709"/>
        <w:rPr>
          <w:szCs w:val="24"/>
        </w:rPr>
      </w:pPr>
      <w:r w:rsidRPr="00CE31FD">
        <w:rPr>
          <w:szCs w:val="24"/>
        </w:rPr>
        <w:t xml:space="preserve">The UK Government has a reservation </w:t>
      </w:r>
      <w:r w:rsidR="00D54CC2" w:rsidRPr="00CE31FD">
        <w:rPr>
          <w:szCs w:val="24"/>
        </w:rPr>
        <w:t>against</w:t>
      </w:r>
      <w:r w:rsidRPr="00CE31FD">
        <w:rPr>
          <w:szCs w:val="24"/>
        </w:rPr>
        <w:t xml:space="preserve"> Article 59 of the Istanbul Convention</w:t>
      </w:r>
      <w:r w:rsidR="00347609" w:rsidRPr="00CE31FD">
        <w:rPr>
          <w:szCs w:val="24"/>
        </w:rPr>
        <w:t>.</w:t>
      </w:r>
      <w:r w:rsidR="00347609">
        <w:rPr>
          <w:rStyle w:val="FootnoteReference"/>
          <w:szCs w:val="24"/>
        </w:rPr>
        <w:footnoteReference w:id="41"/>
      </w:r>
      <w:r w:rsidR="008A3A2C" w:rsidRPr="00CE31FD">
        <w:rPr>
          <w:szCs w:val="24"/>
        </w:rPr>
        <w:t xml:space="preserve"> </w:t>
      </w:r>
    </w:p>
    <w:p w14:paraId="11E03657" w14:textId="77777777" w:rsidR="00CE31FD" w:rsidRPr="00CE31FD" w:rsidRDefault="00CE31FD" w:rsidP="00CE31FD">
      <w:pPr>
        <w:pStyle w:val="ListParagraph"/>
        <w:rPr>
          <w:b/>
          <w:bCs/>
          <w:szCs w:val="24"/>
        </w:rPr>
      </w:pPr>
    </w:p>
    <w:p w14:paraId="197B82E1" w14:textId="57744ED2" w:rsidR="0002278B" w:rsidRPr="00CE31FD" w:rsidRDefault="0002278B" w:rsidP="0050437F">
      <w:pPr>
        <w:pStyle w:val="ListParagraph"/>
        <w:numPr>
          <w:ilvl w:val="1"/>
          <w:numId w:val="14"/>
        </w:numPr>
        <w:ind w:left="709"/>
        <w:rPr>
          <w:szCs w:val="24"/>
        </w:rPr>
      </w:pPr>
      <w:r w:rsidRPr="00CE31FD">
        <w:rPr>
          <w:b/>
          <w:bCs/>
          <w:szCs w:val="24"/>
        </w:rPr>
        <w:t xml:space="preserve">The </w:t>
      </w:r>
      <w:r w:rsidR="000146FB" w:rsidRPr="00CE31FD">
        <w:rPr>
          <w:b/>
          <w:bCs/>
          <w:szCs w:val="24"/>
        </w:rPr>
        <w:t>NIHRC recommends that</w:t>
      </w:r>
      <w:r w:rsidRPr="00CE31FD">
        <w:rPr>
          <w:b/>
          <w:bCs/>
          <w:szCs w:val="24"/>
        </w:rPr>
        <w:t xml:space="preserve"> the UK Government withdraw</w:t>
      </w:r>
      <w:r w:rsidR="000146FB" w:rsidRPr="00CE31FD">
        <w:rPr>
          <w:b/>
          <w:bCs/>
          <w:szCs w:val="24"/>
        </w:rPr>
        <w:t>s</w:t>
      </w:r>
      <w:r w:rsidRPr="00CE31FD">
        <w:rPr>
          <w:b/>
          <w:bCs/>
          <w:szCs w:val="24"/>
        </w:rPr>
        <w:t xml:space="preserve"> its reservation to Article 59 of the Istanbul Convention</w:t>
      </w:r>
      <w:r w:rsidR="0050437F" w:rsidRPr="00CE31FD">
        <w:rPr>
          <w:b/>
          <w:bCs/>
          <w:szCs w:val="24"/>
        </w:rPr>
        <w:t xml:space="preserve"> and ensures that specialised support for domestic and sexual violence and abuse in NI is available regardless of an individual’s immigration status.</w:t>
      </w:r>
    </w:p>
    <w:p w14:paraId="336874F2" w14:textId="77777777" w:rsidR="0002278B" w:rsidRPr="0002278B" w:rsidRDefault="0002278B">
      <w:pPr>
        <w:rPr>
          <w:szCs w:val="24"/>
        </w:rPr>
      </w:pPr>
    </w:p>
    <w:p w14:paraId="4CF65AC9" w14:textId="7C046A18" w:rsidR="0002278B" w:rsidRPr="00866199" w:rsidRDefault="00CE31FD" w:rsidP="00155A82">
      <w:pPr>
        <w:pStyle w:val="Heading2"/>
        <w:ind w:left="720" w:hanging="720"/>
      </w:pPr>
      <w:bookmarkStart w:id="11" w:name="_Toc158364486"/>
      <w:r>
        <w:t>11.0</w:t>
      </w:r>
      <w:r w:rsidR="00F86B93">
        <w:t xml:space="preserve"> </w:t>
      </w:r>
      <w:r w:rsidR="00C82DC1" w:rsidRPr="00866199">
        <w:t>W</w:t>
      </w:r>
      <w:r w:rsidR="0002278B" w:rsidRPr="00866199">
        <w:t>omen</w:t>
      </w:r>
      <w:r w:rsidR="00C82DC1" w:rsidRPr="00866199">
        <w:t xml:space="preserve"> </w:t>
      </w:r>
      <w:r>
        <w:t>S</w:t>
      </w:r>
      <w:r w:rsidR="00C82DC1" w:rsidRPr="00866199">
        <w:t xml:space="preserve">eeking </w:t>
      </w:r>
      <w:r>
        <w:t>A</w:t>
      </w:r>
      <w:r w:rsidR="00C82DC1" w:rsidRPr="00866199">
        <w:t>sylum</w:t>
      </w:r>
      <w:bookmarkEnd w:id="11"/>
    </w:p>
    <w:p w14:paraId="71CB3CA6" w14:textId="77777777" w:rsidR="00CE31FD" w:rsidRPr="00CE31FD" w:rsidRDefault="00CE31FD" w:rsidP="00CE31FD">
      <w:pPr>
        <w:pStyle w:val="ListParagraph"/>
        <w:numPr>
          <w:ilvl w:val="0"/>
          <w:numId w:val="15"/>
        </w:numPr>
        <w:rPr>
          <w:vanish/>
          <w:szCs w:val="24"/>
        </w:rPr>
      </w:pPr>
    </w:p>
    <w:p w14:paraId="3D433CF2" w14:textId="77777777" w:rsidR="00CE31FD" w:rsidRPr="00CE31FD" w:rsidRDefault="00CE31FD" w:rsidP="00CE31FD">
      <w:pPr>
        <w:pStyle w:val="ListParagraph"/>
        <w:numPr>
          <w:ilvl w:val="0"/>
          <w:numId w:val="15"/>
        </w:numPr>
        <w:rPr>
          <w:vanish/>
          <w:szCs w:val="24"/>
        </w:rPr>
      </w:pPr>
    </w:p>
    <w:p w14:paraId="45519AB6" w14:textId="77777777" w:rsidR="00CE31FD" w:rsidRPr="00CE31FD" w:rsidRDefault="00CE31FD" w:rsidP="00CE31FD">
      <w:pPr>
        <w:pStyle w:val="ListParagraph"/>
        <w:numPr>
          <w:ilvl w:val="0"/>
          <w:numId w:val="15"/>
        </w:numPr>
        <w:rPr>
          <w:vanish/>
          <w:szCs w:val="24"/>
        </w:rPr>
      </w:pPr>
    </w:p>
    <w:p w14:paraId="7E569EDB" w14:textId="77777777" w:rsidR="00CE31FD" w:rsidRPr="00CE31FD" w:rsidRDefault="00CE31FD" w:rsidP="00CE31FD">
      <w:pPr>
        <w:pStyle w:val="ListParagraph"/>
        <w:numPr>
          <w:ilvl w:val="0"/>
          <w:numId w:val="15"/>
        </w:numPr>
        <w:rPr>
          <w:vanish/>
          <w:szCs w:val="24"/>
        </w:rPr>
      </w:pPr>
    </w:p>
    <w:p w14:paraId="4C46BF23" w14:textId="77777777" w:rsidR="00CE31FD" w:rsidRPr="00CE31FD" w:rsidRDefault="00CE31FD" w:rsidP="00CE31FD">
      <w:pPr>
        <w:pStyle w:val="ListParagraph"/>
        <w:numPr>
          <w:ilvl w:val="0"/>
          <w:numId w:val="15"/>
        </w:numPr>
        <w:rPr>
          <w:vanish/>
          <w:szCs w:val="24"/>
        </w:rPr>
      </w:pPr>
    </w:p>
    <w:p w14:paraId="42C7C63F" w14:textId="77777777" w:rsidR="00CE31FD" w:rsidRPr="00CE31FD" w:rsidRDefault="00CE31FD" w:rsidP="00CE31FD">
      <w:pPr>
        <w:pStyle w:val="ListParagraph"/>
        <w:numPr>
          <w:ilvl w:val="0"/>
          <w:numId w:val="15"/>
        </w:numPr>
        <w:rPr>
          <w:vanish/>
          <w:szCs w:val="24"/>
        </w:rPr>
      </w:pPr>
    </w:p>
    <w:p w14:paraId="65C1FAB3" w14:textId="77777777" w:rsidR="00CE31FD" w:rsidRPr="00CE31FD" w:rsidRDefault="00CE31FD" w:rsidP="00CE31FD">
      <w:pPr>
        <w:pStyle w:val="ListParagraph"/>
        <w:numPr>
          <w:ilvl w:val="0"/>
          <w:numId w:val="15"/>
        </w:numPr>
        <w:rPr>
          <w:vanish/>
          <w:szCs w:val="24"/>
        </w:rPr>
      </w:pPr>
    </w:p>
    <w:p w14:paraId="7FD05BDB" w14:textId="77777777" w:rsidR="00CE31FD" w:rsidRPr="00CE31FD" w:rsidRDefault="00CE31FD" w:rsidP="00CE31FD">
      <w:pPr>
        <w:pStyle w:val="ListParagraph"/>
        <w:numPr>
          <w:ilvl w:val="0"/>
          <w:numId w:val="15"/>
        </w:numPr>
        <w:rPr>
          <w:vanish/>
          <w:szCs w:val="24"/>
        </w:rPr>
      </w:pPr>
    </w:p>
    <w:p w14:paraId="5AC0C8D4" w14:textId="77777777" w:rsidR="00CE31FD" w:rsidRPr="00CE31FD" w:rsidRDefault="00CE31FD" w:rsidP="00CE31FD">
      <w:pPr>
        <w:pStyle w:val="ListParagraph"/>
        <w:numPr>
          <w:ilvl w:val="0"/>
          <w:numId w:val="15"/>
        </w:numPr>
        <w:rPr>
          <w:vanish/>
          <w:szCs w:val="24"/>
        </w:rPr>
      </w:pPr>
    </w:p>
    <w:p w14:paraId="6A45E9EA" w14:textId="77777777" w:rsidR="00CE31FD" w:rsidRPr="00CE31FD" w:rsidRDefault="00CE31FD" w:rsidP="00CE31FD">
      <w:pPr>
        <w:pStyle w:val="ListParagraph"/>
        <w:numPr>
          <w:ilvl w:val="0"/>
          <w:numId w:val="15"/>
        </w:numPr>
        <w:rPr>
          <w:vanish/>
          <w:szCs w:val="24"/>
        </w:rPr>
      </w:pPr>
    </w:p>
    <w:p w14:paraId="7F22F384" w14:textId="77777777" w:rsidR="00CE31FD" w:rsidRPr="00CE31FD" w:rsidRDefault="00CE31FD" w:rsidP="00CE31FD">
      <w:pPr>
        <w:pStyle w:val="ListParagraph"/>
        <w:numPr>
          <w:ilvl w:val="0"/>
          <w:numId w:val="15"/>
        </w:numPr>
        <w:rPr>
          <w:vanish/>
          <w:szCs w:val="24"/>
        </w:rPr>
      </w:pPr>
    </w:p>
    <w:p w14:paraId="06CFB45D" w14:textId="08FA391D" w:rsidR="00CE31FD" w:rsidRDefault="00EC78AC" w:rsidP="00CE31FD">
      <w:pPr>
        <w:pStyle w:val="ListParagraph"/>
        <w:numPr>
          <w:ilvl w:val="1"/>
          <w:numId w:val="15"/>
        </w:numPr>
        <w:ind w:left="709"/>
        <w:rPr>
          <w:szCs w:val="24"/>
        </w:rPr>
      </w:pPr>
      <w:r w:rsidRPr="00CE31FD">
        <w:rPr>
          <w:szCs w:val="24"/>
        </w:rPr>
        <w:t xml:space="preserve">The Nationality and Borders Act 2022 has created a two-tier system of legal protections </w:t>
      </w:r>
      <w:r w:rsidR="008A3A2C" w:rsidRPr="00CE31FD">
        <w:rPr>
          <w:szCs w:val="24"/>
        </w:rPr>
        <w:t>that</w:t>
      </w:r>
      <w:r w:rsidRPr="00CE31FD">
        <w:rPr>
          <w:szCs w:val="24"/>
        </w:rPr>
        <w:t xml:space="preserve"> penalise</w:t>
      </w:r>
      <w:r w:rsidR="008A3A2C" w:rsidRPr="00CE31FD">
        <w:rPr>
          <w:szCs w:val="24"/>
        </w:rPr>
        <w:t>s</w:t>
      </w:r>
      <w:r w:rsidRPr="00CE31FD">
        <w:rPr>
          <w:szCs w:val="24"/>
        </w:rPr>
        <w:t xml:space="preserve"> individuals who arrive to the UK through unofficial routes.</w:t>
      </w:r>
      <w:r w:rsidRPr="00EC78AC">
        <w:rPr>
          <w:rStyle w:val="FootnoteReference"/>
          <w:szCs w:val="24"/>
        </w:rPr>
        <w:footnoteReference w:id="42"/>
      </w:r>
      <w:r w:rsidRPr="00CE31FD">
        <w:rPr>
          <w:szCs w:val="24"/>
        </w:rPr>
        <w:t xml:space="preserve"> </w:t>
      </w:r>
      <w:r w:rsidR="00037666" w:rsidRPr="00CE31FD">
        <w:rPr>
          <w:szCs w:val="24"/>
        </w:rPr>
        <w:t>Under the</w:t>
      </w:r>
      <w:r w:rsidRPr="00CE31FD">
        <w:rPr>
          <w:szCs w:val="24"/>
        </w:rPr>
        <w:t xml:space="preserve"> Illegal Migration Act 2023 </w:t>
      </w:r>
      <w:r w:rsidR="00037666" w:rsidRPr="00CE31FD">
        <w:rPr>
          <w:szCs w:val="24"/>
        </w:rPr>
        <w:t xml:space="preserve">women who arrive in NI via unofficial routes will be ineligible to </w:t>
      </w:r>
      <w:r w:rsidR="00C03B6D" w:rsidRPr="00CE31FD">
        <w:rPr>
          <w:szCs w:val="24"/>
        </w:rPr>
        <w:t>claim asylum</w:t>
      </w:r>
      <w:r w:rsidR="00037666" w:rsidRPr="00CE31FD">
        <w:rPr>
          <w:szCs w:val="24"/>
        </w:rPr>
        <w:t xml:space="preserve"> </w:t>
      </w:r>
      <w:r w:rsidR="00C03B6D" w:rsidRPr="00CE31FD">
        <w:rPr>
          <w:szCs w:val="24"/>
        </w:rPr>
        <w:t>based on</w:t>
      </w:r>
      <w:r w:rsidR="00037666" w:rsidRPr="00CE31FD">
        <w:rPr>
          <w:szCs w:val="24"/>
        </w:rPr>
        <w:t xml:space="preserve"> being victims of gender-based violence.</w:t>
      </w:r>
      <w:r w:rsidR="00037666">
        <w:rPr>
          <w:rStyle w:val="FootnoteReference"/>
          <w:szCs w:val="24"/>
        </w:rPr>
        <w:footnoteReference w:id="43"/>
      </w:r>
      <w:r w:rsidR="00037666" w:rsidRPr="00CE31FD">
        <w:rPr>
          <w:szCs w:val="24"/>
        </w:rPr>
        <w:t xml:space="preserve"> </w:t>
      </w:r>
    </w:p>
    <w:p w14:paraId="00A8DCDA" w14:textId="77777777" w:rsidR="00CE31FD" w:rsidRDefault="00CE31FD" w:rsidP="00CE31FD">
      <w:pPr>
        <w:pStyle w:val="ListParagraph"/>
        <w:ind w:left="709"/>
        <w:rPr>
          <w:szCs w:val="24"/>
        </w:rPr>
      </w:pPr>
    </w:p>
    <w:p w14:paraId="4D0CE882" w14:textId="225571B1" w:rsidR="00CE31FD" w:rsidRDefault="00921C05" w:rsidP="00CE31FD">
      <w:pPr>
        <w:pStyle w:val="ListParagraph"/>
        <w:numPr>
          <w:ilvl w:val="1"/>
          <w:numId w:val="15"/>
        </w:numPr>
        <w:ind w:left="709"/>
        <w:rPr>
          <w:szCs w:val="24"/>
        </w:rPr>
      </w:pPr>
      <w:r w:rsidRPr="00CE31FD">
        <w:rPr>
          <w:szCs w:val="24"/>
        </w:rPr>
        <w:t>The 2023 Act provides a limited right to defer a decision for removal</w:t>
      </w:r>
      <w:r w:rsidR="000C7297" w:rsidRPr="00CE31FD">
        <w:rPr>
          <w:szCs w:val="24"/>
        </w:rPr>
        <w:t xml:space="preserve"> in cases of “serious harm” or “factual” claims</w:t>
      </w:r>
      <w:r w:rsidRPr="00CE31FD">
        <w:rPr>
          <w:szCs w:val="24"/>
        </w:rPr>
        <w:t>.</w:t>
      </w:r>
      <w:r w:rsidRPr="00295BDC">
        <w:rPr>
          <w:rStyle w:val="FootnoteReference"/>
          <w:szCs w:val="24"/>
        </w:rPr>
        <w:footnoteReference w:id="44"/>
      </w:r>
      <w:r w:rsidR="00295BDC" w:rsidRPr="00CE31FD">
        <w:rPr>
          <w:szCs w:val="24"/>
        </w:rPr>
        <w:t xml:space="preserve"> The meaning of “serious and irreversible harm” </w:t>
      </w:r>
      <w:r w:rsidR="00615C38" w:rsidRPr="00CE31FD">
        <w:rPr>
          <w:szCs w:val="24"/>
        </w:rPr>
        <w:t xml:space="preserve">can be amended </w:t>
      </w:r>
      <w:r w:rsidR="004A5D64" w:rsidRPr="00CE31FD">
        <w:rPr>
          <w:szCs w:val="24"/>
        </w:rPr>
        <w:t>by the Secretary of State. T</w:t>
      </w:r>
      <w:r w:rsidR="004557EA" w:rsidRPr="00CE31FD">
        <w:rPr>
          <w:szCs w:val="24"/>
        </w:rPr>
        <w:t>his could potentially create a higher threshold which could be inconsistent with the principle of non-refoulement</w:t>
      </w:r>
      <w:r w:rsidR="00295BDC" w:rsidRPr="00CE31FD">
        <w:rPr>
          <w:szCs w:val="24"/>
        </w:rPr>
        <w:t>.</w:t>
      </w:r>
      <w:r w:rsidR="00295BDC" w:rsidRPr="004557EA">
        <w:rPr>
          <w:rStyle w:val="FootnoteReference"/>
          <w:szCs w:val="24"/>
        </w:rPr>
        <w:footnoteReference w:id="45"/>
      </w:r>
    </w:p>
    <w:p w14:paraId="37C094FE" w14:textId="77777777" w:rsidR="008D566D" w:rsidRPr="008D566D" w:rsidRDefault="008D566D" w:rsidP="008D566D">
      <w:pPr>
        <w:pStyle w:val="ListParagraph"/>
        <w:rPr>
          <w:szCs w:val="24"/>
        </w:rPr>
      </w:pPr>
    </w:p>
    <w:p w14:paraId="4A4442B9" w14:textId="05E42B66" w:rsidR="008D566D" w:rsidRDefault="008D566D" w:rsidP="00CE31FD">
      <w:pPr>
        <w:pStyle w:val="ListParagraph"/>
        <w:numPr>
          <w:ilvl w:val="1"/>
          <w:numId w:val="15"/>
        </w:numPr>
        <w:ind w:left="709"/>
        <w:rPr>
          <w:szCs w:val="24"/>
        </w:rPr>
      </w:pPr>
      <w:r w:rsidRPr="00B85204">
        <w:lastRenderedPageBreak/>
        <w:t>In September 2023, the NIHRC issued a judicial review arguing that the Illegal Migration Act 2023 is not compliant with the ECHR and Windsor Framework Article 2.</w:t>
      </w:r>
      <w:r>
        <w:rPr>
          <w:rStyle w:val="FootnoteReference"/>
        </w:rPr>
        <w:footnoteReference w:id="46"/>
      </w:r>
    </w:p>
    <w:p w14:paraId="0340B44C" w14:textId="77777777" w:rsidR="00CE31FD" w:rsidRPr="00CE31FD" w:rsidRDefault="00CE31FD" w:rsidP="00CE31FD">
      <w:pPr>
        <w:pStyle w:val="ListParagraph"/>
        <w:rPr>
          <w:b/>
          <w:bCs/>
          <w:szCs w:val="24"/>
        </w:rPr>
      </w:pPr>
    </w:p>
    <w:p w14:paraId="34D126DA" w14:textId="49A7FFCB" w:rsidR="00166FAC" w:rsidRPr="00CE31FD" w:rsidRDefault="00166FAC" w:rsidP="00CE31FD">
      <w:pPr>
        <w:pStyle w:val="ListParagraph"/>
        <w:numPr>
          <w:ilvl w:val="1"/>
          <w:numId w:val="15"/>
        </w:numPr>
        <w:ind w:left="709"/>
        <w:rPr>
          <w:szCs w:val="24"/>
        </w:rPr>
      </w:pPr>
      <w:r w:rsidRPr="00CE31FD">
        <w:rPr>
          <w:b/>
          <w:bCs/>
          <w:szCs w:val="24"/>
        </w:rPr>
        <w:t xml:space="preserve">The </w:t>
      </w:r>
      <w:r w:rsidR="000146FB" w:rsidRPr="00CE31FD">
        <w:rPr>
          <w:b/>
          <w:bCs/>
          <w:szCs w:val="24"/>
        </w:rPr>
        <w:t>NIHRC recommends that</w:t>
      </w:r>
      <w:r w:rsidRPr="00CE31FD">
        <w:rPr>
          <w:b/>
          <w:bCs/>
          <w:szCs w:val="24"/>
        </w:rPr>
        <w:t xml:space="preserve"> the UK Government </w:t>
      </w:r>
      <w:r w:rsidR="0084366E" w:rsidRPr="00CE31FD">
        <w:rPr>
          <w:b/>
          <w:bCs/>
          <w:szCs w:val="24"/>
        </w:rPr>
        <w:t>ensures</w:t>
      </w:r>
      <w:r w:rsidRPr="00CE31FD">
        <w:rPr>
          <w:b/>
          <w:bCs/>
          <w:szCs w:val="24"/>
        </w:rPr>
        <w:t xml:space="preserve"> that asylum law that applies in NI is human rights complaint, including with the principle of non-refoulment, and its obligations under Windsor Framework Article 2.</w:t>
      </w:r>
    </w:p>
    <w:p w14:paraId="58E0D9D9" w14:textId="77777777" w:rsidR="009C0E78" w:rsidRDefault="009C0E78" w:rsidP="009C0E78">
      <w:pPr>
        <w:rPr>
          <w:szCs w:val="24"/>
        </w:rPr>
      </w:pPr>
    </w:p>
    <w:p w14:paraId="69E45628" w14:textId="5C654E16" w:rsidR="009C0E78" w:rsidRPr="00866199" w:rsidRDefault="00CE31FD" w:rsidP="00155A82">
      <w:pPr>
        <w:pStyle w:val="Heading2"/>
        <w:ind w:left="720" w:hanging="720"/>
      </w:pPr>
      <w:bookmarkStart w:id="12" w:name="_Toc158364487"/>
      <w:r>
        <w:t>12.0</w:t>
      </w:r>
      <w:r w:rsidR="00F15F92">
        <w:t xml:space="preserve"> </w:t>
      </w:r>
      <w:r w:rsidR="009C0E78" w:rsidRPr="00866199">
        <w:t xml:space="preserve">Relationship and </w:t>
      </w:r>
      <w:r>
        <w:t>S</w:t>
      </w:r>
      <w:r w:rsidR="009C0E78" w:rsidRPr="00866199">
        <w:t xml:space="preserve">exuality </w:t>
      </w:r>
      <w:r>
        <w:t>E</w:t>
      </w:r>
      <w:r w:rsidR="009C0E78" w:rsidRPr="00866199">
        <w:t>ducation</w:t>
      </w:r>
      <w:bookmarkEnd w:id="12"/>
      <w:r w:rsidR="009C0E78" w:rsidRPr="00866199">
        <w:t xml:space="preserve"> </w:t>
      </w:r>
    </w:p>
    <w:p w14:paraId="3DB06B8B" w14:textId="77777777" w:rsidR="00CE31FD" w:rsidRPr="00CE31FD" w:rsidRDefault="00CE31FD" w:rsidP="00CE31FD">
      <w:pPr>
        <w:pStyle w:val="ListParagraph"/>
        <w:numPr>
          <w:ilvl w:val="0"/>
          <w:numId w:val="16"/>
        </w:numPr>
        <w:rPr>
          <w:vanish/>
          <w:szCs w:val="24"/>
        </w:rPr>
      </w:pPr>
    </w:p>
    <w:p w14:paraId="794E122E" w14:textId="77777777" w:rsidR="00CE31FD" w:rsidRPr="00CE31FD" w:rsidRDefault="00CE31FD" w:rsidP="00CE31FD">
      <w:pPr>
        <w:pStyle w:val="ListParagraph"/>
        <w:numPr>
          <w:ilvl w:val="0"/>
          <w:numId w:val="16"/>
        </w:numPr>
        <w:rPr>
          <w:vanish/>
          <w:szCs w:val="24"/>
        </w:rPr>
      </w:pPr>
    </w:p>
    <w:p w14:paraId="3228D797" w14:textId="77777777" w:rsidR="00CE31FD" w:rsidRPr="00CE31FD" w:rsidRDefault="00CE31FD" w:rsidP="00CE31FD">
      <w:pPr>
        <w:pStyle w:val="ListParagraph"/>
        <w:numPr>
          <w:ilvl w:val="0"/>
          <w:numId w:val="16"/>
        </w:numPr>
        <w:rPr>
          <w:vanish/>
          <w:szCs w:val="24"/>
        </w:rPr>
      </w:pPr>
    </w:p>
    <w:p w14:paraId="2B0155B6" w14:textId="77777777" w:rsidR="00CE31FD" w:rsidRPr="00CE31FD" w:rsidRDefault="00CE31FD" w:rsidP="00CE31FD">
      <w:pPr>
        <w:pStyle w:val="ListParagraph"/>
        <w:numPr>
          <w:ilvl w:val="0"/>
          <w:numId w:val="16"/>
        </w:numPr>
        <w:rPr>
          <w:vanish/>
          <w:szCs w:val="24"/>
        </w:rPr>
      </w:pPr>
    </w:p>
    <w:p w14:paraId="15B60500" w14:textId="77777777" w:rsidR="00CE31FD" w:rsidRPr="00CE31FD" w:rsidRDefault="00CE31FD" w:rsidP="00CE31FD">
      <w:pPr>
        <w:pStyle w:val="ListParagraph"/>
        <w:numPr>
          <w:ilvl w:val="0"/>
          <w:numId w:val="16"/>
        </w:numPr>
        <w:rPr>
          <w:vanish/>
          <w:szCs w:val="24"/>
        </w:rPr>
      </w:pPr>
    </w:p>
    <w:p w14:paraId="7CDFEBD9" w14:textId="77777777" w:rsidR="00CE31FD" w:rsidRPr="00CE31FD" w:rsidRDefault="00CE31FD" w:rsidP="00CE31FD">
      <w:pPr>
        <w:pStyle w:val="ListParagraph"/>
        <w:numPr>
          <w:ilvl w:val="0"/>
          <w:numId w:val="16"/>
        </w:numPr>
        <w:rPr>
          <w:vanish/>
          <w:szCs w:val="24"/>
        </w:rPr>
      </w:pPr>
    </w:p>
    <w:p w14:paraId="6B81EE84" w14:textId="77777777" w:rsidR="00CE31FD" w:rsidRPr="00CE31FD" w:rsidRDefault="00CE31FD" w:rsidP="00CE31FD">
      <w:pPr>
        <w:pStyle w:val="ListParagraph"/>
        <w:numPr>
          <w:ilvl w:val="0"/>
          <w:numId w:val="16"/>
        </w:numPr>
        <w:rPr>
          <w:vanish/>
          <w:szCs w:val="24"/>
        </w:rPr>
      </w:pPr>
    </w:p>
    <w:p w14:paraId="36942DD6" w14:textId="77777777" w:rsidR="00CE31FD" w:rsidRPr="00CE31FD" w:rsidRDefault="00CE31FD" w:rsidP="00CE31FD">
      <w:pPr>
        <w:pStyle w:val="ListParagraph"/>
        <w:numPr>
          <w:ilvl w:val="0"/>
          <w:numId w:val="16"/>
        </w:numPr>
        <w:rPr>
          <w:vanish/>
          <w:szCs w:val="24"/>
        </w:rPr>
      </w:pPr>
    </w:p>
    <w:p w14:paraId="74AAFF0B" w14:textId="77777777" w:rsidR="00CE31FD" w:rsidRPr="00CE31FD" w:rsidRDefault="00CE31FD" w:rsidP="00CE31FD">
      <w:pPr>
        <w:pStyle w:val="ListParagraph"/>
        <w:numPr>
          <w:ilvl w:val="0"/>
          <w:numId w:val="16"/>
        </w:numPr>
        <w:rPr>
          <w:vanish/>
          <w:szCs w:val="24"/>
        </w:rPr>
      </w:pPr>
    </w:p>
    <w:p w14:paraId="35287FEE" w14:textId="77777777" w:rsidR="00CE31FD" w:rsidRPr="00CE31FD" w:rsidRDefault="00CE31FD" w:rsidP="00CE31FD">
      <w:pPr>
        <w:pStyle w:val="ListParagraph"/>
        <w:numPr>
          <w:ilvl w:val="0"/>
          <w:numId w:val="16"/>
        </w:numPr>
        <w:rPr>
          <w:vanish/>
          <w:szCs w:val="24"/>
        </w:rPr>
      </w:pPr>
    </w:p>
    <w:p w14:paraId="1315A431" w14:textId="77777777" w:rsidR="00CE31FD" w:rsidRPr="00CE31FD" w:rsidRDefault="00CE31FD" w:rsidP="00CE31FD">
      <w:pPr>
        <w:pStyle w:val="ListParagraph"/>
        <w:numPr>
          <w:ilvl w:val="0"/>
          <w:numId w:val="16"/>
        </w:numPr>
        <w:rPr>
          <w:vanish/>
          <w:szCs w:val="24"/>
        </w:rPr>
      </w:pPr>
    </w:p>
    <w:p w14:paraId="3CC87BD4" w14:textId="77777777" w:rsidR="00CE31FD" w:rsidRPr="00CE31FD" w:rsidRDefault="00CE31FD" w:rsidP="00CE31FD">
      <w:pPr>
        <w:pStyle w:val="ListParagraph"/>
        <w:numPr>
          <w:ilvl w:val="0"/>
          <w:numId w:val="16"/>
        </w:numPr>
        <w:rPr>
          <w:vanish/>
          <w:szCs w:val="24"/>
        </w:rPr>
      </w:pPr>
    </w:p>
    <w:p w14:paraId="271ECC07" w14:textId="6107197E" w:rsidR="00CE31FD" w:rsidRPr="00CE31FD" w:rsidRDefault="000E2C49" w:rsidP="009C0E78">
      <w:pPr>
        <w:pStyle w:val="ListParagraph"/>
        <w:numPr>
          <w:ilvl w:val="1"/>
          <w:numId w:val="16"/>
        </w:numPr>
        <w:ind w:left="709"/>
        <w:rPr>
          <w:szCs w:val="24"/>
        </w:rPr>
      </w:pPr>
      <w:r>
        <w:rPr>
          <w:szCs w:val="24"/>
        </w:rPr>
        <w:t>T</w:t>
      </w:r>
      <w:r w:rsidR="0058393A" w:rsidRPr="00CE31FD">
        <w:rPr>
          <w:szCs w:val="24"/>
        </w:rPr>
        <w:t>he</w:t>
      </w:r>
      <w:r w:rsidR="009C0E78" w:rsidRPr="00CE31FD">
        <w:rPr>
          <w:szCs w:val="24"/>
        </w:rPr>
        <w:t xml:space="preserve"> NIHRC</w:t>
      </w:r>
      <w:r w:rsidR="0058393A" w:rsidRPr="00CE31FD">
        <w:rPr>
          <w:szCs w:val="24"/>
        </w:rPr>
        <w:t>'s</w:t>
      </w:r>
      <w:r w:rsidR="009C0E78" w:rsidRPr="00CE31FD">
        <w:rPr>
          <w:szCs w:val="24"/>
        </w:rPr>
        <w:t xml:space="preserve"> investigation into relationships and sexuality education in schools in NI found that there are some positive examples of post-primary schools providing comprehensive and scientifically accurate relationships and sexuality education.</w:t>
      </w:r>
      <w:r w:rsidR="0058393A" w:rsidRPr="009C0E78">
        <w:rPr>
          <w:vertAlign w:val="superscript"/>
        </w:rPr>
        <w:footnoteReference w:id="47"/>
      </w:r>
      <w:r w:rsidR="009C0E78" w:rsidRPr="00CE31FD">
        <w:rPr>
          <w:szCs w:val="24"/>
        </w:rPr>
        <w:t xml:space="preserve"> However, in most NI schools this is not the case, where resources are not always considered to be comprehensive, pluralistic and objective.</w:t>
      </w:r>
      <w:r w:rsidR="009C0E78" w:rsidRPr="009C0E78">
        <w:rPr>
          <w:vertAlign w:val="superscript"/>
        </w:rPr>
        <w:footnoteReference w:id="48"/>
      </w:r>
      <w:r w:rsidR="009C0E78" w:rsidRPr="00CE31FD">
        <w:rPr>
          <w:szCs w:val="24"/>
        </w:rPr>
        <w:t xml:space="preserve"> In relation to gender inequalities</w:t>
      </w:r>
      <w:r w:rsidR="00B560AA" w:rsidRPr="00CE31FD">
        <w:rPr>
          <w:szCs w:val="24"/>
        </w:rPr>
        <w:t xml:space="preserve">, </w:t>
      </w:r>
      <w:r w:rsidR="009C0E78" w:rsidRPr="00CE31FD">
        <w:rPr>
          <w:szCs w:val="24"/>
          <w:lang w:val="en-US"/>
        </w:rPr>
        <w:t>“work should be done to ensure that school policies promote gender equity, address gender-based violence, stereotypes and misogyny; and avoid the promotion of sexual double standards around sexual practices, including shaming and victim blaming narratives”.</w:t>
      </w:r>
      <w:r w:rsidR="009C0E78" w:rsidRPr="009C0E78">
        <w:rPr>
          <w:vertAlign w:val="superscript"/>
          <w:lang w:val="en-US"/>
        </w:rPr>
        <w:footnoteReference w:id="49"/>
      </w:r>
    </w:p>
    <w:p w14:paraId="3D0314D3" w14:textId="77777777" w:rsidR="00CE31FD" w:rsidRPr="00CE31FD" w:rsidRDefault="00CE31FD" w:rsidP="00CE31FD">
      <w:pPr>
        <w:pStyle w:val="ListParagraph"/>
        <w:ind w:left="709"/>
        <w:rPr>
          <w:szCs w:val="24"/>
        </w:rPr>
      </w:pPr>
    </w:p>
    <w:p w14:paraId="16551615" w14:textId="6047AE0D" w:rsidR="00CE31FD" w:rsidRPr="00CE31FD" w:rsidRDefault="009C0E78" w:rsidP="009C0E78">
      <w:pPr>
        <w:pStyle w:val="ListParagraph"/>
        <w:numPr>
          <w:ilvl w:val="1"/>
          <w:numId w:val="16"/>
        </w:numPr>
        <w:ind w:left="709"/>
      </w:pPr>
      <w:r w:rsidRPr="30A8CE47">
        <w:t xml:space="preserve">Following the NIHRC’s investigation, the UK Government introduced the Relationships and Sexuality Education (NI) (Amendment) Regulations 2023. These </w:t>
      </w:r>
      <w:r w:rsidR="67CF0750" w:rsidRPr="30A8CE47">
        <w:t>R</w:t>
      </w:r>
      <w:r w:rsidRPr="30A8CE47">
        <w:t xml:space="preserve">egulations make age-appropriate, </w:t>
      </w:r>
      <w:proofErr w:type="gramStart"/>
      <w:r w:rsidRPr="30A8CE47">
        <w:t>comprehensive</w:t>
      </w:r>
      <w:proofErr w:type="gramEnd"/>
      <w:r w:rsidRPr="30A8CE47">
        <w:t xml:space="preserve"> and scientifically accurate education on sexual and reproductive health and rights, covering prevention of early pregnancy and access to abortion, a compulsory component of the curriculum.</w:t>
      </w:r>
      <w:r w:rsidRPr="009C0E78">
        <w:rPr>
          <w:vertAlign w:val="superscript"/>
        </w:rPr>
        <w:footnoteReference w:id="50"/>
      </w:r>
      <w:r w:rsidRPr="30A8CE47">
        <w:rPr>
          <w:vertAlign w:val="superscript"/>
        </w:rPr>
        <w:t xml:space="preserve"> </w:t>
      </w:r>
    </w:p>
    <w:p w14:paraId="593CD275" w14:textId="77777777" w:rsidR="00CE31FD" w:rsidRPr="00CE31FD" w:rsidRDefault="00CE31FD" w:rsidP="00CE31FD">
      <w:pPr>
        <w:pStyle w:val="ListParagraph"/>
        <w:rPr>
          <w:iCs/>
          <w:szCs w:val="24"/>
        </w:rPr>
      </w:pPr>
    </w:p>
    <w:p w14:paraId="5F827BD6" w14:textId="589DC4D5" w:rsidR="00CE31FD" w:rsidRPr="00CE31FD" w:rsidRDefault="001F63D6" w:rsidP="009C0E78">
      <w:pPr>
        <w:pStyle w:val="ListParagraph"/>
        <w:numPr>
          <w:ilvl w:val="1"/>
          <w:numId w:val="16"/>
        </w:numPr>
        <w:ind w:left="709"/>
      </w:pPr>
      <w:r w:rsidRPr="30A8CE47">
        <w:lastRenderedPageBreak/>
        <w:t xml:space="preserve">The </w:t>
      </w:r>
      <w:r w:rsidR="1D9DE13C" w:rsidRPr="30A8CE47">
        <w:t>R</w:t>
      </w:r>
      <w:r w:rsidRPr="30A8CE47">
        <w:t>egulations further require</w:t>
      </w:r>
      <w:r w:rsidR="009C0E78" w:rsidRPr="30A8CE47">
        <w:t xml:space="preserve"> the Department of Education NI </w:t>
      </w:r>
      <w:r w:rsidRPr="30A8CE47">
        <w:t xml:space="preserve">to </w:t>
      </w:r>
      <w:r w:rsidR="009C0E78" w:rsidRPr="30A8CE47">
        <w:t>make provision about the circumstances in which, at the request of a parent, a pupil may be excused from receiving relationships and sexuality education</w:t>
      </w:r>
      <w:r w:rsidR="00251A29" w:rsidRPr="00CE31FD">
        <w:rPr>
          <w:iCs/>
          <w:szCs w:val="24"/>
        </w:rPr>
        <w:t xml:space="preserve"> </w:t>
      </w:r>
      <w:r w:rsidR="009C0E78" w:rsidRPr="30A8CE47">
        <w:t>, or specified elements of that education.</w:t>
      </w:r>
      <w:r w:rsidR="009C0E78" w:rsidRPr="009C0E78">
        <w:rPr>
          <w:vertAlign w:val="superscript"/>
        </w:rPr>
        <w:footnoteReference w:id="51"/>
      </w:r>
      <w:r w:rsidR="009C0E78" w:rsidRPr="00CE31FD">
        <w:rPr>
          <w:iCs/>
          <w:szCs w:val="24"/>
        </w:rPr>
        <w:t xml:space="preserve"> </w:t>
      </w:r>
      <w:r w:rsidR="002833A9" w:rsidRPr="30A8CE47">
        <w:t xml:space="preserve">In </w:t>
      </w:r>
      <w:r w:rsidR="00251A29" w:rsidRPr="30A8CE47">
        <w:t>December 2023</w:t>
      </w:r>
      <w:r w:rsidR="002833A9" w:rsidRPr="00CE31FD">
        <w:rPr>
          <w:iCs/>
          <w:szCs w:val="24"/>
        </w:rPr>
        <w:t xml:space="preserve">, </w:t>
      </w:r>
      <w:r w:rsidR="0020030A" w:rsidRPr="30A8CE47">
        <w:t xml:space="preserve">regulations </w:t>
      </w:r>
      <w:r w:rsidR="00426CDB" w:rsidRPr="30A8CE47">
        <w:t xml:space="preserve">were introduced </w:t>
      </w:r>
      <w:r w:rsidR="0020030A" w:rsidRPr="30A8CE47">
        <w:t xml:space="preserve">that specified that children in years 8-11  (ages 11-15) can be withdrawn from </w:t>
      </w:r>
      <w:r w:rsidR="00426CDB" w:rsidRPr="30A8CE47">
        <w:t xml:space="preserve">relationship and sexuality education </w:t>
      </w:r>
      <w:r w:rsidR="0020030A" w:rsidRPr="30A8CE47">
        <w:t>at their parents request</w:t>
      </w:r>
      <w:r w:rsidR="00426CDB" w:rsidRPr="00CE31FD">
        <w:rPr>
          <w:iCs/>
          <w:szCs w:val="24"/>
        </w:rPr>
        <w:t>.</w:t>
      </w:r>
      <w:r w:rsidR="00426CDB" w:rsidRPr="30A8CE47">
        <w:rPr>
          <w:rStyle w:val="FootnoteReference"/>
        </w:rPr>
        <w:footnoteReference w:id="52"/>
      </w:r>
      <w:r w:rsidR="0020030A" w:rsidRPr="00CE31FD">
        <w:rPr>
          <w:iCs/>
          <w:szCs w:val="24"/>
        </w:rPr>
        <w:t xml:space="preserve"> </w:t>
      </w:r>
      <w:r w:rsidR="00426CDB" w:rsidRPr="30A8CE47">
        <w:t>P</w:t>
      </w:r>
      <w:r w:rsidR="0020030A" w:rsidRPr="30A8CE47">
        <w:t xml:space="preserve">upils in year 12 (age 15 and 16) can </w:t>
      </w:r>
      <w:r w:rsidR="00426CDB" w:rsidRPr="30A8CE47">
        <w:t xml:space="preserve">also </w:t>
      </w:r>
      <w:r w:rsidR="0020030A" w:rsidRPr="30A8CE47">
        <w:t>be withdrawn at their parents request</w:t>
      </w:r>
      <w:r w:rsidR="00426CDB" w:rsidRPr="00CE31FD">
        <w:rPr>
          <w:iCs/>
          <w:szCs w:val="24"/>
        </w:rPr>
        <w:t>,</w:t>
      </w:r>
      <w:r w:rsidR="0020030A" w:rsidRPr="00CE31FD">
        <w:rPr>
          <w:iCs/>
          <w:szCs w:val="24"/>
        </w:rPr>
        <w:t xml:space="preserve"> </w:t>
      </w:r>
      <w:r w:rsidR="00426CDB" w:rsidRPr="30A8CE47">
        <w:t>if</w:t>
      </w:r>
      <w:r w:rsidR="0020030A" w:rsidRPr="30A8CE47">
        <w:t xml:space="preserve"> the pupil does not object.</w:t>
      </w:r>
      <w:r w:rsidR="001111DB" w:rsidRPr="30A8CE47">
        <w:rPr>
          <w:rStyle w:val="FootnoteReference"/>
        </w:rPr>
        <w:footnoteReference w:id="53"/>
      </w:r>
      <w:r w:rsidRPr="00CE31FD">
        <w:rPr>
          <w:iCs/>
          <w:szCs w:val="24"/>
        </w:rPr>
        <w:t xml:space="preserve"> </w:t>
      </w:r>
      <w:r w:rsidR="009C0E78" w:rsidRPr="30A8CE47">
        <w:t>Several civil society organisations have raised concerns that such a provision may pose a safeguarding risk and prevent certain children from accessing critical information relating to their sexual and reproductive health.</w:t>
      </w:r>
      <w:r w:rsidR="009C0E78" w:rsidRPr="009C0E78">
        <w:rPr>
          <w:vertAlign w:val="superscript"/>
        </w:rPr>
        <w:footnoteReference w:id="54"/>
      </w:r>
      <w:r w:rsidR="009C0E78" w:rsidRPr="30A8CE47">
        <w:t xml:space="preserve"> The NIHRC has also noted that the Education (Curriculum Minimum Content) Order (NI) 2007 does not identify which topics must be included in </w:t>
      </w:r>
      <w:r w:rsidR="0016397C" w:rsidRPr="30A8CE47">
        <w:t xml:space="preserve">relationship and sexuality education </w:t>
      </w:r>
      <w:r w:rsidR="009C0E78" w:rsidRPr="30A8CE47">
        <w:t>to be considered “comprehensive”.</w:t>
      </w:r>
      <w:r w:rsidR="009C0E78" w:rsidRPr="009C0E78">
        <w:rPr>
          <w:vertAlign w:val="superscript"/>
        </w:rPr>
        <w:footnoteReference w:id="55"/>
      </w:r>
      <w:r w:rsidR="009C0E78" w:rsidRPr="30A8CE47">
        <w:t xml:space="preserve"> There is therefore a risk that topics such as domestic and sexual violence or female genital mutilation will only be included at the discretion of individual schools in NI.</w:t>
      </w:r>
    </w:p>
    <w:p w14:paraId="3E52C3E3" w14:textId="77777777" w:rsidR="00CE31FD" w:rsidRPr="00CE31FD" w:rsidRDefault="00CE31FD" w:rsidP="00CE31FD">
      <w:pPr>
        <w:pStyle w:val="ListParagraph"/>
        <w:ind w:left="709"/>
        <w:rPr>
          <w:szCs w:val="24"/>
        </w:rPr>
      </w:pPr>
    </w:p>
    <w:p w14:paraId="6EEE4BA8" w14:textId="3FA2B18E" w:rsidR="009C0E78" w:rsidRPr="00CE31FD" w:rsidRDefault="00BB3C89" w:rsidP="009C0E78">
      <w:pPr>
        <w:pStyle w:val="ListParagraph"/>
        <w:numPr>
          <w:ilvl w:val="1"/>
          <w:numId w:val="16"/>
        </w:numPr>
        <w:ind w:left="709"/>
        <w:rPr>
          <w:szCs w:val="24"/>
        </w:rPr>
      </w:pPr>
      <w:r w:rsidRPr="00CE31FD">
        <w:rPr>
          <w:b/>
          <w:bCs/>
          <w:szCs w:val="24"/>
        </w:rPr>
        <w:t>The NIHRC recommends that</w:t>
      </w:r>
      <w:r w:rsidR="00552CAB" w:rsidRPr="00CE31FD">
        <w:rPr>
          <w:b/>
          <w:bCs/>
          <w:szCs w:val="24"/>
        </w:rPr>
        <w:t xml:space="preserve"> the</w:t>
      </w:r>
      <w:r w:rsidR="009C0E78" w:rsidRPr="00CE31FD">
        <w:rPr>
          <w:b/>
          <w:bCs/>
          <w:szCs w:val="24"/>
        </w:rPr>
        <w:t xml:space="preserve"> UK Government and NI Executive </w:t>
      </w:r>
      <w:r w:rsidRPr="00CE31FD">
        <w:rPr>
          <w:b/>
          <w:bCs/>
          <w:szCs w:val="24"/>
        </w:rPr>
        <w:t>ensures</w:t>
      </w:r>
      <w:r w:rsidR="00552CAB" w:rsidRPr="00CE31FD">
        <w:rPr>
          <w:b/>
          <w:bCs/>
          <w:szCs w:val="24"/>
        </w:rPr>
        <w:t xml:space="preserve"> that all elements of</w:t>
      </w:r>
      <w:r w:rsidR="009C0E78" w:rsidRPr="00CE31FD">
        <w:rPr>
          <w:b/>
          <w:bCs/>
          <w:szCs w:val="24"/>
        </w:rPr>
        <w:t xml:space="preserve"> ‘comprehensive’ relationships and sexuality education </w:t>
      </w:r>
      <w:r w:rsidR="00552CAB" w:rsidRPr="00CE31FD">
        <w:rPr>
          <w:b/>
          <w:bCs/>
          <w:szCs w:val="24"/>
        </w:rPr>
        <w:t>are taught consistently in post primary schools in NI.</w:t>
      </w:r>
      <w:r w:rsidR="009C0E78" w:rsidRPr="00CE31FD">
        <w:rPr>
          <w:b/>
          <w:bCs/>
          <w:szCs w:val="24"/>
        </w:rPr>
        <w:t xml:space="preserve"> This should be developed to achieve the aim of ensuring that all elements of comprehensive relationships and sexuality education are delivered within every post-primary school in NI.</w:t>
      </w:r>
    </w:p>
    <w:p w14:paraId="2D47F5BB" w14:textId="3CC3A002" w:rsidR="00BC7571" w:rsidRDefault="00BC7571">
      <w:pPr>
        <w:spacing w:after="160" w:line="259" w:lineRule="auto"/>
        <w:rPr>
          <w:b/>
          <w:bCs/>
          <w:szCs w:val="24"/>
        </w:rPr>
      </w:pPr>
      <w:r>
        <w:rPr>
          <w:b/>
          <w:bCs/>
          <w:szCs w:val="24"/>
        </w:rPr>
        <w:br w:type="page"/>
      </w:r>
    </w:p>
    <w:p w14:paraId="64548536" w14:textId="77777777" w:rsidR="00BC7571" w:rsidRDefault="00BC7571" w:rsidP="00BC7571">
      <w:pPr>
        <w:pStyle w:val="BasicParagraph"/>
        <w:suppressAutoHyphens/>
        <w:jc w:val="center"/>
        <w:rPr>
          <w:rFonts w:ascii="Verdana" w:hAnsi="Verdana" w:cs="Arial"/>
          <w:b/>
          <w:bCs/>
          <w:color w:val="77328A"/>
          <w:sz w:val="44"/>
          <w:szCs w:val="44"/>
        </w:rPr>
      </w:pPr>
    </w:p>
    <w:p w14:paraId="198742E9" w14:textId="77777777" w:rsidR="00BC7571" w:rsidRDefault="00BC7571" w:rsidP="00BC7571">
      <w:pPr>
        <w:pStyle w:val="BasicParagraph"/>
        <w:suppressAutoHyphens/>
        <w:jc w:val="center"/>
        <w:rPr>
          <w:rFonts w:ascii="Verdana" w:hAnsi="Verdana" w:cs="Arial"/>
          <w:b/>
          <w:bCs/>
          <w:color w:val="77328A"/>
          <w:sz w:val="44"/>
          <w:szCs w:val="44"/>
        </w:rPr>
      </w:pPr>
    </w:p>
    <w:p w14:paraId="751E9366" w14:textId="77777777" w:rsidR="00BC7571" w:rsidRDefault="00BC7571" w:rsidP="00BC7571">
      <w:pPr>
        <w:pStyle w:val="BasicParagraph"/>
        <w:suppressAutoHyphens/>
        <w:jc w:val="center"/>
        <w:rPr>
          <w:rFonts w:ascii="Verdana" w:hAnsi="Verdana" w:cs="Arial"/>
          <w:b/>
          <w:bCs/>
          <w:color w:val="77328A"/>
          <w:sz w:val="44"/>
          <w:szCs w:val="44"/>
        </w:rPr>
      </w:pPr>
    </w:p>
    <w:p w14:paraId="31099715" w14:textId="77777777" w:rsidR="00BC7571" w:rsidRDefault="00BC7571" w:rsidP="00BC7571">
      <w:pPr>
        <w:pStyle w:val="BasicParagraph"/>
        <w:suppressAutoHyphens/>
        <w:jc w:val="center"/>
        <w:rPr>
          <w:rFonts w:ascii="Verdana" w:hAnsi="Verdana" w:cs="Arial"/>
          <w:b/>
          <w:bCs/>
          <w:color w:val="77328A"/>
          <w:sz w:val="44"/>
          <w:szCs w:val="44"/>
        </w:rPr>
      </w:pPr>
    </w:p>
    <w:p w14:paraId="57F5D12D" w14:textId="77777777" w:rsidR="00BC7571" w:rsidRDefault="00BC7571" w:rsidP="00BC7571">
      <w:pPr>
        <w:pStyle w:val="BasicParagraph"/>
        <w:suppressAutoHyphens/>
        <w:rPr>
          <w:rFonts w:ascii="Verdana" w:hAnsi="Verdana" w:cs="Arial"/>
          <w:b/>
          <w:bCs/>
          <w:color w:val="77328A"/>
          <w:sz w:val="44"/>
          <w:szCs w:val="44"/>
        </w:rPr>
      </w:pPr>
    </w:p>
    <w:p w14:paraId="0C668F4E" w14:textId="77777777" w:rsidR="00BC7571" w:rsidRDefault="00BC7571" w:rsidP="00BC7571">
      <w:pPr>
        <w:pStyle w:val="BasicParagraph"/>
        <w:suppressAutoHyphens/>
        <w:jc w:val="center"/>
        <w:rPr>
          <w:rFonts w:ascii="Verdana" w:hAnsi="Verdana" w:cs="Arial"/>
          <w:b/>
          <w:bCs/>
          <w:color w:val="77328A"/>
          <w:sz w:val="44"/>
          <w:szCs w:val="44"/>
        </w:rPr>
      </w:pPr>
    </w:p>
    <w:p w14:paraId="559462A6" w14:textId="77777777" w:rsidR="00BC7571" w:rsidRPr="00430ACC" w:rsidRDefault="00BC7571" w:rsidP="00BC7571">
      <w:pPr>
        <w:pStyle w:val="BasicParagraph"/>
        <w:suppressAutoHyphens/>
        <w:jc w:val="center"/>
        <w:rPr>
          <w:rFonts w:ascii="Verdana" w:hAnsi="Verdana" w:cs="Arial"/>
          <w:b/>
          <w:bCs/>
          <w:color w:val="77328A"/>
          <w:sz w:val="44"/>
          <w:szCs w:val="44"/>
        </w:rPr>
      </w:pPr>
      <w:r w:rsidRPr="00430ACC">
        <w:rPr>
          <w:rFonts w:ascii="Verdana" w:hAnsi="Verdana" w:cs="Arial"/>
          <w:b/>
          <w:bCs/>
          <w:color w:val="77328A"/>
          <w:sz w:val="44"/>
          <w:szCs w:val="44"/>
        </w:rPr>
        <w:t xml:space="preserve">Contact Us </w:t>
      </w:r>
    </w:p>
    <w:p w14:paraId="389966CD" w14:textId="77777777" w:rsidR="00BC7571" w:rsidRPr="00BC7571" w:rsidRDefault="00BC7571" w:rsidP="00BC7571">
      <w:pPr>
        <w:pStyle w:val="BasicParagraph"/>
        <w:suppressAutoHyphens/>
        <w:jc w:val="center"/>
        <w:rPr>
          <w:rFonts w:ascii="Verdana" w:hAnsi="Verdana" w:cs="Arial"/>
          <w:b/>
          <w:bCs/>
          <w:color w:val="77328A"/>
        </w:rPr>
      </w:pPr>
    </w:p>
    <w:p w14:paraId="7009A0E9" w14:textId="77777777" w:rsidR="00BC7571" w:rsidRPr="00BC7571" w:rsidRDefault="00BC7571" w:rsidP="00BC7571">
      <w:pPr>
        <w:pStyle w:val="BasicParagraph"/>
        <w:suppressAutoHyphens/>
        <w:jc w:val="center"/>
        <w:rPr>
          <w:rFonts w:ascii="Verdana" w:hAnsi="Verdana" w:cs="Arial"/>
          <w:b/>
          <w:bCs/>
          <w:color w:val="auto"/>
        </w:rPr>
      </w:pPr>
      <w:r w:rsidRPr="00BC7571">
        <w:rPr>
          <w:rFonts w:ascii="Verdana" w:hAnsi="Verdana" w:cs="Arial"/>
          <w:b/>
          <w:bCs/>
          <w:color w:val="auto"/>
        </w:rPr>
        <w:t xml:space="preserve">For queries, please contact: </w:t>
      </w:r>
      <w:hyperlink r:id="rId12" w:history="1">
        <w:r w:rsidRPr="00BC7571">
          <w:rPr>
            <w:rStyle w:val="Hyperlink"/>
            <w:rFonts w:ascii="Verdana" w:hAnsi="Verdana" w:cs="Arial"/>
            <w:bCs/>
          </w:rPr>
          <w:t>Hannah.Russell@nihrc.org</w:t>
        </w:r>
      </w:hyperlink>
    </w:p>
    <w:p w14:paraId="3C6EEDB3" w14:textId="77777777" w:rsidR="00BC7571" w:rsidRPr="000D15A8" w:rsidRDefault="00BC7571" w:rsidP="00BC7571">
      <w:pPr>
        <w:pStyle w:val="BasicParagraph"/>
        <w:suppressAutoHyphens/>
        <w:jc w:val="center"/>
        <w:rPr>
          <w:rFonts w:ascii="Verdana" w:hAnsi="Verdana" w:cs="Arial"/>
          <w:b/>
          <w:bCs/>
          <w:color w:val="auto"/>
        </w:rPr>
      </w:pPr>
    </w:p>
    <w:p w14:paraId="06A1CAF7" w14:textId="77777777" w:rsidR="00BC7571" w:rsidRPr="000D15A8" w:rsidRDefault="00BC7571" w:rsidP="00BC7571">
      <w:pPr>
        <w:pStyle w:val="BasicParagraph"/>
        <w:suppressAutoHyphens/>
        <w:jc w:val="center"/>
        <w:rPr>
          <w:rStyle w:val="Hyperlink"/>
          <w:rFonts w:cs="Arial"/>
          <w:bCs/>
        </w:rPr>
      </w:pPr>
    </w:p>
    <w:p w14:paraId="07F41E88" w14:textId="77777777" w:rsidR="00BC7571" w:rsidRPr="001479C7" w:rsidRDefault="00BC7571" w:rsidP="00BC7571">
      <w:pPr>
        <w:pStyle w:val="BasicParagraph"/>
        <w:suppressAutoHyphens/>
        <w:jc w:val="center"/>
        <w:rPr>
          <w:rFonts w:ascii="Verdana" w:hAnsi="Verdana" w:cs="Arial"/>
          <w:b/>
          <w:bCs/>
          <w:color w:val="auto"/>
        </w:rPr>
      </w:pPr>
    </w:p>
    <w:p w14:paraId="3B43EEBF" w14:textId="77777777" w:rsidR="00BC7571" w:rsidRPr="00331C61" w:rsidRDefault="00BC7571" w:rsidP="00BC7571">
      <w:pPr>
        <w:jc w:val="center"/>
        <w:rPr>
          <w:rFonts w:cs="Arial"/>
          <w:b/>
          <w:color w:val="232120"/>
          <w:sz w:val="30"/>
          <w:szCs w:val="30"/>
        </w:rPr>
      </w:pPr>
    </w:p>
    <w:p w14:paraId="382AD6BA" w14:textId="77777777" w:rsidR="00BC7571" w:rsidRPr="00331C61" w:rsidRDefault="00211E7C" w:rsidP="00BC7571">
      <w:pPr>
        <w:jc w:val="center"/>
        <w:rPr>
          <w:rFonts w:cs="Arial"/>
          <w:color w:val="232120"/>
          <w:sz w:val="28"/>
          <w:szCs w:val="28"/>
        </w:rPr>
      </w:pPr>
      <w:hyperlink r:id="rId13" w:history="1">
        <w:r w:rsidR="00BC7571" w:rsidRPr="00331C61">
          <w:rPr>
            <w:rStyle w:val="Hyperlink"/>
            <w:rFonts w:cs="Arial"/>
            <w:color w:val="232120"/>
            <w:sz w:val="28"/>
            <w:szCs w:val="28"/>
            <w:lang w:val="en-US"/>
          </w:rPr>
          <w:t>www.nihrc.org</w:t>
        </w:r>
      </w:hyperlink>
      <w:r w:rsidR="00BC7571" w:rsidRPr="00331C61">
        <w:rPr>
          <w:rFonts w:cs="Arial"/>
          <w:color w:val="232120"/>
          <w:sz w:val="28"/>
          <w:szCs w:val="28"/>
          <w:lang w:val="en-US"/>
        </w:rPr>
        <w:t xml:space="preserve">  |  </w:t>
      </w:r>
      <w:hyperlink r:id="rId14" w:history="1">
        <w:r w:rsidR="00BC7571" w:rsidRPr="00331C61">
          <w:rPr>
            <w:rStyle w:val="Hyperlink"/>
            <w:rFonts w:cs="Arial"/>
            <w:color w:val="232120"/>
            <w:sz w:val="28"/>
            <w:szCs w:val="28"/>
            <w:lang w:val="en-US"/>
          </w:rPr>
          <w:t>info@nihrc.org</w:t>
        </w:r>
      </w:hyperlink>
      <w:r w:rsidR="00BC7571" w:rsidRPr="00331C61">
        <w:rPr>
          <w:rFonts w:cs="Arial"/>
          <w:color w:val="232120"/>
          <w:sz w:val="28"/>
          <w:szCs w:val="28"/>
          <w:lang w:val="en-US"/>
        </w:rPr>
        <w:t xml:space="preserve">  |  +44 (0)28 9024 3987</w:t>
      </w:r>
    </w:p>
    <w:p w14:paraId="5E7C6008" w14:textId="77777777" w:rsidR="00BC7571" w:rsidRPr="00331C61" w:rsidRDefault="00BC7571" w:rsidP="00BC757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647CF12A" w14:textId="77777777" w:rsidR="00BC7571" w:rsidRPr="00331C61" w:rsidRDefault="00BC7571" w:rsidP="00BC7571">
      <w:pPr>
        <w:jc w:val="center"/>
        <w:rPr>
          <w:rFonts w:cs="Arial"/>
          <w:b/>
          <w:color w:val="232120"/>
          <w:sz w:val="28"/>
          <w:szCs w:val="28"/>
        </w:rPr>
      </w:pPr>
    </w:p>
    <w:p w14:paraId="283CC56E" w14:textId="77777777" w:rsidR="00BC7571" w:rsidRPr="00331C61" w:rsidRDefault="00BC7571" w:rsidP="00BC7571">
      <w:pPr>
        <w:jc w:val="center"/>
        <w:rPr>
          <w:rFonts w:cs="Arial"/>
          <w:color w:val="232120"/>
          <w:sz w:val="20"/>
          <w:szCs w:val="20"/>
        </w:rPr>
      </w:pPr>
    </w:p>
    <w:p w14:paraId="3E6ED963" w14:textId="77777777" w:rsidR="00BC7571" w:rsidRDefault="00BC7571" w:rsidP="00BC7571">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D968F4B" wp14:editId="54041267">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7DE4046" w14:textId="77777777" w:rsidR="009C0E78" w:rsidRPr="00166FAC" w:rsidRDefault="009C0E78">
      <w:pPr>
        <w:rPr>
          <w:b/>
          <w:bCs/>
          <w:szCs w:val="24"/>
        </w:rPr>
      </w:pPr>
    </w:p>
    <w:sectPr w:rsidR="009C0E78" w:rsidRPr="00166F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DAFE" w14:textId="77777777" w:rsidR="002F0172" w:rsidRDefault="002F0172" w:rsidP="00D02D50">
      <w:pPr>
        <w:spacing w:line="240" w:lineRule="auto"/>
      </w:pPr>
      <w:r>
        <w:separator/>
      </w:r>
    </w:p>
  </w:endnote>
  <w:endnote w:type="continuationSeparator" w:id="0">
    <w:p w14:paraId="637CFD01" w14:textId="77777777" w:rsidR="002F0172" w:rsidRDefault="002F0172" w:rsidP="00D02D50">
      <w:pPr>
        <w:spacing w:line="240" w:lineRule="auto"/>
      </w:pPr>
      <w:r>
        <w:continuationSeparator/>
      </w:r>
    </w:p>
  </w:endnote>
  <w:endnote w:type="continuationNotice" w:id="1">
    <w:p w14:paraId="04F57357" w14:textId="77777777" w:rsidR="002F0172" w:rsidRDefault="002F01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706A" w14:textId="77777777" w:rsidR="002F0172" w:rsidRDefault="002F0172" w:rsidP="00D02D50">
      <w:pPr>
        <w:spacing w:line="240" w:lineRule="auto"/>
      </w:pPr>
      <w:r>
        <w:separator/>
      </w:r>
    </w:p>
  </w:footnote>
  <w:footnote w:type="continuationSeparator" w:id="0">
    <w:p w14:paraId="2453569F" w14:textId="77777777" w:rsidR="002F0172" w:rsidRDefault="002F0172" w:rsidP="00D02D50">
      <w:pPr>
        <w:spacing w:line="240" w:lineRule="auto"/>
      </w:pPr>
      <w:r>
        <w:continuationSeparator/>
      </w:r>
    </w:p>
  </w:footnote>
  <w:footnote w:type="continuationNotice" w:id="1">
    <w:p w14:paraId="1AEF7436" w14:textId="77777777" w:rsidR="002F0172" w:rsidRDefault="002F0172">
      <w:pPr>
        <w:spacing w:line="240" w:lineRule="auto"/>
      </w:pPr>
    </w:p>
  </w:footnote>
  <w:footnote w:id="2">
    <w:p w14:paraId="2C218159" w14:textId="77777777" w:rsidR="008001D7" w:rsidRPr="00B85204" w:rsidRDefault="008001D7" w:rsidP="008D566D">
      <w:pPr>
        <w:pStyle w:val="Footnote"/>
      </w:pPr>
      <w:r w:rsidRPr="00B85204">
        <w:rPr>
          <w:rStyle w:val="FootnoteReference"/>
        </w:rPr>
        <w:footnoteRef/>
      </w:r>
      <w:r w:rsidRPr="00B85204">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53DC560" w14:textId="00EF8D1B" w:rsidR="009B4F6F" w:rsidRPr="00B85204" w:rsidRDefault="009B4F6F" w:rsidP="008D566D">
      <w:pPr>
        <w:pStyle w:val="Footnote"/>
      </w:pPr>
      <w:r w:rsidRPr="00B85204">
        <w:rPr>
          <w:rStyle w:val="FootnoteReference"/>
        </w:rPr>
        <w:footnoteRef/>
      </w:r>
      <w:r w:rsidRPr="00B85204">
        <w:t xml:space="preserve"> </w:t>
      </w:r>
      <w:r w:rsidR="009B3351">
        <w:t>This was the second suspension period</w:t>
      </w:r>
      <w:r w:rsidRPr="00B85204">
        <w:t xml:space="preserve"> </w:t>
      </w:r>
      <w:r w:rsidR="00A1045B">
        <w:t xml:space="preserve">in five years with the previous </w:t>
      </w:r>
      <w:r w:rsidRPr="00B85204">
        <w:t>suspension from January 2017 until January 2020.</w:t>
      </w:r>
    </w:p>
  </w:footnote>
  <w:footnote w:id="4">
    <w:p w14:paraId="3DC9DF8C" w14:textId="77777777" w:rsidR="009B4F6F" w:rsidRPr="00B85204" w:rsidRDefault="009B4F6F" w:rsidP="008D566D">
      <w:pPr>
        <w:pStyle w:val="Footnote"/>
        <w:rPr>
          <w:b/>
          <w:bCs/>
        </w:rPr>
      </w:pPr>
      <w:r w:rsidRPr="00B85204">
        <w:rPr>
          <w:rStyle w:val="FootnoteReference"/>
        </w:rPr>
        <w:footnoteRef/>
      </w:r>
      <w:r w:rsidRPr="00B85204">
        <w:t xml:space="preserve"> Department of Finance, ‘Press Release: NI Secretary announces 2023-2024 Budget and contingency plans for governance’, 27 April 2023.</w:t>
      </w:r>
    </w:p>
  </w:footnote>
  <w:footnote w:id="5">
    <w:p w14:paraId="0491D860" w14:textId="77777777" w:rsidR="009B4F6F" w:rsidRPr="00B85204" w:rsidRDefault="009B4F6F" w:rsidP="008D566D">
      <w:pPr>
        <w:pStyle w:val="Footnote"/>
      </w:pPr>
      <w:r w:rsidRPr="00B85204">
        <w:rPr>
          <w:rStyle w:val="FootnoteReference"/>
        </w:rPr>
        <w:footnoteRef/>
      </w:r>
      <w:r w:rsidRPr="00B85204">
        <w:t xml:space="preserve"> NI Human Rights Commission, ‘Submission to the Department for Communities on its Budget 2023-2024 Allocations’ (NIHRC, 2023); Equality Commission for NI, ‘Briefing Note: Concerns regarding Cumulative Equality Impacts of Proposed Departmental Budget Allocations for 2023-24’ (ECNI, 2023); NI Council for Voluntary Action, ‘Budget Cuts and Inequality in NI’. Available at: </w:t>
      </w:r>
      <w:hyperlink r:id="rId1" w:anchor=":~:text=The%20precarious%20financial%20situation%20and,this%20difficult%20and%20stormy%20period." w:history="1">
        <w:r w:rsidRPr="00B85204">
          <w:rPr>
            <w:rStyle w:val="Hyperlink"/>
            <w:color w:val="77328A"/>
          </w:rPr>
          <w:t>Budget cuts and inequality in Northern Ireland | NICVA</w:t>
        </w:r>
      </w:hyperlink>
      <w:r w:rsidRPr="00B85204">
        <w:t xml:space="preserve">; Letter from Women’s Policy Group to Secretary of State for NI, 15 August 2023. </w:t>
      </w:r>
    </w:p>
  </w:footnote>
  <w:footnote w:id="6">
    <w:p w14:paraId="79B26C42" w14:textId="63CE9A15" w:rsidR="008E4C4A" w:rsidRPr="00B85204" w:rsidRDefault="008E4C4A" w:rsidP="008D566D">
      <w:pPr>
        <w:pStyle w:val="Footnote"/>
      </w:pPr>
      <w:r w:rsidRPr="00B85204">
        <w:rPr>
          <w:rStyle w:val="FootnoteReference"/>
        </w:rPr>
        <w:footnoteRef/>
      </w:r>
      <w:r w:rsidRPr="00B85204">
        <w:t xml:space="preserve"> </w:t>
      </w:r>
      <w:r w:rsidR="002705AC" w:rsidRPr="00B85204">
        <w:t xml:space="preserve">The Department for Communities supports the community voluntary sector through the Core Grant Funding Scheme. </w:t>
      </w:r>
      <w:r w:rsidR="002705AC" w:rsidRPr="00B85204">
        <w:rPr>
          <w:i/>
          <w:iCs/>
        </w:rPr>
        <w:t xml:space="preserve">See </w:t>
      </w:r>
      <w:r w:rsidRPr="00B85204">
        <w:t xml:space="preserve">Liam Tunney, ‘Women’s Aid NI now only UK federation without government funding, says CEO’, </w:t>
      </w:r>
      <w:r w:rsidRPr="00B85204">
        <w:rPr>
          <w:i/>
          <w:iCs/>
        </w:rPr>
        <w:t>Belfast Telegraph</w:t>
      </w:r>
      <w:r w:rsidRPr="00B85204">
        <w:t xml:space="preserve">, 29 September 2023. </w:t>
      </w:r>
    </w:p>
  </w:footnote>
  <w:footnote w:id="7">
    <w:p w14:paraId="6A269E88" w14:textId="7ED75E69" w:rsidR="009B4F6F" w:rsidRPr="00B85204" w:rsidRDefault="009B4F6F" w:rsidP="008D566D">
      <w:pPr>
        <w:pStyle w:val="Footnote"/>
      </w:pPr>
      <w:r w:rsidRPr="00B85204">
        <w:rPr>
          <w:rStyle w:val="FootnoteReference"/>
        </w:rPr>
        <w:footnoteRef/>
      </w:r>
      <w:r w:rsidRPr="00B85204">
        <w:t xml:space="preserve"> </w:t>
      </w:r>
      <w:r w:rsidR="0082110C" w:rsidRPr="00B85204">
        <w:t xml:space="preserve">In December 2023, the UK Government pledged a total of £3 billion to NI. The remaining £2 billion is to be used to develop a new method of deciding how much money NI receives from the UK Government and to assist in addressing issues with public sector pay. </w:t>
      </w:r>
      <w:r w:rsidR="0082110C" w:rsidRPr="00B85204">
        <w:rPr>
          <w:i/>
          <w:iCs/>
        </w:rPr>
        <w:t>See</w:t>
      </w:r>
      <w:r w:rsidR="0082110C" w:rsidRPr="00B85204">
        <w:t xml:space="preserve"> NI Office, ‘Press Release: Secretary of State – Returning Executive can unleash NI’s potential’, 29 December 2023.</w:t>
      </w:r>
    </w:p>
  </w:footnote>
  <w:footnote w:id="8">
    <w:p w14:paraId="28C714AE" w14:textId="77777777" w:rsidR="00207A17" w:rsidRPr="00B85204" w:rsidRDefault="00207A17" w:rsidP="008D566D">
      <w:pPr>
        <w:pStyle w:val="Footnote"/>
      </w:pPr>
      <w:r w:rsidRPr="00B85204">
        <w:rPr>
          <w:rStyle w:val="FootnoteReference"/>
        </w:rPr>
        <w:footnoteRef/>
      </w:r>
      <w:r w:rsidRPr="00B85204">
        <w:t xml:space="preserve"> The Windsor Framework was formerly known as the Protocol on Ireland/Northern Ireland to the Agreement on the Withdrawal of the United Kingdom of Great Britain and Northern Ireland from the European Union and the European Atomic Energy Community, 24 January 2020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9">
    <w:p w14:paraId="5204034B" w14:textId="355E9948" w:rsidR="00207A17" w:rsidRPr="00B85204" w:rsidRDefault="00207A17" w:rsidP="008D566D">
      <w:pPr>
        <w:pStyle w:val="Footnote"/>
      </w:pPr>
      <w:r w:rsidRPr="00B85204">
        <w:rPr>
          <w:rStyle w:val="FootnoteReference"/>
        </w:rPr>
        <w:footnoteRef/>
      </w:r>
      <w:r w:rsidR="00BE0417">
        <w:t xml:space="preserve"> </w:t>
      </w:r>
      <w:r w:rsidRPr="00B85204">
        <w:t>Section 7A of the European Union (Withdrawal) Act 2018 gives effect to all the rights, obligations and remedies arising under the UK-EU Withdrawal Agreement in UK law without the need for further enactment.  The Northern Ireland Act has also been amended to prohibit the NI Assembly and NI departments from acting in a way that is incompatible with Article 2 of the Windsor Framework.</w:t>
      </w:r>
    </w:p>
  </w:footnote>
  <w:footnote w:id="10">
    <w:p w14:paraId="648B6170" w14:textId="4D47728C" w:rsidR="00734527" w:rsidRPr="00B85204" w:rsidRDefault="00734527" w:rsidP="008D566D">
      <w:pPr>
        <w:pStyle w:val="Footnote"/>
      </w:pPr>
      <w:r w:rsidRPr="00B85204">
        <w:rPr>
          <w:rStyle w:val="FootnoteReference"/>
        </w:rPr>
        <w:footnoteRef/>
      </w:r>
      <w:r w:rsidRPr="00B85204">
        <w:t xml:space="preserve"> </w:t>
      </w:r>
      <w:r w:rsidR="00FD2B7D" w:rsidRPr="00B85204">
        <w:rPr>
          <w:rFonts w:cstheme="minorHAnsi"/>
        </w:rPr>
        <w:t>Directive 2010/18/EU, ‘Council Directive implementing the revised Framework Agreement on parental leave’, 8 March 2010.</w:t>
      </w:r>
      <w:r w:rsidR="00FD2B7D" w:rsidRPr="00E8247A">
        <w:t xml:space="preserve"> </w:t>
      </w:r>
      <w:r w:rsidR="00FD2B7D">
        <w:t>NI Office</w:t>
      </w:r>
      <w:r w:rsidRPr="00B85204">
        <w:t>, ‘UK Government Commitment to “No Diminution of Rights, Safeguards and Equality of Opportunity” in NI: What Does it Mean and How Will it be Implemented?’ (</w:t>
      </w:r>
      <w:r w:rsidR="00FD2B7D">
        <w:t>NIO</w:t>
      </w:r>
      <w:r w:rsidRPr="00B85204">
        <w:t>, 2020), at para 13</w:t>
      </w:r>
      <w:r w:rsidR="00FD2B7D">
        <w:t>.</w:t>
      </w:r>
      <w:r w:rsidR="0052067C" w:rsidRPr="00B85204">
        <w:t xml:space="preserve"> Further EU law falling within scope of this commitment identified</w:t>
      </w:r>
      <w:r w:rsidR="00FD2B7D">
        <w:t xml:space="preserve"> by the UK Government includes </w:t>
      </w:r>
      <w:r w:rsidR="0052067C" w:rsidRPr="00B85204">
        <w:t xml:space="preserve">the EU </w:t>
      </w:r>
      <w:r w:rsidR="00FD2B7D">
        <w:t xml:space="preserve">Pregnant Workers </w:t>
      </w:r>
      <w:r w:rsidR="0052067C" w:rsidRPr="00B85204">
        <w:t xml:space="preserve">Directive </w:t>
      </w:r>
      <w:r w:rsidR="00FD2B7D">
        <w:t>(</w:t>
      </w:r>
      <w:r w:rsidR="00FD2B7D" w:rsidRPr="00B85204">
        <w:rPr>
          <w:rFonts w:cstheme="minorHAnsi"/>
        </w:rPr>
        <w:t>Directive 92/85/EEC, ‘Council Directive on the Introduction of Measures to Encourage Improvements in the Safety and Health at Work of Pregnant Workers and Workers who have Recently Given Birth or are Breastfeeding’, 19 October 1992</w:t>
      </w:r>
      <w:r w:rsidR="00FD2B7D">
        <w:rPr>
          <w:rFonts w:cstheme="minorHAnsi"/>
        </w:rPr>
        <w:t xml:space="preserve">) </w:t>
      </w:r>
      <w:r w:rsidR="0052067C" w:rsidRPr="00B85204">
        <w:t xml:space="preserve">and the EU </w:t>
      </w:r>
      <w:r w:rsidR="00FD2B7D">
        <w:t xml:space="preserve">Parental leave </w:t>
      </w:r>
      <w:r w:rsidR="0052067C" w:rsidRPr="00B85204">
        <w:t>Directive</w:t>
      </w:r>
      <w:r w:rsidR="00FD2B7D">
        <w:t xml:space="preserve"> (</w:t>
      </w:r>
      <w:r w:rsidR="00FD2B7D" w:rsidRPr="00FD2B7D">
        <w:t>Directive 2010/18/EU, ‘Council Directive implementing the revised Framework Agreement on parental leave’, 8 March 2010</w:t>
      </w:r>
      <w:r w:rsidR="00FD2B7D">
        <w:t>)</w:t>
      </w:r>
      <w:r w:rsidR="0052067C" w:rsidRPr="00B85204">
        <w:t>.</w:t>
      </w:r>
      <w:r w:rsidR="00FD2B7D">
        <w:t xml:space="preserve"> </w:t>
      </w:r>
    </w:p>
  </w:footnote>
  <w:footnote w:id="11">
    <w:p w14:paraId="7C9B703E" w14:textId="77777777" w:rsidR="00A678F9" w:rsidRPr="00B85204" w:rsidRDefault="00A678F9" w:rsidP="008D566D">
      <w:pPr>
        <w:pStyle w:val="Footnote"/>
        <w:rPr>
          <w:rFonts w:cstheme="minorHAnsi"/>
        </w:rPr>
      </w:pPr>
      <w:r w:rsidRPr="00B85204">
        <w:rPr>
          <w:rStyle w:val="FootnoteReference"/>
          <w:rFonts w:cstheme="minorHAnsi"/>
        </w:rPr>
        <w:footnoteRef/>
      </w:r>
      <w:r w:rsidRPr="00B85204">
        <w:rPr>
          <w:rFonts w:cstheme="minorHAnsi"/>
        </w:rPr>
        <w:t xml:space="preserve"> Directive 2011/36/EU, ‘Council Directive on Preventing and Combating Trafficking in Human Beings and Protecting its Victims’, 5 April 2011.</w:t>
      </w:r>
    </w:p>
  </w:footnote>
  <w:footnote w:id="12">
    <w:p w14:paraId="722DE5D1" w14:textId="77777777" w:rsidR="00A678F9" w:rsidRPr="00B85204" w:rsidRDefault="00A678F9" w:rsidP="008D566D">
      <w:pPr>
        <w:pStyle w:val="Footnote"/>
        <w:rPr>
          <w:rFonts w:cstheme="minorHAnsi"/>
        </w:rPr>
      </w:pPr>
      <w:r w:rsidRPr="00B85204">
        <w:rPr>
          <w:rStyle w:val="FootnoteReference"/>
          <w:rFonts w:cstheme="minorHAnsi"/>
        </w:rPr>
        <w:footnoteRef/>
      </w:r>
      <w:r w:rsidRPr="00B85204">
        <w:rPr>
          <w:rFonts w:cstheme="minorHAnsi"/>
        </w:rPr>
        <w:t xml:space="preserve"> Directive 2012/29/EU, ‘Directive of the European Parliament and of the Council Establishing Minimum Standards on the Rights, Support and Protection of Victims of Crime’, 25 October 2012; Directive 2011/36/EU ‘Council Directive on Preventing and Combating Trafficking in Human Beings and Protecting its Victims’, 5 April 2011; Directive 2004/80/EC, ‘Council Directive relating to the Compensation to Crime Victims’, 29 April 2004.</w:t>
      </w:r>
    </w:p>
  </w:footnote>
  <w:footnote w:id="13">
    <w:p w14:paraId="26A590B2" w14:textId="0CC910D6" w:rsidR="00A678F9" w:rsidRPr="00B85204" w:rsidRDefault="00A678F9" w:rsidP="008D566D">
      <w:pPr>
        <w:pStyle w:val="Footnote"/>
      </w:pPr>
      <w:r w:rsidRPr="00B85204">
        <w:rPr>
          <w:rStyle w:val="FootnoteReference"/>
        </w:rPr>
        <w:footnoteRef/>
      </w:r>
      <w:r w:rsidRPr="00B85204">
        <w:t xml:space="preserve">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  Other Directives listed in this annex include protection against discrimination on grounds of race, sexual orientation, age, religion and disability.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w:t>
      </w:r>
    </w:p>
  </w:footnote>
  <w:footnote w:id="14">
    <w:p w14:paraId="0D3FF0A1" w14:textId="5034340A" w:rsidR="006E33D2" w:rsidRPr="00B85204" w:rsidRDefault="006E33D2" w:rsidP="008D566D">
      <w:pPr>
        <w:pStyle w:val="Footnote"/>
      </w:pPr>
      <w:r w:rsidRPr="00B85204">
        <w:rPr>
          <w:rStyle w:val="FootnoteReference"/>
        </w:rPr>
        <w:footnoteRef/>
      </w:r>
      <w:r w:rsidRPr="00B85204">
        <w:t xml:space="preserve"> </w:t>
      </w:r>
      <w:r w:rsidR="00727565" w:rsidRPr="00B85204">
        <w:t>Article 13(</w:t>
      </w:r>
      <w:r w:rsidR="00DC3B70">
        <w:t>3</w:t>
      </w:r>
      <w:r w:rsidR="00727565" w:rsidRPr="00B85204">
        <w:t xml:space="preserve">) of the Windsor Framework to the Agreement on the Withdrawal of the UK of Great Britain and NI from the EU and the European Atomic Energy Community 2020; This includes </w:t>
      </w:r>
      <w:r w:rsidR="00DC3B70">
        <w:t xml:space="preserve">any changes </w:t>
      </w:r>
      <w:r w:rsidR="00727565" w:rsidRPr="00B85204">
        <w:t>deriving from</w:t>
      </w:r>
      <w:r w:rsidR="006C259E" w:rsidRPr="00B85204">
        <w:t xml:space="preserve"> </w:t>
      </w:r>
      <w:r w:rsidR="00DC3B70">
        <w:t xml:space="preserve">EU </w:t>
      </w:r>
      <w:r w:rsidR="00727565" w:rsidRPr="00B85204">
        <w:t>caselaw</w:t>
      </w:r>
      <w:r w:rsidR="00DC3B70">
        <w:t xml:space="preserve"> (see Article 13(2)</w:t>
      </w:r>
      <w:r w:rsidR="006C259E" w:rsidRPr="00B85204">
        <w:t>.</w:t>
      </w:r>
      <w:r w:rsidR="00DC3B70">
        <w:t xml:space="preserve"> </w:t>
      </w:r>
      <w:r w:rsidR="00DC3B70" w:rsidRPr="00B85204">
        <w:t>In December 2022, the European Commission published proposals on two Directives on standards for equality bodies. The NIHRC considers that the proposed Directives amend provisions of a number of the Annex 1 equality directives and it is therefore important that NI equality law is amended to keep pace with any changes to these equality directives, if the proposals are introduced; Proposal for a Council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200- 43/EC and Article 12 of Directive 2004/113/EC. Proposal for a Directive of the European Parliament and of the Council on standards for equality bodies in the field of equal treatment and equal opportunities between women and men in matters of employment and occupation, and deleting Article 20 of Directive 2006/54/EC and Article 11 of Directive 2010/41/EU.</w:t>
      </w:r>
    </w:p>
  </w:footnote>
  <w:footnote w:id="15">
    <w:p w14:paraId="78DD4C56" w14:textId="77777777" w:rsidR="00D06088" w:rsidRPr="00B85204" w:rsidRDefault="00D06088" w:rsidP="008D566D">
      <w:pPr>
        <w:pStyle w:val="Footnote"/>
      </w:pPr>
      <w:r w:rsidRPr="00B85204">
        <w:rPr>
          <w:rStyle w:val="FootnoteReference"/>
        </w:rPr>
        <w:footnoteRef/>
      </w:r>
      <w:r w:rsidRPr="00B85204">
        <w:t xml:space="preserve"> Email correspondence from the Executive Office to NI Human Rights Commission, 11 October 2022.</w:t>
      </w:r>
    </w:p>
  </w:footnote>
  <w:footnote w:id="16">
    <w:p w14:paraId="5CC67A46" w14:textId="77777777" w:rsidR="00D06088" w:rsidRPr="00B85204" w:rsidRDefault="00D06088" w:rsidP="008D566D">
      <w:pPr>
        <w:pStyle w:val="Footnote"/>
      </w:pPr>
      <w:r w:rsidRPr="00B85204">
        <w:rPr>
          <w:rStyle w:val="FootnoteReference"/>
          <w:rFonts w:eastAsia="MS Gothic"/>
        </w:rPr>
        <w:footnoteRef/>
      </w:r>
      <w:r w:rsidRPr="00B85204">
        <w:t xml:space="preserve"> Equality Commission for NI, 'Recommendations for Law Reform: Strengthening Protection Against Racial Discrimination' (ECNI, 2014), at 38. The Equality Act 2010 which applies in England, Scotland and Wales, contains a dual discrimination provision, which has not been brought into force.</w:t>
      </w:r>
    </w:p>
  </w:footnote>
  <w:footnote w:id="17">
    <w:p w14:paraId="5027CCB6" w14:textId="77777777" w:rsidR="00D06088" w:rsidRPr="00B85204" w:rsidRDefault="00D06088" w:rsidP="008D566D">
      <w:pPr>
        <w:pStyle w:val="Footnote"/>
      </w:pPr>
      <w:r w:rsidRPr="00B85204">
        <w:rPr>
          <w:rStyle w:val="FootnoteReference"/>
          <w:rFonts w:eastAsia="MS Gothic"/>
        </w:rPr>
        <w:footnoteRef/>
      </w:r>
      <w:r w:rsidRPr="00B85204">
        <w:t xml:space="preserve"> Independent Hate Crime Review Team, 'Hate Crime Legislation in NI: Independent Review' (DoJ, 2020), at Recommendation 11.</w:t>
      </w:r>
    </w:p>
  </w:footnote>
  <w:footnote w:id="18">
    <w:p w14:paraId="21E54FBD" w14:textId="77777777" w:rsidR="00D06088" w:rsidRPr="00B85204" w:rsidRDefault="00D06088" w:rsidP="008D566D">
      <w:pPr>
        <w:pStyle w:val="Footnote"/>
      </w:pPr>
      <w:r w:rsidRPr="00B85204">
        <w:rPr>
          <w:rStyle w:val="FootnoteReference"/>
          <w:rFonts w:eastAsia="MS Gothic"/>
        </w:rPr>
        <w:footnoteRef/>
      </w:r>
      <w:r w:rsidRPr="00B85204">
        <w:t xml:space="preserve"> Ibid.</w:t>
      </w:r>
    </w:p>
  </w:footnote>
  <w:footnote w:id="19">
    <w:p w14:paraId="376BFD15" w14:textId="782DEC31" w:rsidR="007266F7" w:rsidRPr="00B85204" w:rsidRDefault="007266F7" w:rsidP="008D566D">
      <w:pPr>
        <w:pStyle w:val="Footnote"/>
      </w:pPr>
      <w:r w:rsidRPr="00B85204">
        <w:rPr>
          <w:rStyle w:val="FootnoteReference"/>
          <w:rFonts w:eastAsia="MS Gothic"/>
        </w:rPr>
        <w:footnoteRef/>
      </w:r>
      <w:r w:rsidRPr="00B85204">
        <w:t xml:space="preserve"> </w:t>
      </w:r>
      <w:r w:rsidRPr="00B85204">
        <w:rPr>
          <w:rFonts w:eastAsia="MS Mincho" w:cs="Arial"/>
        </w:rPr>
        <w:t xml:space="preserve">In 2022, the Department of Justice committed to considering how to implement the Independent Hate Crime Review’s recommendations in a two-stage consultation process. </w:t>
      </w:r>
      <w:r w:rsidRPr="00B85204">
        <w:rPr>
          <w:rFonts w:eastAsia="MS Mincho" w:cs="Arial"/>
          <w:i/>
          <w:iCs/>
        </w:rPr>
        <w:t>See</w:t>
      </w:r>
      <w:r w:rsidRPr="00B85204">
        <w:rPr>
          <w:rFonts w:eastAsia="MS Mincho" w:cs="Arial"/>
        </w:rPr>
        <w:t xml:space="preserve"> </w:t>
      </w:r>
      <w:r w:rsidRPr="00B85204">
        <w:t>Department of Justice, ‘Improving the Effectiveness of Hate Crime Legislation in NI: A Public Consultation and Call for Views’ (DoJ, 2022)</w:t>
      </w:r>
      <w:r w:rsidR="00DB5A11" w:rsidRPr="00B85204">
        <w:t>; NI Human Rights Commission, ‘Response to Public Consultation on Improving the Effectiveness of Hate Crime Legislation in NI’ (NIHRC, 2022), at para 6.10.</w:t>
      </w:r>
    </w:p>
  </w:footnote>
  <w:footnote w:id="20">
    <w:p w14:paraId="6899E1B6" w14:textId="77777777" w:rsidR="00E82DAD" w:rsidRPr="00B85204" w:rsidRDefault="00E82DAD" w:rsidP="008D566D">
      <w:pPr>
        <w:pStyle w:val="Footnote"/>
      </w:pPr>
      <w:r w:rsidRPr="00B85204">
        <w:rPr>
          <w:rStyle w:val="FootnoteReference"/>
        </w:rPr>
        <w:footnoteRef/>
      </w:r>
      <w:r w:rsidRPr="00B85204">
        <w:t xml:space="preserve"> CEDAW/C/GBR/CO/8, ‘UN CEDAW Committee Concluding Observations on the Eighth Periodic Report of the UK of Great Britain and NI’, 14 March 2019, at para 25; The UN CEDAW Committee has expressed concern regarding the lack of systematic collection of disaggregated data within the UK, including NI, in particular with regard to intersecting forms of discrimination against women.</w:t>
      </w:r>
    </w:p>
  </w:footnote>
  <w:footnote w:id="21">
    <w:p w14:paraId="1025C7B6" w14:textId="4CB1D8B9" w:rsidR="00B66F13" w:rsidRPr="00B85204" w:rsidRDefault="00B66F13" w:rsidP="008D566D">
      <w:pPr>
        <w:pStyle w:val="Footnote"/>
      </w:pPr>
      <w:r w:rsidRPr="00B85204">
        <w:rPr>
          <w:rStyle w:val="FootnoteReference"/>
        </w:rPr>
        <w:footnoteRef/>
      </w:r>
      <w:r w:rsidRPr="00B85204">
        <w:t xml:space="preserve"> Women’s Budget Group, ‘Disabled Women and Austerity’ (WBG, 2018), at 5.</w:t>
      </w:r>
    </w:p>
  </w:footnote>
  <w:footnote w:id="22">
    <w:p w14:paraId="07AEE2B4" w14:textId="0D9B9037" w:rsidR="00B66F13" w:rsidRPr="00B85204" w:rsidRDefault="00B66F13" w:rsidP="008D566D">
      <w:pPr>
        <w:pStyle w:val="Footnote"/>
      </w:pPr>
      <w:r w:rsidRPr="00B85204">
        <w:rPr>
          <w:rStyle w:val="FootnoteReference"/>
        </w:rPr>
        <w:footnoteRef/>
      </w:r>
      <w:r w:rsidRPr="00B85204">
        <w:t xml:space="preserve"> Department for Communities, 'Gender Equality Strategy Expert Advisory Panel Report' (DfC, 2021), at 139.</w:t>
      </w:r>
    </w:p>
  </w:footnote>
  <w:footnote w:id="23">
    <w:p w14:paraId="561E8ED0" w14:textId="29504FDC" w:rsidR="003177F1" w:rsidRPr="00B85204" w:rsidRDefault="003177F1" w:rsidP="008D566D">
      <w:pPr>
        <w:pStyle w:val="Footnote"/>
      </w:pPr>
      <w:r w:rsidRPr="00B85204">
        <w:rPr>
          <w:rStyle w:val="FootnoteReference"/>
        </w:rPr>
        <w:footnoteRef/>
      </w:r>
      <w:r w:rsidRPr="00B85204">
        <w:t xml:space="preserve"> </w:t>
      </w:r>
      <w:bookmarkStart w:id="6" w:name="_Hlk150102341"/>
      <w:r w:rsidRPr="00B85204">
        <w:t>NI Human Rights Commission roundtable meetings with public bodies on CoE Istanbul Convention, 25 September 2023.</w:t>
      </w:r>
      <w:bookmarkEnd w:id="6"/>
    </w:p>
  </w:footnote>
  <w:footnote w:id="24">
    <w:p w14:paraId="7274EE09" w14:textId="77777777" w:rsidR="00E82DAD" w:rsidRPr="00B85204" w:rsidRDefault="00E82DAD" w:rsidP="008D566D">
      <w:pPr>
        <w:pStyle w:val="Footnote"/>
      </w:pPr>
      <w:r w:rsidRPr="00B85204">
        <w:rPr>
          <w:rStyle w:val="FootnoteReference"/>
        </w:rPr>
        <w:footnoteRef/>
      </w:r>
      <w:r w:rsidRPr="00B85204">
        <w:t xml:space="preserve"> NI Human Rights Commission roundtable with civil society organisations on CoE Istanbul Convention, 20 September 2023.</w:t>
      </w:r>
    </w:p>
  </w:footnote>
  <w:footnote w:id="25">
    <w:p w14:paraId="17433B16" w14:textId="5D767C9D" w:rsidR="00A77D9B" w:rsidRPr="00B85204" w:rsidRDefault="00A77D9B" w:rsidP="008D566D">
      <w:pPr>
        <w:pStyle w:val="Footnote"/>
      </w:pPr>
      <w:r w:rsidRPr="00B85204">
        <w:rPr>
          <w:rStyle w:val="FootnoteReference"/>
        </w:rPr>
        <w:footnoteRef/>
      </w:r>
      <w:r w:rsidRPr="00B85204">
        <w:t xml:space="preserve"> </w:t>
      </w:r>
      <w:r w:rsidR="0015399F">
        <w:t xml:space="preserve">In response to both draft strategies on domestic and sexual abuse and modern slavery and human trafficking, the NIHRC raised issues relevant to taking a gender-neutral approach to tackling violence against women and girls and the relevance of Windsor Framework Article 2. </w:t>
      </w:r>
      <w:r w:rsidR="0015399F">
        <w:rPr>
          <w:i/>
          <w:iCs/>
        </w:rPr>
        <w:t xml:space="preserve">See </w:t>
      </w:r>
      <w:r w:rsidRPr="00B85204">
        <w:t>Department of Health and Department of Justice, ‘Draft Domestic and Sexual Abuse Strategy: 2023-2030’ (DoH and DoJ, 2023)</w:t>
      </w:r>
      <w:r w:rsidR="00323102" w:rsidRPr="00B85204">
        <w:t>; Department of Justice, ‘NI Draft Modern Slavery and Human Trafficking Strategy: Consultation’ (DoJ, 2022)</w:t>
      </w:r>
      <w:r w:rsidR="005B05D6">
        <w:t xml:space="preserve">; </w:t>
      </w:r>
      <w:r w:rsidR="00D11671">
        <w:t>NI Human Rights Commission</w:t>
      </w:r>
      <w:r w:rsidR="003600DC">
        <w:t>, ‘</w:t>
      </w:r>
      <w:r w:rsidR="0072441B">
        <w:t xml:space="preserve">NIHRC Response to the Department of Health and the Department of Justice’s Consultation on a Draft Domestic and </w:t>
      </w:r>
      <w:r w:rsidR="00C83672">
        <w:t>Sexual Abuse Strategy</w:t>
      </w:r>
      <w:r w:rsidR="00B560CE">
        <w:t xml:space="preserve">’ (NIHRC, </w:t>
      </w:r>
      <w:r w:rsidR="00585249">
        <w:t>202</w:t>
      </w:r>
      <w:r w:rsidR="001E296C">
        <w:t>3); NI Human Rights Commission, ‘</w:t>
      </w:r>
      <w:r w:rsidR="00A04F10">
        <w:t xml:space="preserve">NIHRC Submission to Department of Justice Consultation on </w:t>
      </w:r>
      <w:r w:rsidR="00937286">
        <w:t>the Draft Modern Slavery and Human Trafficking Strategy’ (</w:t>
      </w:r>
      <w:r w:rsidR="00ED75FA">
        <w:t xml:space="preserve">NIHRC, 2023). </w:t>
      </w:r>
    </w:p>
  </w:footnote>
  <w:footnote w:id="26">
    <w:p w14:paraId="54323997" w14:textId="5BE20B54" w:rsidR="00AD25ED" w:rsidRPr="00B85204" w:rsidRDefault="00AD25ED" w:rsidP="008D566D">
      <w:pPr>
        <w:pStyle w:val="Footnote"/>
      </w:pPr>
      <w:r w:rsidRPr="00B85204">
        <w:rPr>
          <w:rStyle w:val="FootnoteReference"/>
        </w:rPr>
        <w:footnoteRef/>
      </w:r>
      <w:r w:rsidRPr="00B85204">
        <w:t xml:space="preserve"> Roundtable discussions with NI women’s policy groups and NI women’s community groups, October 2017, November 2017, February 2018 and March 2018</w:t>
      </w:r>
      <w:r w:rsidR="00F72B97" w:rsidRPr="00B85204">
        <w:t>; Jessical Leigh Doyle and Monica McWilliams, ‘Intimate Partner Violence in Conflict and Post-Conflict Settings’ (Ulster University, 2018), at 57</w:t>
      </w:r>
      <w:r w:rsidR="003600DC">
        <w:t>.</w:t>
      </w:r>
      <w:r w:rsidR="00F72B97" w:rsidRPr="00B85204">
        <w:t xml:space="preserve"> </w:t>
      </w:r>
    </w:p>
  </w:footnote>
  <w:footnote w:id="27">
    <w:p w14:paraId="151296A0" w14:textId="000A89FC" w:rsidR="00C96CFE" w:rsidRPr="00B85204" w:rsidRDefault="00C96CFE" w:rsidP="008D566D">
      <w:pPr>
        <w:pStyle w:val="Footnote"/>
      </w:pPr>
      <w:r w:rsidRPr="00B85204">
        <w:rPr>
          <w:rStyle w:val="FootnoteReference"/>
        </w:rPr>
        <w:footnoteRef/>
      </w:r>
      <w:r w:rsidRPr="00B85204">
        <w:t xml:space="preserve"> </w:t>
      </w:r>
      <w:r w:rsidR="00CF6734" w:rsidRPr="00B85204">
        <w:t>Jessical Leigh Doyle and Monica McWilliams, ‘Intimate Partner Violence in Conflict and Post-Conflict Settings’ (Ulster University, 2018), at 57</w:t>
      </w:r>
      <w:r w:rsidR="00B26947" w:rsidRPr="00B85204">
        <w:t>; House of Commons NI Affairs Committee, ‘The Effect of Paramilitary Activity and Organised Crime on Society in NI’ (NIAC, 2024), at para 16.</w:t>
      </w:r>
    </w:p>
  </w:footnote>
  <w:footnote w:id="28">
    <w:p w14:paraId="116E6DD6" w14:textId="4A3C9E40" w:rsidR="00E57AA7" w:rsidRPr="00B85204" w:rsidRDefault="00E57AA7" w:rsidP="008D566D">
      <w:pPr>
        <w:pStyle w:val="Footnote"/>
      </w:pPr>
      <w:r w:rsidRPr="00B85204">
        <w:rPr>
          <w:rStyle w:val="FootnoteReference"/>
        </w:rPr>
        <w:footnoteRef/>
      </w:r>
      <w:r w:rsidRPr="00B85204">
        <w:t xml:space="preserve"> Women’s Aid Federation NI, ‘Hear Her Voice’ (WAFNI, 2023), at 45</w:t>
      </w:r>
      <w:r w:rsidR="00306D1B" w:rsidRPr="00B85204">
        <w:t>; House of Commons NI Affairs Committee, ‘The Effect of Paramilitary Activity and Organised Crime on Society in NI’ (NIAC, 2024), at para 15.</w:t>
      </w:r>
    </w:p>
  </w:footnote>
  <w:footnote w:id="29">
    <w:p w14:paraId="11906870" w14:textId="4488948C" w:rsidR="000E7A3A" w:rsidRPr="00B85204" w:rsidRDefault="000E7A3A" w:rsidP="008D566D">
      <w:pPr>
        <w:pStyle w:val="Footnote"/>
      </w:pPr>
      <w:r w:rsidRPr="00B85204">
        <w:rPr>
          <w:rStyle w:val="FootnoteReference"/>
        </w:rPr>
        <w:footnoteRef/>
      </w:r>
      <w:r w:rsidRPr="00B85204">
        <w:t xml:space="preserve"> </w:t>
      </w:r>
      <w:r w:rsidR="007B3324" w:rsidRPr="00B85204">
        <w:t xml:space="preserve">The NIHRC was granted leave to take a Judicial Review against the Department for Communities and the NI Housing Executive in relation to housing allocation points. </w:t>
      </w:r>
      <w:r w:rsidR="007B3324" w:rsidRPr="00B85204">
        <w:rPr>
          <w:i/>
          <w:iCs/>
        </w:rPr>
        <w:t xml:space="preserve">See </w:t>
      </w:r>
      <w:r w:rsidRPr="00B85204">
        <w:t xml:space="preserve">Ibid, at 19; NI Human Rights Commission, ‘Fact Sheet: NI Human Rights Commission legal action on housing points scheme’. Available at: </w:t>
      </w:r>
      <w:hyperlink r:id="rId2" w:history="1">
        <w:r w:rsidRPr="00B85204">
          <w:rPr>
            <w:rStyle w:val="Hyperlink"/>
            <w:color w:val="77328A"/>
          </w:rPr>
          <w:t>Fact Sheet: Northern Ireland Human Rights Commission legal action on housing points scheme | Northern Ireland Human Rights Commission (nihrc.org)</w:t>
        </w:r>
      </w:hyperlink>
      <w:r w:rsidRPr="00B85204">
        <w:t>; The NIHRC was granted leave to take a Judicial Review against the Department for Communities and the NI Housing Executive in relation to housing allocation points.</w:t>
      </w:r>
    </w:p>
  </w:footnote>
  <w:footnote w:id="30">
    <w:p w14:paraId="239DFE8B" w14:textId="29550573" w:rsidR="0001062C" w:rsidRPr="00B85204" w:rsidRDefault="0001062C" w:rsidP="008D566D">
      <w:pPr>
        <w:pStyle w:val="Footnote"/>
      </w:pPr>
      <w:r w:rsidRPr="00B85204">
        <w:rPr>
          <w:rStyle w:val="FootnoteReference"/>
        </w:rPr>
        <w:footnoteRef/>
      </w:r>
      <w:r w:rsidRPr="00B85204">
        <w:t xml:space="preserve"> </w:t>
      </w:r>
      <w:r w:rsidR="00E132DA" w:rsidRPr="00B85204">
        <w:t>Ibid, at 19</w:t>
      </w:r>
      <w:r w:rsidR="00783829" w:rsidRPr="00B85204">
        <w:t xml:space="preserve">; </w:t>
      </w:r>
      <w:r w:rsidR="00CB2157" w:rsidRPr="00B85204">
        <w:t>NI Human Rights Commission, ‘Fact Sheet: NI Human Rights Commi</w:t>
      </w:r>
      <w:r w:rsidR="00FD3713" w:rsidRPr="00B85204">
        <w:t xml:space="preserve">ssion legal action on housing points scheme’. Available at: </w:t>
      </w:r>
      <w:hyperlink r:id="rId3" w:history="1">
        <w:r w:rsidR="006C2DD0" w:rsidRPr="00B85204">
          <w:rPr>
            <w:rStyle w:val="Hyperlink"/>
            <w:color w:val="77328A"/>
          </w:rPr>
          <w:t>Fact Sheet: Northern Ireland Human Rights Commission legal action on housing points scheme | Northern Ireland Human Rights Commission (nihrc.org)</w:t>
        </w:r>
      </w:hyperlink>
      <w:r w:rsidR="006C2DD0" w:rsidRPr="00B85204">
        <w:t xml:space="preserve">; The NIHRC was granted leave to take a Judicial Review against the Department for Communities and the NI Housing Executive </w:t>
      </w:r>
      <w:r w:rsidR="00705B7D" w:rsidRPr="00B85204">
        <w:t>in relation to housing allocation points.</w:t>
      </w:r>
    </w:p>
  </w:footnote>
  <w:footnote w:id="31">
    <w:p w14:paraId="04CB0A77" w14:textId="3321B2E4" w:rsidR="00B2558D" w:rsidRPr="00B85204" w:rsidRDefault="00B2558D" w:rsidP="008D566D">
      <w:pPr>
        <w:pStyle w:val="Footnote"/>
      </w:pPr>
      <w:r w:rsidRPr="00B85204">
        <w:rPr>
          <w:rStyle w:val="FootnoteReference"/>
        </w:rPr>
        <w:footnoteRef/>
      </w:r>
      <w:r w:rsidRPr="00B85204">
        <w:t xml:space="preserve"> </w:t>
      </w:r>
      <w:r w:rsidR="003006A9" w:rsidRPr="00B85204">
        <w:t>Financial Conduct Authority, ‘Financial Lives Survey 2017 (Updated 2020)’ (FCA, 2020).</w:t>
      </w:r>
    </w:p>
  </w:footnote>
  <w:footnote w:id="32">
    <w:p w14:paraId="45F6C23C" w14:textId="1CDD64B4" w:rsidR="003006A9" w:rsidRPr="00B85204" w:rsidRDefault="003006A9" w:rsidP="008D566D">
      <w:pPr>
        <w:pStyle w:val="Footnote"/>
      </w:pPr>
      <w:r w:rsidRPr="00B85204">
        <w:rPr>
          <w:rStyle w:val="FootnoteReference"/>
        </w:rPr>
        <w:footnoteRef/>
      </w:r>
      <w:r w:rsidRPr="00B85204">
        <w:t xml:space="preserve"> </w:t>
      </w:r>
      <w:r w:rsidR="00031444" w:rsidRPr="00B85204">
        <w:t>Women and Equalities Committee, ‘Unequal Impact: Coronavirus and the Gendered Economic Impact’ (WEC), at para 36.</w:t>
      </w:r>
    </w:p>
  </w:footnote>
  <w:footnote w:id="33">
    <w:p w14:paraId="49F4B84A" w14:textId="6827E88F" w:rsidR="00031444" w:rsidRPr="00B85204" w:rsidRDefault="00031444" w:rsidP="008D566D">
      <w:pPr>
        <w:pStyle w:val="Footnote"/>
      </w:pPr>
      <w:r w:rsidRPr="00B85204">
        <w:rPr>
          <w:rStyle w:val="FootnoteReference"/>
        </w:rPr>
        <w:footnoteRef/>
      </w:r>
      <w:r w:rsidRPr="00B85204">
        <w:t xml:space="preserve"> </w:t>
      </w:r>
      <w:r w:rsidR="00FB1002" w:rsidRPr="00B85204">
        <w:t>Consortium for the Regional Support for Women in Disadvantaged and Rural Areas ‘Women Living with Debt’ (CRSWDRA, 2022); ‘Spotlight: Paramilitary loan sharks targeting food bank users’, BBC News, 13 December 2022</w:t>
      </w:r>
      <w:r w:rsidR="00FF67CC" w:rsidRPr="00B85204">
        <w:t>; House of Commons NI Affairs Committee, ‘The Effect of Paramilitary Activity and Organised Crime on Society in NI’ (NIAC, 2024).</w:t>
      </w:r>
    </w:p>
  </w:footnote>
  <w:footnote w:id="34">
    <w:p w14:paraId="3B56F449" w14:textId="5E1191BC" w:rsidR="00B8022E" w:rsidRPr="00B85204" w:rsidRDefault="00B8022E" w:rsidP="008D566D">
      <w:pPr>
        <w:pStyle w:val="Footnote"/>
      </w:pPr>
      <w:r w:rsidRPr="00B85204">
        <w:rPr>
          <w:rStyle w:val="FootnoteReference"/>
        </w:rPr>
        <w:footnoteRef/>
      </w:r>
      <w:r w:rsidRPr="00B85204">
        <w:t xml:space="preserve"> </w:t>
      </w:r>
      <w:r w:rsidR="006E0B51" w:rsidRPr="00B85204">
        <w:t>Roundtable discussions with NI women’s policy groups and NI women’s community groups, October 2017, November 2017, February 2018 and March 2018</w:t>
      </w:r>
      <w:r w:rsidR="00C26E91" w:rsidRPr="00B85204">
        <w:t>; House of Commons NI Affairs Committee, ‘The Effect of Paramilitary Activity and Organised Crime on Society in NI’ (NIAC, 2024)</w:t>
      </w:r>
      <w:r w:rsidR="004E1BA2" w:rsidRPr="00B85204">
        <w:t>.</w:t>
      </w:r>
    </w:p>
  </w:footnote>
  <w:footnote w:id="35">
    <w:p w14:paraId="08CF1672" w14:textId="54A64688" w:rsidR="004A705B" w:rsidRPr="00B85204" w:rsidRDefault="004A705B" w:rsidP="008D566D">
      <w:pPr>
        <w:pStyle w:val="Footnote"/>
      </w:pPr>
      <w:r w:rsidRPr="00B85204">
        <w:rPr>
          <w:rStyle w:val="FootnoteReference"/>
        </w:rPr>
        <w:footnoteRef/>
      </w:r>
      <w:r w:rsidRPr="00B85204">
        <w:t xml:space="preserve"> </w:t>
      </w:r>
      <w:r w:rsidR="003A3DC4" w:rsidRPr="00B85204">
        <w:t>Women’s Aid Federation NI, ‘Hear Her Voice’ (WAFNI, 2023), at 43.</w:t>
      </w:r>
    </w:p>
  </w:footnote>
  <w:footnote w:id="36">
    <w:p w14:paraId="0A798797" w14:textId="21B2E439" w:rsidR="003A3DC4" w:rsidRPr="00B85204" w:rsidRDefault="003A3DC4" w:rsidP="008D566D">
      <w:pPr>
        <w:pStyle w:val="Footnote"/>
      </w:pPr>
      <w:r w:rsidRPr="00B85204">
        <w:rPr>
          <w:rStyle w:val="FootnoteReference"/>
        </w:rPr>
        <w:footnoteRef/>
      </w:r>
      <w:r w:rsidRPr="00B85204">
        <w:t xml:space="preserve"> Ibid.</w:t>
      </w:r>
    </w:p>
  </w:footnote>
  <w:footnote w:id="37">
    <w:p w14:paraId="2F7059AF" w14:textId="57CD8C40" w:rsidR="00D02D50" w:rsidRPr="00B85204" w:rsidRDefault="00D02D50" w:rsidP="008D566D">
      <w:pPr>
        <w:pStyle w:val="Footnote"/>
      </w:pPr>
      <w:r w:rsidRPr="00B85204">
        <w:rPr>
          <w:rStyle w:val="FootnoteReference"/>
        </w:rPr>
        <w:footnoteRef/>
      </w:r>
      <w:r w:rsidRPr="00B85204">
        <w:t xml:space="preserve"> Free Movement, ‘How to Apply for Leave to Remain as a Victim of Domestic Violence’. Available at: </w:t>
      </w:r>
      <w:hyperlink r:id="rId4" w:history="1">
        <w:r w:rsidRPr="00B85204">
          <w:rPr>
            <w:rStyle w:val="Hyperlink"/>
            <w:color w:val="77328A"/>
          </w:rPr>
          <w:t>How to apply for leave to remain as a victim of domestic violence – Free Movement</w:t>
        </w:r>
      </w:hyperlink>
      <w:r w:rsidRPr="00B85204">
        <w:t>; NI Human Rights Commission roundtable with civil society organisations on CoE Istanbul Convention, 20 September 2023; In NI, there have been reports of the Police Service of NI reporting women with insecure migration status, who have come forward for help with domestic abuse to the Home Office.</w:t>
      </w:r>
    </w:p>
  </w:footnote>
  <w:footnote w:id="38">
    <w:p w14:paraId="1A86CFB7" w14:textId="5A782186" w:rsidR="0002278B" w:rsidRPr="00B85204" w:rsidRDefault="0002278B" w:rsidP="008D566D">
      <w:pPr>
        <w:pStyle w:val="Footnote"/>
      </w:pPr>
      <w:r w:rsidRPr="00B85204">
        <w:rPr>
          <w:rStyle w:val="FootnoteReference"/>
        </w:rPr>
        <w:footnoteRef/>
      </w:r>
      <w:r w:rsidRPr="00B85204">
        <w:t xml:space="preserve"> NI Human Rights Commission, ‘The 2022 Annual Statement: Human Rights in NI’ (NIHRC, 2022), at 103.</w:t>
      </w:r>
    </w:p>
  </w:footnote>
  <w:footnote w:id="39">
    <w:p w14:paraId="0DBA8B2E" w14:textId="3093CECE" w:rsidR="0002278B" w:rsidRPr="00B85204" w:rsidRDefault="0002278B" w:rsidP="008D566D">
      <w:pPr>
        <w:pStyle w:val="Footnote"/>
      </w:pPr>
      <w:r w:rsidRPr="00B85204">
        <w:rPr>
          <w:rStyle w:val="FootnoteReference"/>
        </w:rPr>
        <w:footnoteRef/>
      </w:r>
      <w:r w:rsidRPr="00B85204">
        <w:t xml:space="preserve"> Home Office, ‘Victims of Domestic Violence (DDV) Concession’ (UK Gov, 2019).</w:t>
      </w:r>
    </w:p>
  </w:footnote>
  <w:footnote w:id="40">
    <w:p w14:paraId="1F0B70DB" w14:textId="3A0E1280" w:rsidR="00D02D50" w:rsidRPr="00B85204" w:rsidRDefault="00D02D50" w:rsidP="008D566D">
      <w:pPr>
        <w:pStyle w:val="Footnote"/>
      </w:pPr>
      <w:r w:rsidRPr="00B85204">
        <w:rPr>
          <w:rStyle w:val="FootnoteReference"/>
        </w:rPr>
        <w:footnoteRef/>
      </w:r>
      <w:r w:rsidRPr="00B85204">
        <w:t xml:space="preserve"> NI Human Rights Commission roundtable with civil society organisations on CoE Istanbul Convention, 20 September 2023</w:t>
      </w:r>
      <w:r w:rsidR="0002278B" w:rsidRPr="00B85204">
        <w:t>.</w:t>
      </w:r>
    </w:p>
  </w:footnote>
  <w:footnote w:id="41">
    <w:p w14:paraId="6D1D701C" w14:textId="2E8510E4" w:rsidR="00347609" w:rsidRPr="00B85204" w:rsidRDefault="00347609" w:rsidP="008D566D">
      <w:pPr>
        <w:pStyle w:val="Footnote"/>
      </w:pPr>
      <w:r w:rsidRPr="00B85204">
        <w:rPr>
          <w:rStyle w:val="FootnoteReference"/>
        </w:rPr>
        <w:footnoteRef/>
      </w:r>
      <w:r w:rsidRPr="00B85204">
        <w:t xml:space="preserve"> </w:t>
      </w:r>
      <w:r w:rsidR="005F6A39" w:rsidRPr="00B85204">
        <w:t>Article 59 of the Istanbul Convention includes protections related to residence status.</w:t>
      </w:r>
    </w:p>
  </w:footnote>
  <w:footnote w:id="42">
    <w:p w14:paraId="1AF86AF1" w14:textId="0E35FBEA" w:rsidR="00EC78AC" w:rsidRPr="00B85204" w:rsidRDefault="00EC78AC" w:rsidP="008D566D">
      <w:pPr>
        <w:pStyle w:val="Footnote"/>
      </w:pPr>
      <w:r w:rsidRPr="00B85204">
        <w:rPr>
          <w:rStyle w:val="FootnoteReference"/>
        </w:rPr>
        <w:footnoteRef/>
      </w:r>
      <w:r w:rsidRPr="00B85204">
        <w:t xml:space="preserve"> NI Human Rights Commission, ‘Response to Call for Evidence by the Joint Committee on Human Rights on the Nationality and Borders Bill’ (NIHRC, 2021), at paras 4.5-4.25 and 7.1-7.12.</w:t>
      </w:r>
    </w:p>
  </w:footnote>
  <w:footnote w:id="43">
    <w:p w14:paraId="4EE4F7F6" w14:textId="20E47260" w:rsidR="00037666" w:rsidRPr="00B85204" w:rsidRDefault="00037666" w:rsidP="008D566D">
      <w:pPr>
        <w:pStyle w:val="Footnote"/>
      </w:pPr>
      <w:r w:rsidRPr="00B85204">
        <w:rPr>
          <w:rStyle w:val="FootnoteReference"/>
        </w:rPr>
        <w:footnoteRef/>
      </w:r>
      <w:r w:rsidRPr="00B85204">
        <w:t xml:space="preserve"> The Illegal Migration Act 2023</w:t>
      </w:r>
      <w:r w:rsidR="00494BF9" w:rsidRPr="00B85204">
        <w:t xml:space="preserve"> denies access to the UK asylum system for individuals arriving in the UK through unofficial routes, instead individuals could face detention and removal to another country. </w:t>
      </w:r>
      <w:r w:rsidRPr="00B85204">
        <w:rPr>
          <w:i/>
          <w:iCs/>
        </w:rPr>
        <w:t xml:space="preserve">See </w:t>
      </w:r>
      <w:r w:rsidR="00494BF9" w:rsidRPr="00B85204">
        <w:t xml:space="preserve">Sections 1(1) and 1(4), Illegal Migration Act 2023; </w:t>
      </w:r>
      <w:r w:rsidRPr="00B85204">
        <w:t xml:space="preserve">NI Human Rights Commission, ‘Illegal Migration Act Factsheet’. Available at: </w:t>
      </w:r>
      <w:hyperlink r:id="rId5" w:history="1">
        <w:r w:rsidRPr="00B85204">
          <w:rPr>
            <w:rStyle w:val="Hyperlink"/>
            <w:color w:val="77328A"/>
          </w:rPr>
          <w:t>Illegal Migration Act challenge Factsheet | Northern Ireland Human Rights Commission (nihrc.org)</w:t>
        </w:r>
      </w:hyperlink>
      <w:r w:rsidRPr="00B85204">
        <w:t xml:space="preserve">; </w:t>
      </w:r>
    </w:p>
  </w:footnote>
  <w:footnote w:id="44">
    <w:p w14:paraId="1FEFF563" w14:textId="7473329E" w:rsidR="00921C05" w:rsidRPr="00B85204" w:rsidRDefault="00921C05" w:rsidP="008D566D">
      <w:pPr>
        <w:pStyle w:val="Footnote"/>
      </w:pPr>
      <w:r w:rsidRPr="00B85204">
        <w:rPr>
          <w:rStyle w:val="FootnoteReference"/>
        </w:rPr>
        <w:footnoteRef/>
      </w:r>
      <w:r w:rsidRPr="00B85204">
        <w:t xml:space="preserve"> Section</w:t>
      </w:r>
      <w:r w:rsidR="00295BDC" w:rsidRPr="00B85204">
        <w:t xml:space="preserve">s 38(2) and </w:t>
      </w:r>
      <w:r w:rsidRPr="00B85204">
        <w:t>44, Illegal Migration Act 2023</w:t>
      </w:r>
      <w:r w:rsidR="00295BDC" w:rsidRPr="00B85204">
        <w:t xml:space="preserve">; Where these claims are rejected, an appeal can be made under a very narrow set of circumstances. </w:t>
      </w:r>
    </w:p>
  </w:footnote>
  <w:footnote w:id="45">
    <w:p w14:paraId="2806FBA0" w14:textId="2E9C9626" w:rsidR="00295BDC" w:rsidRPr="00B85204" w:rsidRDefault="00295BDC" w:rsidP="008D566D">
      <w:pPr>
        <w:pStyle w:val="Footnote"/>
      </w:pPr>
      <w:r w:rsidRPr="00B85204">
        <w:rPr>
          <w:rStyle w:val="FootnoteReference"/>
        </w:rPr>
        <w:footnoteRef/>
      </w:r>
      <w:r w:rsidRPr="00B85204">
        <w:t xml:space="preserve"> Section 40, Illegal Migration Act 2023</w:t>
      </w:r>
      <w:r w:rsidR="004557EA" w:rsidRPr="00B85204">
        <w:t>; NI Human Rights Commission, ‘Submission to the House of Lords on the Illegal Migration Bill’ (NIHRC, 2023).</w:t>
      </w:r>
    </w:p>
  </w:footnote>
  <w:footnote w:id="46">
    <w:p w14:paraId="1D61A4C0" w14:textId="77777777" w:rsidR="008D566D" w:rsidRDefault="008D566D" w:rsidP="008D566D">
      <w:pPr>
        <w:pStyle w:val="Footnote"/>
      </w:pPr>
      <w:r>
        <w:rPr>
          <w:rStyle w:val="FootnoteReference"/>
        </w:rPr>
        <w:footnoteRef/>
      </w:r>
      <w:r>
        <w:t xml:space="preserve"> The judicial review is </w:t>
      </w:r>
      <w:r w:rsidRPr="00B85204">
        <w:t>against the Secretary of State for the Home Department, and the Secretary of State for NI</w:t>
      </w:r>
      <w:r>
        <w:t>.</w:t>
      </w:r>
    </w:p>
  </w:footnote>
  <w:footnote w:id="47">
    <w:p w14:paraId="65DDBC3B" w14:textId="77777777" w:rsidR="0058393A" w:rsidRPr="00B85204" w:rsidRDefault="0058393A" w:rsidP="008D566D">
      <w:pPr>
        <w:pStyle w:val="Footnote"/>
      </w:pPr>
      <w:r w:rsidRPr="00B85204">
        <w:rPr>
          <w:rStyle w:val="FootnoteReference"/>
        </w:rPr>
        <w:footnoteRef/>
      </w:r>
      <w:r w:rsidRPr="00B85204">
        <w:t xml:space="preserve"> NI Human Rights Commission, ‘Relationships and Sexuality Education in Post Primary Schools in NI: A Compelling Case for Reform' (NIHRC, 2023).</w:t>
      </w:r>
    </w:p>
  </w:footnote>
  <w:footnote w:id="48">
    <w:p w14:paraId="5936F006" w14:textId="77777777" w:rsidR="009C0E78" w:rsidRPr="00B85204" w:rsidRDefault="009C0E78" w:rsidP="008D566D">
      <w:pPr>
        <w:pStyle w:val="Footnote"/>
      </w:pPr>
      <w:r w:rsidRPr="00B85204">
        <w:rPr>
          <w:rStyle w:val="FootnoteReference"/>
        </w:rPr>
        <w:footnoteRef/>
      </w:r>
      <w:r w:rsidRPr="00B85204">
        <w:t xml:space="preserve"> Ibid.</w:t>
      </w:r>
    </w:p>
  </w:footnote>
  <w:footnote w:id="49">
    <w:p w14:paraId="2BA2EB13" w14:textId="77777777" w:rsidR="009C0E78" w:rsidRPr="00B85204" w:rsidRDefault="009C0E78" w:rsidP="008D566D">
      <w:pPr>
        <w:pStyle w:val="Footnote"/>
      </w:pPr>
      <w:r w:rsidRPr="00B85204">
        <w:rPr>
          <w:rStyle w:val="FootnoteReference"/>
        </w:rPr>
        <w:footnoteRef/>
      </w:r>
      <w:r w:rsidRPr="00B85204">
        <w:t xml:space="preserve"> Ibid, at 61.</w:t>
      </w:r>
    </w:p>
  </w:footnote>
  <w:footnote w:id="50">
    <w:p w14:paraId="24210A07" w14:textId="45632860" w:rsidR="009C0E78" w:rsidRPr="00B85204" w:rsidRDefault="009C0E78" w:rsidP="008D566D">
      <w:pPr>
        <w:pStyle w:val="Footnote"/>
      </w:pPr>
      <w:r w:rsidRPr="00B85204">
        <w:rPr>
          <w:rStyle w:val="FootnoteReference"/>
        </w:rPr>
        <w:footnoteRef/>
      </w:r>
      <w:r w:rsidRPr="00B85204">
        <w:t xml:space="preserve"> </w:t>
      </w:r>
      <w:bookmarkStart w:id="13" w:name="_Hlk140845715"/>
      <w:r w:rsidR="00B41159" w:rsidRPr="00B85204">
        <w:rPr>
          <w:iCs/>
        </w:rPr>
        <w:t xml:space="preserve">These regulations amend the Education (NI) Order 2006, and the Education (Curriculum Minimum Content) Order (NI) 2007. </w:t>
      </w:r>
      <w:r w:rsidR="00B41159" w:rsidRPr="00B85204">
        <w:rPr>
          <w:i/>
        </w:rPr>
        <w:t xml:space="preserve">See </w:t>
      </w:r>
      <w:r w:rsidRPr="00B85204">
        <w:t>Regulation 2(2), Relationships and Sexuality Education (NI) (Amendment) Regulations 2023</w:t>
      </w:r>
      <w:bookmarkEnd w:id="13"/>
      <w:r w:rsidRPr="00B85204">
        <w:t>; Regulation 3, Relationships and Sexuality Education (NI) (Amendment) Regulations 2023.</w:t>
      </w:r>
    </w:p>
  </w:footnote>
  <w:footnote w:id="51">
    <w:p w14:paraId="298095CF" w14:textId="77777777" w:rsidR="009C0E78" w:rsidRPr="00B85204" w:rsidRDefault="009C0E78" w:rsidP="008D566D">
      <w:pPr>
        <w:pStyle w:val="Footnote"/>
      </w:pPr>
      <w:r w:rsidRPr="00B85204">
        <w:rPr>
          <w:rStyle w:val="FootnoteReference"/>
        </w:rPr>
        <w:footnoteRef/>
      </w:r>
      <w:r w:rsidRPr="00B85204">
        <w:t xml:space="preserve"> Regulation 2(3), Relationships and Sexuality Education (NI) (Amendment) Regulations 2023.</w:t>
      </w:r>
    </w:p>
  </w:footnote>
  <w:footnote w:id="52">
    <w:p w14:paraId="0727C553" w14:textId="77777777" w:rsidR="00426CDB" w:rsidRPr="00B85204" w:rsidRDefault="00426CDB" w:rsidP="008D566D">
      <w:pPr>
        <w:pStyle w:val="Footnote"/>
      </w:pPr>
      <w:r w:rsidRPr="00B85204">
        <w:rPr>
          <w:rStyle w:val="FootnoteReference"/>
        </w:rPr>
        <w:footnoteRef/>
      </w:r>
      <w:r w:rsidRPr="00B85204">
        <w:t xml:space="preserve"> Regulation 3, Curriculum (Circumstances in which a Pupil may be Excused from Sexual and Reproductive Health and Rights Education) Regulations (Northern Ireland) 2023.</w:t>
      </w:r>
    </w:p>
  </w:footnote>
  <w:footnote w:id="53">
    <w:p w14:paraId="5CD31937" w14:textId="34498CC6" w:rsidR="001111DB" w:rsidRPr="00B85204" w:rsidRDefault="001111DB" w:rsidP="008D566D">
      <w:pPr>
        <w:pStyle w:val="Footnote"/>
      </w:pPr>
      <w:r w:rsidRPr="00B85204">
        <w:rPr>
          <w:rStyle w:val="FootnoteReference"/>
        </w:rPr>
        <w:footnoteRef/>
      </w:r>
      <w:r w:rsidRPr="00B85204">
        <w:t xml:space="preserve"> Regulation 3, Curriculum (Circumstances in which a Pupil may be Excused from Sexual and Reproductive Health and Rights Education) Regulations (Northern Ireland) 2023.</w:t>
      </w:r>
    </w:p>
  </w:footnote>
  <w:footnote w:id="54">
    <w:p w14:paraId="44FFFE8A" w14:textId="77777777" w:rsidR="009C0E78" w:rsidRPr="00B85204" w:rsidRDefault="009C0E78" w:rsidP="008D566D">
      <w:pPr>
        <w:pStyle w:val="Footnote"/>
      </w:pPr>
      <w:r w:rsidRPr="00B85204">
        <w:rPr>
          <w:rStyle w:val="FootnoteReference"/>
        </w:rPr>
        <w:footnoteRef/>
      </w:r>
      <w:r w:rsidRPr="00B85204">
        <w:t xml:space="preserve"> Meeting between NI Human Rights Commission and civil society organisations, 25 July 2023.</w:t>
      </w:r>
    </w:p>
  </w:footnote>
  <w:footnote w:id="55">
    <w:p w14:paraId="2BD4D3E5" w14:textId="77777777" w:rsidR="009C0E78" w:rsidRPr="00B85204" w:rsidRDefault="009C0E78" w:rsidP="008D566D">
      <w:pPr>
        <w:pStyle w:val="Footnote"/>
      </w:pPr>
      <w:r w:rsidRPr="00B85204">
        <w:rPr>
          <w:rStyle w:val="FootnoteReference"/>
        </w:rPr>
        <w:footnoteRef/>
      </w:r>
      <w:r w:rsidRPr="00B85204">
        <w:t xml:space="preserve"> Within Part 5 of the Minimum Content Order, in relation to Key Stage 3 Learning for Life and Work, the following are mentioned: Explore the implications of sexual maturation; Explore the emotional social and moral implications of early sexual activity. Within Part 6 of the Minimum Content Order, at Key Stage 4, under Learning for Life and Work, it states that pupils should be enabled to; develop their understanding of relationships and sexuality and the responsibilities of healthy relationships; develop an understanding of the roles and responsibilities of parenting. See </w:t>
      </w:r>
      <w:r w:rsidRPr="00B85204">
        <w:rPr>
          <w:iCs/>
        </w:rPr>
        <w:t>Education (Curriculum Minimum Content) Order (NI)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386"/>
    <w:multiLevelType w:val="multilevel"/>
    <w:tmpl w:val="7A4E60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 w15:restartNumberingAfterBreak="0">
    <w:nsid w:val="1F327C2A"/>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3363127B"/>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36E95947"/>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4" w15:restartNumberingAfterBreak="0">
    <w:nsid w:val="372418CA"/>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 w15:restartNumberingAfterBreak="0">
    <w:nsid w:val="39AD6A8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3E60386D"/>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7" w15:restartNumberingAfterBreak="0">
    <w:nsid w:val="3FA435B6"/>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4DA90E30"/>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9" w15:restartNumberingAfterBreak="0">
    <w:nsid w:val="4DD818CF"/>
    <w:multiLevelType w:val="multilevel"/>
    <w:tmpl w:val="C69CF6B2"/>
    <w:lvl w:ilvl="0">
      <w:start w:val="1"/>
      <w:numFmt w:val="decimal"/>
      <w:lvlText w:val="%1."/>
      <w:lvlJc w:val="left"/>
      <w:pPr>
        <w:ind w:left="720" w:hanging="360"/>
      </w:pPr>
    </w:lvl>
    <w:lvl w:ilvl="1">
      <w:start w:val="1"/>
      <w:numFmt w:val="decimal"/>
      <w:lvlText w:val="%1.%2."/>
      <w:lvlJc w:val="left"/>
      <w:pPr>
        <w:ind w:left="1152" w:hanging="432"/>
      </w:pPr>
      <w:rPr>
        <w:rFonts w:ascii="Verdana" w:hAnsi="Verdana"/>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E3A3B60"/>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1" w15:restartNumberingAfterBreak="0">
    <w:nsid w:val="52EB436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2" w15:restartNumberingAfterBreak="0">
    <w:nsid w:val="54354993"/>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3" w15:restartNumberingAfterBreak="0">
    <w:nsid w:val="6595599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4" w15:restartNumberingAfterBreak="0">
    <w:nsid w:val="7D0E4600"/>
    <w:multiLevelType w:val="multilevel"/>
    <w:tmpl w:val="4F70DCD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FF121DE"/>
    <w:multiLevelType w:val="multilevel"/>
    <w:tmpl w:val="CF2A176E"/>
    <w:lvl w:ilvl="0">
      <w:start w:val="2"/>
      <w:numFmt w:val="decimal"/>
      <w:lvlText w:val="%1"/>
      <w:lvlJc w:val="left"/>
      <w:pPr>
        <w:ind w:left="390" w:hanging="390"/>
      </w:pPr>
      <w:rPr>
        <w:rFonts w:hint="default"/>
      </w:rPr>
    </w:lvl>
    <w:lvl w:ilvl="1">
      <w:numFmt w:val="decimal"/>
      <w:lvlText w:val="%1.%2"/>
      <w:lvlJc w:val="left"/>
      <w:pPr>
        <w:ind w:left="639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309871980">
    <w:abstractNumId w:val="15"/>
  </w:num>
  <w:num w:numId="2" w16cid:durableId="1688750668">
    <w:abstractNumId w:val="13"/>
  </w:num>
  <w:num w:numId="3" w16cid:durableId="1322152899">
    <w:abstractNumId w:val="12"/>
  </w:num>
  <w:num w:numId="4" w16cid:durableId="1438410693">
    <w:abstractNumId w:val="9"/>
  </w:num>
  <w:num w:numId="5" w16cid:durableId="142351210">
    <w:abstractNumId w:val="0"/>
  </w:num>
  <w:num w:numId="6" w16cid:durableId="1506046020">
    <w:abstractNumId w:val="5"/>
  </w:num>
  <w:num w:numId="7" w16cid:durableId="1307008679">
    <w:abstractNumId w:val="14"/>
  </w:num>
  <w:num w:numId="8" w16cid:durableId="1899632969">
    <w:abstractNumId w:val="4"/>
  </w:num>
  <w:num w:numId="9" w16cid:durableId="827020271">
    <w:abstractNumId w:val="7"/>
  </w:num>
  <w:num w:numId="10" w16cid:durableId="461002455">
    <w:abstractNumId w:val="3"/>
  </w:num>
  <w:num w:numId="11" w16cid:durableId="521288829">
    <w:abstractNumId w:val="10"/>
  </w:num>
  <w:num w:numId="12" w16cid:durableId="1863401273">
    <w:abstractNumId w:val="2"/>
  </w:num>
  <w:num w:numId="13" w16cid:durableId="1346399576">
    <w:abstractNumId w:val="1"/>
  </w:num>
  <w:num w:numId="14" w16cid:durableId="1557205844">
    <w:abstractNumId w:val="6"/>
  </w:num>
  <w:num w:numId="15" w16cid:durableId="2086101590">
    <w:abstractNumId w:val="11"/>
  </w:num>
  <w:num w:numId="16" w16cid:durableId="269245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2D"/>
    <w:rsid w:val="00003F51"/>
    <w:rsid w:val="0001062C"/>
    <w:rsid w:val="000146FB"/>
    <w:rsid w:val="00016A7D"/>
    <w:rsid w:val="00020F32"/>
    <w:rsid w:val="0002278B"/>
    <w:rsid w:val="00030DB3"/>
    <w:rsid w:val="00031444"/>
    <w:rsid w:val="00037666"/>
    <w:rsid w:val="00037EA5"/>
    <w:rsid w:val="00076AC5"/>
    <w:rsid w:val="0009350E"/>
    <w:rsid w:val="000A5168"/>
    <w:rsid w:val="000A6BE3"/>
    <w:rsid w:val="000C7297"/>
    <w:rsid w:val="000E01B8"/>
    <w:rsid w:val="000E18D9"/>
    <w:rsid w:val="000E2C49"/>
    <w:rsid w:val="000E7A3A"/>
    <w:rsid w:val="000F2A20"/>
    <w:rsid w:val="000F497C"/>
    <w:rsid w:val="00103306"/>
    <w:rsid w:val="001111DB"/>
    <w:rsid w:val="00116EC3"/>
    <w:rsid w:val="00124AF7"/>
    <w:rsid w:val="0015399F"/>
    <w:rsid w:val="00155A82"/>
    <w:rsid w:val="0016397C"/>
    <w:rsid w:val="00166FAC"/>
    <w:rsid w:val="001877DA"/>
    <w:rsid w:val="001929AF"/>
    <w:rsid w:val="001B33CA"/>
    <w:rsid w:val="001C0ED0"/>
    <w:rsid w:val="001D4854"/>
    <w:rsid w:val="001D7D81"/>
    <w:rsid w:val="001E2221"/>
    <w:rsid w:val="001E296C"/>
    <w:rsid w:val="001E6953"/>
    <w:rsid w:val="001F63D6"/>
    <w:rsid w:val="0020030A"/>
    <w:rsid w:val="00201FED"/>
    <w:rsid w:val="00207A17"/>
    <w:rsid w:val="00211E7C"/>
    <w:rsid w:val="00222C15"/>
    <w:rsid w:val="002243CA"/>
    <w:rsid w:val="002343AA"/>
    <w:rsid w:val="00242FEF"/>
    <w:rsid w:val="00251A29"/>
    <w:rsid w:val="002705AC"/>
    <w:rsid w:val="002833A9"/>
    <w:rsid w:val="00285BF9"/>
    <w:rsid w:val="00295BDC"/>
    <w:rsid w:val="002A2190"/>
    <w:rsid w:val="002C0394"/>
    <w:rsid w:val="002D0974"/>
    <w:rsid w:val="002D44AD"/>
    <w:rsid w:val="002D532E"/>
    <w:rsid w:val="002E3D68"/>
    <w:rsid w:val="002F0172"/>
    <w:rsid w:val="002F07BF"/>
    <w:rsid w:val="003006A9"/>
    <w:rsid w:val="0030523A"/>
    <w:rsid w:val="00306D1B"/>
    <w:rsid w:val="003177F1"/>
    <w:rsid w:val="00323102"/>
    <w:rsid w:val="00332256"/>
    <w:rsid w:val="003363DB"/>
    <w:rsid w:val="00341610"/>
    <w:rsid w:val="00347609"/>
    <w:rsid w:val="003600DC"/>
    <w:rsid w:val="0038501E"/>
    <w:rsid w:val="003953C3"/>
    <w:rsid w:val="003A3DC4"/>
    <w:rsid w:val="003A40FC"/>
    <w:rsid w:val="003D17B2"/>
    <w:rsid w:val="003D6404"/>
    <w:rsid w:val="003E7436"/>
    <w:rsid w:val="003F0899"/>
    <w:rsid w:val="003F372A"/>
    <w:rsid w:val="003F4086"/>
    <w:rsid w:val="003F7DBB"/>
    <w:rsid w:val="004102AE"/>
    <w:rsid w:val="00415BA5"/>
    <w:rsid w:val="00426CDB"/>
    <w:rsid w:val="00431DE2"/>
    <w:rsid w:val="00437D05"/>
    <w:rsid w:val="004557EA"/>
    <w:rsid w:val="00460CE9"/>
    <w:rsid w:val="00463357"/>
    <w:rsid w:val="00481085"/>
    <w:rsid w:val="00494BF9"/>
    <w:rsid w:val="004A5D64"/>
    <w:rsid w:val="004A705B"/>
    <w:rsid w:val="004E1BA2"/>
    <w:rsid w:val="004E5A26"/>
    <w:rsid w:val="004F3C14"/>
    <w:rsid w:val="005006FA"/>
    <w:rsid w:val="0050160F"/>
    <w:rsid w:val="0050437F"/>
    <w:rsid w:val="0052067C"/>
    <w:rsid w:val="00522321"/>
    <w:rsid w:val="005252F1"/>
    <w:rsid w:val="00526D09"/>
    <w:rsid w:val="00527234"/>
    <w:rsid w:val="005525C0"/>
    <w:rsid w:val="00552CAB"/>
    <w:rsid w:val="00565C26"/>
    <w:rsid w:val="00566BAC"/>
    <w:rsid w:val="00576D60"/>
    <w:rsid w:val="0058393A"/>
    <w:rsid w:val="0058410F"/>
    <w:rsid w:val="00585249"/>
    <w:rsid w:val="00585725"/>
    <w:rsid w:val="00595536"/>
    <w:rsid w:val="00596873"/>
    <w:rsid w:val="0059708E"/>
    <w:rsid w:val="005B05D6"/>
    <w:rsid w:val="005B55A7"/>
    <w:rsid w:val="005D23E0"/>
    <w:rsid w:val="005D3E7D"/>
    <w:rsid w:val="005E0C0B"/>
    <w:rsid w:val="005F030F"/>
    <w:rsid w:val="005F09F4"/>
    <w:rsid w:val="005F684D"/>
    <w:rsid w:val="005F6A39"/>
    <w:rsid w:val="0060396E"/>
    <w:rsid w:val="006120C5"/>
    <w:rsid w:val="00615C38"/>
    <w:rsid w:val="00634598"/>
    <w:rsid w:val="00653B40"/>
    <w:rsid w:val="0067303A"/>
    <w:rsid w:val="0068552D"/>
    <w:rsid w:val="00694A49"/>
    <w:rsid w:val="006A55BA"/>
    <w:rsid w:val="006B0D5C"/>
    <w:rsid w:val="006C259E"/>
    <w:rsid w:val="006C2DD0"/>
    <w:rsid w:val="006E0B51"/>
    <w:rsid w:val="006E33D2"/>
    <w:rsid w:val="006E4FE2"/>
    <w:rsid w:val="006F1868"/>
    <w:rsid w:val="006F4B11"/>
    <w:rsid w:val="006F7197"/>
    <w:rsid w:val="007027A9"/>
    <w:rsid w:val="00705B7D"/>
    <w:rsid w:val="007062AD"/>
    <w:rsid w:val="00707D97"/>
    <w:rsid w:val="00711276"/>
    <w:rsid w:val="007157EF"/>
    <w:rsid w:val="0072441B"/>
    <w:rsid w:val="007266F7"/>
    <w:rsid w:val="00727565"/>
    <w:rsid w:val="007322FE"/>
    <w:rsid w:val="00734527"/>
    <w:rsid w:val="00747D90"/>
    <w:rsid w:val="00756AC6"/>
    <w:rsid w:val="00771F7D"/>
    <w:rsid w:val="007801F4"/>
    <w:rsid w:val="0078352D"/>
    <w:rsid w:val="00783829"/>
    <w:rsid w:val="007840E2"/>
    <w:rsid w:val="007908A6"/>
    <w:rsid w:val="00791ACB"/>
    <w:rsid w:val="00793EBC"/>
    <w:rsid w:val="007A0728"/>
    <w:rsid w:val="007B22F6"/>
    <w:rsid w:val="007B3324"/>
    <w:rsid w:val="007C2556"/>
    <w:rsid w:val="007C48C3"/>
    <w:rsid w:val="007E00C0"/>
    <w:rsid w:val="008001D7"/>
    <w:rsid w:val="008019C3"/>
    <w:rsid w:val="0082110C"/>
    <w:rsid w:val="00841C9C"/>
    <w:rsid w:val="0084366E"/>
    <w:rsid w:val="00847CD4"/>
    <w:rsid w:val="00850030"/>
    <w:rsid w:val="00866199"/>
    <w:rsid w:val="00872671"/>
    <w:rsid w:val="00874EE5"/>
    <w:rsid w:val="00876640"/>
    <w:rsid w:val="00884215"/>
    <w:rsid w:val="00891177"/>
    <w:rsid w:val="00895BDB"/>
    <w:rsid w:val="008A315B"/>
    <w:rsid w:val="008A3A2C"/>
    <w:rsid w:val="008B45BC"/>
    <w:rsid w:val="008C15A9"/>
    <w:rsid w:val="008C2417"/>
    <w:rsid w:val="008D201F"/>
    <w:rsid w:val="008D2CDA"/>
    <w:rsid w:val="008D566D"/>
    <w:rsid w:val="008D6894"/>
    <w:rsid w:val="008E4C4A"/>
    <w:rsid w:val="0091333B"/>
    <w:rsid w:val="00921C05"/>
    <w:rsid w:val="00934E7B"/>
    <w:rsid w:val="00937286"/>
    <w:rsid w:val="00946266"/>
    <w:rsid w:val="009558FD"/>
    <w:rsid w:val="0097768B"/>
    <w:rsid w:val="009B3351"/>
    <w:rsid w:val="009B4F6F"/>
    <w:rsid w:val="009B77FA"/>
    <w:rsid w:val="009C0E78"/>
    <w:rsid w:val="009D2FD6"/>
    <w:rsid w:val="009E1DFB"/>
    <w:rsid w:val="009F5656"/>
    <w:rsid w:val="00A04F10"/>
    <w:rsid w:val="00A1045B"/>
    <w:rsid w:val="00A159B7"/>
    <w:rsid w:val="00A16FA3"/>
    <w:rsid w:val="00A60681"/>
    <w:rsid w:val="00A678F9"/>
    <w:rsid w:val="00A77D9B"/>
    <w:rsid w:val="00A80FD1"/>
    <w:rsid w:val="00A856DC"/>
    <w:rsid w:val="00A93900"/>
    <w:rsid w:val="00A94A0C"/>
    <w:rsid w:val="00A9793D"/>
    <w:rsid w:val="00AA304B"/>
    <w:rsid w:val="00AB18D8"/>
    <w:rsid w:val="00AD25ED"/>
    <w:rsid w:val="00AD366B"/>
    <w:rsid w:val="00AE1FAE"/>
    <w:rsid w:val="00AE7D85"/>
    <w:rsid w:val="00B04DD6"/>
    <w:rsid w:val="00B06BCC"/>
    <w:rsid w:val="00B11121"/>
    <w:rsid w:val="00B24F86"/>
    <w:rsid w:val="00B2558D"/>
    <w:rsid w:val="00B26947"/>
    <w:rsid w:val="00B32263"/>
    <w:rsid w:val="00B35D07"/>
    <w:rsid w:val="00B41159"/>
    <w:rsid w:val="00B41A74"/>
    <w:rsid w:val="00B53AED"/>
    <w:rsid w:val="00B55796"/>
    <w:rsid w:val="00B560AA"/>
    <w:rsid w:val="00B560CE"/>
    <w:rsid w:val="00B65659"/>
    <w:rsid w:val="00B66F13"/>
    <w:rsid w:val="00B8022E"/>
    <w:rsid w:val="00B82CE3"/>
    <w:rsid w:val="00B84C04"/>
    <w:rsid w:val="00B85204"/>
    <w:rsid w:val="00B85C06"/>
    <w:rsid w:val="00BB0875"/>
    <w:rsid w:val="00BB3C89"/>
    <w:rsid w:val="00BC7571"/>
    <w:rsid w:val="00BC764C"/>
    <w:rsid w:val="00BE0417"/>
    <w:rsid w:val="00BF1213"/>
    <w:rsid w:val="00C03B6D"/>
    <w:rsid w:val="00C052EF"/>
    <w:rsid w:val="00C177FC"/>
    <w:rsid w:val="00C26E91"/>
    <w:rsid w:val="00C40712"/>
    <w:rsid w:val="00C40D7E"/>
    <w:rsid w:val="00C426D0"/>
    <w:rsid w:val="00C759C6"/>
    <w:rsid w:val="00C76B9C"/>
    <w:rsid w:val="00C80FA3"/>
    <w:rsid w:val="00C82DC1"/>
    <w:rsid w:val="00C83672"/>
    <w:rsid w:val="00C92666"/>
    <w:rsid w:val="00C94EF8"/>
    <w:rsid w:val="00C95F3F"/>
    <w:rsid w:val="00C96CFE"/>
    <w:rsid w:val="00CA2CD3"/>
    <w:rsid w:val="00CA5400"/>
    <w:rsid w:val="00CB2157"/>
    <w:rsid w:val="00CB7E83"/>
    <w:rsid w:val="00CC0ECF"/>
    <w:rsid w:val="00CD792B"/>
    <w:rsid w:val="00CE31FD"/>
    <w:rsid w:val="00CF6734"/>
    <w:rsid w:val="00CF6896"/>
    <w:rsid w:val="00D02D50"/>
    <w:rsid w:val="00D046AE"/>
    <w:rsid w:val="00D06088"/>
    <w:rsid w:val="00D11671"/>
    <w:rsid w:val="00D155B5"/>
    <w:rsid w:val="00D24634"/>
    <w:rsid w:val="00D43149"/>
    <w:rsid w:val="00D46F57"/>
    <w:rsid w:val="00D47FFC"/>
    <w:rsid w:val="00D54CC2"/>
    <w:rsid w:val="00D56019"/>
    <w:rsid w:val="00D80588"/>
    <w:rsid w:val="00D80E41"/>
    <w:rsid w:val="00DB5A11"/>
    <w:rsid w:val="00DC3B70"/>
    <w:rsid w:val="00DC53F8"/>
    <w:rsid w:val="00DD2197"/>
    <w:rsid w:val="00DF3CF4"/>
    <w:rsid w:val="00DF69F0"/>
    <w:rsid w:val="00E000F0"/>
    <w:rsid w:val="00E01872"/>
    <w:rsid w:val="00E039FF"/>
    <w:rsid w:val="00E05993"/>
    <w:rsid w:val="00E06FD9"/>
    <w:rsid w:val="00E1045D"/>
    <w:rsid w:val="00E124BC"/>
    <w:rsid w:val="00E132DA"/>
    <w:rsid w:val="00E22B94"/>
    <w:rsid w:val="00E25C9C"/>
    <w:rsid w:val="00E57AA7"/>
    <w:rsid w:val="00E613D1"/>
    <w:rsid w:val="00E63CC1"/>
    <w:rsid w:val="00E762B9"/>
    <w:rsid w:val="00E8247A"/>
    <w:rsid w:val="00E82DAD"/>
    <w:rsid w:val="00E841EC"/>
    <w:rsid w:val="00E87080"/>
    <w:rsid w:val="00EB325C"/>
    <w:rsid w:val="00EC68A1"/>
    <w:rsid w:val="00EC78AC"/>
    <w:rsid w:val="00ED75FA"/>
    <w:rsid w:val="00EF0AF1"/>
    <w:rsid w:val="00F10FFA"/>
    <w:rsid w:val="00F15F92"/>
    <w:rsid w:val="00F2375E"/>
    <w:rsid w:val="00F30459"/>
    <w:rsid w:val="00F422BF"/>
    <w:rsid w:val="00F422FF"/>
    <w:rsid w:val="00F52FC9"/>
    <w:rsid w:val="00F56F9E"/>
    <w:rsid w:val="00F570B1"/>
    <w:rsid w:val="00F640BE"/>
    <w:rsid w:val="00F67CCC"/>
    <w:rsid w:val="00F72B97"/>
    <w:rsid w:val="00F83095"/>
    <w:rsid w:val="00F85068"/>
    <w:rsid w:val="00F86B93"/>
    <w:rsid w:val="00F871F5"/>
    <w:rsid w:val="00FB1002"/>
    <w:rsid w:val="00FD2B7D"/>
    <w:rsid w:val="00FD3713"/>
    <w:rsid w:val="00FD54FE"/>
    <w:rsid w:val="00FE5738"/>
    <w:rsid w:val="00FF67CC"/>
    <w:rsid w:val="0AE7A357"/>
    <w:rsid w:val="1D9DE13C"/>
    <w:rsid w:val="1E8270D5"/>
    <w:rsid w:val="2E7CDBAF"/>
    <w:rsid w:val="30A8CE47"/>
    <w:rsid w:val="3600D423"/>
    <w:rsid w:val="38DB8489"/>
    <w:rsid w:val="393874E5"/>
    <w:rsid w:val="43C9637B"/>
    <w:rsid w:val="5D275606"/>
    <w:rsid w:val="64D76B97"/>
    <w:rsid w:val="67CF0750"/>
    <w:rsid w:val="6994450E"/>
    <w:rsid w:val="7391B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2410"/>
  <w15:chartTrackingRefBased/>
  <w15:docId w15:val="{35CAB814-01E2-4977-9591-81A24278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14"/>
    <w:pPr>
      <w:spacing w:after="0" w:line="288" w:lineRule="auto"/>
    </w:pPr>
    <w:rPr>
      <w:rFonts w:ascii="Verdana" w:hAnsi="Verdana"/>
      <w:sz w:val="24"/>
    </w:rPr>
  </w:style>
  <w:style w:type="paragraph" w:styleId="Heading1">
    <w:name w:val="heading 1"/>
    <w:basedOn w:val="Normal"/>
    <w:next w:val="Normal"/>
    <w:link w:val="Heading1Char"/>
    <w:uiPriority w:val="9"/>
    <w:qFormat/>
    <w:rsid w:val="00866199"/>
    <w:pPr>
      <w:keepNext/>
      <w:keepLines/>
      <w:spacing w:before="240" w:line="480" w:lineRule="auto"/>
      <w:outlineLvl w:val="0"/>
    </w:pPr>
    <w:rPr>
      <w:rFonts w:eastAsiaTheme="majorEastAsia" w:cstheme="majorBidi"/>
      <w:b/>
      <w:color w:val="77328A"/>
      <w:kern w:val="0"/>
      <w:sz w:val="40"/>
      <w:szCs w:val="32"/>
      <w14:ligatures w14:val="none"/>
    </w:rPr>
  </w:style>
  <w:style w:type="paragraph" w:styleId="Heading2">
    <w:name w:val="heading 2"/>
    <w:basedOn w:val="Normal"/>
    <w:next w:val="Normal"/>
    <w:link w:val="Heading2Char"/>
    <w:uiPriority w:val="9"/>
    <w:unhideWhenUsed/>
    <w:qFormat/>
    <w:rsid w:val="005D23E0"/>
    <w:pPr>
      <w:keepNext/>
      <w:keepLines/>
      <w:spacing w:before="40" w:line="480" w:lineRule="auto"/>
      <w:outlineLvl w:val="1"/>
    </w:pPr>
    <w:rPr>
      <w:rFonts w:eastAsiaTheme="majorEastAsia" w:cstheme="majorBidi"/>
      <w:b/>
      <w:color w:val="77328A"/>
      <w:kern w:val="0"/>
      <w:sz w:val="30"/>
      <w:szCs w:val="26"/>
      <w14:ligatures w14:val="none"/>
    </w:rPr>
  </w:style>
  <w:style w:type="paragraph" w:styleId="Heading4">
    <w:name w:val="heading 4"/>
    <w:basedOn w:val="Normal"/>
    <w:next w:val="Normal"/>
    <w:link w:val="Heading4Char"/>
    <w:uiPriority w:val="9"/>
    <w:unhideWhenUsed/>
    <w:qFormat/>
    <w:rsid w:val="00866199"/>
    <w:pPr>
      <w:keepNext/>
      <w:keepLines/>
      <w:spacing w:before="40" w:line="480" w:lineRule="auto"/>
      <w:outlineLvl w:val="3"/>
    </w:pPr>
    <w:rPr>
      <w:rFonts w:eastAsiaTheme="majorEastAsia" w:cstheme="majorBidi"/>
      <w:b/>
      <w:i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D02D50"/>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D02D50"/>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D02D50"/>
    <w:rPr>
      <w:vertAlign w:val="superscript"/>
    </w:rPr>
  </w:style>
  <w:style w:type="character" w:styleId="Hyperlink">
    <w:name w:val="Hyperlink"/>
    <w:basedOn w:val="DefaultParagraphFont"/>
    <w:uiPriority w:val="99"/>
    <w:unhideWhenUsed/>
    <w:rsid w:val="00D02D50"/>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1"/>
    <w:qFormat/>
    <w:rsid w:val="009B4F6F"/>
    <w:pPr>
      <w:ind w:left="720"/>
      <w:contextualSpacing/>
    </w:pPr>
    <w:rPr>
      <w:kern w:val="0"/>
      <w14:ligatures w14:val="none"/>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9B4F6F"/>
    <w:pPr>
      <w:spacing w:line="240" w:lineRule="exact"/>
      <w:ind w:left="720"/>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1"/>
    <w:qFormat/>
    <w:locked/>
    <w:rsid w:val="009B4F6F"/>
    <w:rPr>
      <w:rFonts w:ascii="Verdana" w:hAnsi="Verdana"/>
      <w:kern w:val="0"/>
      <w:sz w:val="24"/>
      <w14:ligatures w14:val="none"/>
    </w:rPr>
  </w:style>
  <w:style w:type="paragraph" w:customStyle="1" w:styleId="NIHRCFootnotes">
    <w:name w:val="NIHRC Footnotes"/>
    <w:basedOn w:val="Normal"/>
    <w:qFormat/>
    <w:rsid w:val="009B4F6F"/>
    <w:pPr>
      <w:tabs>
        <w:tab w:val="left" w:pos="284"/>
      </w:tabs>
      <w:spacing w:line="240" w:lineRule="auto"/>
      <w:ind w:left="720"/>
    </w:pPr>
    <w:rPr>
      <w:rFonts w:eastAsiaTheme="minorEastAsia" w:cs="Arial"/>
      <w:color w:val="77328A"/>
      <w:kern w:val="0"/>
      <w:sz w:val="16"/>
      <w:szCs w:val="16"/>
      <w14:ligatures w14:val="none"/>
    </w:rPr>
  </w:style>
  <w:style w:type="paragraph" w:customStyle="1" w:styleId="Footnote">
    <w:name w:val="Footnote"/>
    <w:basedOn w:val="FootnoteText"/>
    <w:link w:val="FootnoteChar"/>
    <w:qFormat/>
    <w:rsid w:val="00A77D9B"/>
    <w:pPr>
      <w:spacing w:line="288" w:lineRule="auto"/>
    </w:pPr>
    <w:rPr>
      <w:rFonts w:eastAsia="Verdana" w:cs="Verdana"/>
      <w:color w:val="77328A"/>
      <w:kern w:val="0"/>
      <w:sz w:val="16"/>
      <w:szCs w:val="16"/>
      <w:lang w:eastAsia="en-GB"/>
      <w14:ligatures w14:val="none"/>
    </w:rPr>
  </w:style>
  <w:style w:type="character" w:customStyle="1" w:styleId="FootnoteChar">
    <w:name w:val="Footnote Char"/>
    <w:basedOn w:val="DefaultParagraphFont"/>
    <w:link w:val="Footnote"/>
    <w:rsid w:val="00A77D9B"/>
    <w:rPr>
      <w:rFonts w:ascii="Verdana" w:eastAsia="Verdana" w:hAnsi="Verdana" w:cs="Verdana"/>
      <w:color w:val="77328A"/>
      <w:kern w:val="0"/>
      <w:sz w:val="16"/>
      <w:szCs w:val="16"/>
      <w:lang w:eastAsia="en-GB"/>
      <w14:ligatures w14:val="none"/>
    </w:rPr>
  </w:style>
  <w:style w:type="paragraph" w:customStyle="1" w:styleId="BasicParagraph">
    <w:name w:val="[Basic Paragraph]"/>
    <w:basedOn w:val="Normal"/>
    <w:uiPriority w:val="99"/>
    <w:rsid w:val="002D44AD"/>
    <w:pPr>
      <w:widowControl w:val="0"/>
      <w:autoSpaceDE w:val="0"/>
      <w:autoSpaceDN w:val="0"/>
      <w:adjustRightInd w:val="0"/>
      <w:textAlignment w:val="center"/>
    </w:pPr>
    <w:rPr>
      <w:rFonts w:ascii="MinionPro-Regular" w:eastAsiaTheme="minorEastAsia" w:hAnsi="MinionPro-Regular" w:cs="MinionPro-Regular"/>
      <w:color w:val="000000"/>
      <w:kern w:val="0"/>
      <w:szCs w:val="24"/>
      <w14:ligatures w14:val="none"/>
    </w:rPr>
  </w:style>
  <w:style w:type="paragraph" w:customStyle="1" w:styleId="Default">
    <w:name w:val="Default"/>
    <w:rsid w:val="002D44AD"/>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14:ligatures w14:val="none"/>
    </w:rPr>
  </w:style>
  <w:style w:type="character" w:customStyle="1" w:styleId="Heading1Char">
    <w:name w:val="Heading 1 Char"/>
    <w:basedOn w:val="DefaultParagraphFont"/>
    <w:link w:val="Heading1"/>
    <w:uiPriority w:val="9"/>
    <w:rsid w:val="00866199"/>
    <w:rPr>
      <w:rFonts w:ascii="Verdana" w:eastAsiaTheme="majorEastAsia" w:hAnsi="Verdana" w:cstheme="majorBidi"/>
      <w:b/>
      <w:color w:val="77328A"/>
      <w:kern w:val="0"/>
      <w:sz w:val="40"/>
      <w:szCs w:val="32"/>
      <w14:ligatures w14:val="none"/>
    </w:rPr>
  </w:style>
  <w:style w:type="paragraph" w:styleId="TOCHeading">
    <w:name w:val="TOC Heading"/>
    <w:basedOn w:val="Heading1"/>
    <w:next w:val="Normal"/>
    <w:uiPriority w:val="39"/>
    <w:unhideWhenUsed/>
    <w:qFormat/>
    <w:rsid w:val="00866199"/>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866199"/>
    <w:pPr>
      <w:tabs>
        <w:tab w:val="left" w:pos="660"/>
        <w:tab w:val="right" w:leader="dot" w:pos="9848"/>
      </w:tabs>
      <w:spacing w:after="100"/>
    </w:pPr>
    <w:rPr>
      <w:rFonts w:eastAsiaTheme="minorEastAsia"/>
      <w:b/>
      <w:bCs/>
      <w:noProof/>
      <w:kern w:val="0"/>
      <w:szCs w:val="24"/>
      <w14:ligatures w14:val="none"/>
    </w:rPr>
  </w:style>
  <w:style w:type="paragraph" w:styleId="TOC2">
    <w:name w:val="toc 2"/>
    <w:basedOn w:val="Normal"/>
    <w:next w:val="Normal"/>
    <w:autoRedefine/>
    <w:uiPriority w:val="39"/>
    <w:unhideWhenUsed/>
    <w:rsid w:val="004F3C14"/>
    <w:pPr>
      <w:tabs>
        <w:tab w:val="left" w:pos="880"/>
        <w:tab w:val="right" w:leader="dot" w:pos="9848"/>
      </w:tabs>
      <w:spacing w:after="100"/>
    </w:pPr>
    <w:rPr>
      <w:rFonts w:eastAsiaTheme="minorEastAsia"/>
      <w:b/>
      <w:bCs/>
      <w:noProof/>
      <w:kern w:val="0"/>
      <w:szCs w:val="24"/>
      <w14:ligatures w14:val="none"/>
    </w:rPr>
  </w:style>
  <w:style w:type="paragraph" w:styleId="TOC3">
    <w:name w:val="toc 3"/>
    <w:basedOn w:val="Normal"/>
    <w:next w:val="Normal"/>
    <w:autoRedefine/>
    <w:uiPriority w:val="39"/>
    <w:unhideWhenUsed/>
    <w:rsid w:val="00866199"/>
    <w:pPr>
      <w:tabs>
        <w:tab w:val="right" w:leader="dot" w:pos="9848"/>
      </w:tabs>
      <w:spacing w:after="100"/>
      <w:ind w:left="480"/>
    </w:pPr>
    <w:rPr>
      <w:rFonts w:eastAsiaTheme="minorEastAsia"/>
      <w:kern w:val="0"/>
      <w:szCs w:val="24"/>
      <w14:ligatures w14:val="none"/>
    </w:rPr>
  </w:style>
  <w:style w:type="character" w:customStyle="1" w:styleId="Heading4Char">
    <w:name w:val="Heading 4 Char"/>
    <w:basedOn w:val="DefaultParagraphFont"/>
    <w:link w:val="Heading4"/>
    <w:uiPriority w:val="9"/>
    <w:rsid w:val="00866199"/>
    <w:rPr>
      <w:rFonts w:ascii="Verdana" w:eastAsiaTheme="majorEastAsia" w:hAnsi="Verdana" w:cstheme="majorBidi"/>
      <w:b/>
      <w:iCs/>
      <w:kern w:val="0"/>
      <w:sz w:val="24"/>
      <w:szCs w:val="24"/>
      <w14:ligatures w14:val="none"/>
    </w:rPr>
  </w:style>
  <w:style w:type="character" w:customStyle="1" w:styleId="Heading2Char">
    <w:name w:val="Heading 2 Char"/>
    <w:basedOn w:val="DefaultParagraphFont"/>
    <w:link w:val="Heading2"/>
    <w:uiPriority w:val="9"/>
    <w:rsid w:val="005D23E0"/>
    <w:rPr>
      <w:rFonts w:ascii="Verdana" w:eastAsiaTheme="majorEastAsia" w:hAnsi="Verdana" w:cstheme="majorBidi"/>
      <w:b/>
      <w:color w:val="77328A"/>
      <w:kern w:val="0"/>
      <w:sz w:val="30"/>
      <w:szCs w:val="26"/>
      <w14:ligatures w14:val="none"/>
    </w:rPr>
  </w:style>
  <w:style w:type="paragraph" w:styleId="Header">
    <w:name w:val="header"/>
    <w:basedOn w:val="Normal"/>
    <w:link w:val="HeaderChar"/>
    <w:uiPriority w:val="99"/>
    <w:semiHidden/>
    <w:unhideWhenUsed/>
    <w:rsid w:val="0085003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50030"/>
  </w:style>
  <w:style w:type="paragraph" w:styleId="Footer">
    <w:name w:val="footer"/>
    <w:basedOn w:val="Normal"/>
    <w:link w:val="FooterChar"/>
    <w:uiPriority w:val="99"/>
    <w:semiHidden/>
    <w:unhideWhenUsed/>
    <w:rsid w:val="0085003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50030"/>
  </w:style>
  <w:style w:type="paragraph" w:styleId="Revision">
    <w:name w:val="Revision"/>
    <w:hidden/>
    <w:uiPriority w:val="99"/>
    <w:semiHidden/>
    <w:rsid w:val="00CB7E83"/>
    <w:pPr>
      <w:spacing w:after="0" w:line="240" w:lineRule="auto"/>
    </w:pPr>
  </w:style>
  <w:style w:type="character" w:styleId="CommentReference">
    <w:name w:val="annotation reference"/>
    <w:basedOn w:val="DefaultParagraphFont"/>
    <w:uiPriority w:val="99"/>
    <w:semiHidden/>
    <w:unhideWhenUsed/>
    <w:rsid w:val="00CF6896"/>
    <w:rPr>
      <w:sz w:val="16"/>
      <w:szCs w:val="16"/>
    </w:rPr>
  </w:style>
  <w:style w:type="paragraph" w:styleId="CommentText">
    <w:name w:val="annotation text"/>
    <w:basedOn w:val="Normal"/>
    <w:link w:val="CommentTextChar"/>
    <w:uiPriority w:val="99"/>
    <w:unhideWhenUsed/>
    <w:rsid w:val="00CF6896"/>
    <w:pPr>
      <w:spacing w:line="240" w:lineRule="auto"/>
    </w:pPr>
    <w:rPr>
      <w:sz w:val="20"/>
      <w:szCs w:val="20"/>
    </w:rPr>
  </w:style>
  <w:style w:type="character" w:customStyle="1" w:styleId="CommentTextChar">
    <w:name w:val="Comment Text Char"/>
    <w:basedOn w:val="DefaultParagraphFont"/>
    <w:link w:val="CommentText"/>
    <w:uiPriority w:val="99"/>
    <w:rsid w:val="00CF6896"/>
    <w:rPr>
      <w:sz w:val="20"/>
      <w:szCs w:val="20"/>
    </w:rPr>
  </w:style>
  <w:style w:type="paragraph" w:styleId="CommentSubject">
    <w:name w:val="annotation subject"/>
    <w:basedOn w:val="CommentText"/>
    <w:next w:val="CommentText"/>
    <w:link w:val="CommentSubjectChar"/>
    <w:uiPriority w:val="99"/>
    <w:semiHidden/>
    <w:unhideWhenUsed/>
    <w:rsid w:val="00CF6896"/>
    <w:rPr>
      <w:b/>
      <w:bCs/>
    </w:rPr>
  </w:style>
  <w:style w:type="character" w:customStyle="1" w:styleId="CommentSubjectChar">
    <w:name w:val="Comment Subject Char"/>
    <w:basedOn w:val="CommentTextChar"/>
    <w:link w:val="CommentSubject"/>
    <w:uiPriority w:val="99"/>
    <w:semiHidden/>
    <w:rsid w:val="00CF6896"/>
    <w:rPr>
      <w:b/>
      <w:bCs/>
      <w:sz w:val="20"/>
      <w:szCs w:val="20"/>
    </w:rPr>
  </w:style>
  <w:style w:type="character" w:customStyle="1" w:styleId="cf01">
    <w:name w:val="cf01"/>
    <w:basedOn w:val="DefaultParagraphFont"/>
    <w:rsid w:val="00E762B9"/>
    <w:rPr>
      <w:rFonts w:ascii="Segoe UI" w:hAnsi="Segoe UI" w:cs="Segoe UI" w:hint="default"/>
      <w:sz w:val="18"/>
      <w:szCs w:val="18"/>
    </w:rPr>
  </w:style>
  <w:style w:type="character" w:customStyle="1" w:styleId="cf11">
    <w:name w:val="cf11"/>
    <w:basedOn w:val="DefaultParagraphFont"/>
    <w:rsid w:val="00E762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Russell@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ihrc.org/news/detail/fact-sheet-northern-ireland-human-rights-commission-legal-action-on-housing-points-scheme" TargetMode="External"/><Relationship Id="rId2" Type="http://schemas.openxmlformats.org/officeDocument/2006/relationships/hyperlink" Target="https://nihrc.org/news/detail/fact-sheet-northern-ireland-human-rights-commission-legal-action-on-housing-points-scheme" TargetMode="External"/><Relationship Id="rId1" Type="http://schemas.openxmlformats.org/officeDocument/2006/relationships/hyperlink" Target="https://www.nicva.org/article/budget-cuts-and-inequality-in-northern-ireland" TargetMode="External"/><Relationship Id="rId5" Type="http://schemas.openxmlformats.org/officeDocument/2006/relationships/hyperlink" Target="https://nihrc.org/news/detail/illegal-migration-act-challenge-factsheet" TargetMode="External"/><Relationship Id="rId4" Type="http://schemas.openxmlformats.org/officeDocument/2006/relationships/hyperlink" Target="https://freemovement.org.uk/domestic-violence-immigration-ro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SharedWithUsers xmlns="806d6863-a85d-4a14-ba5d-ada9e5b222dd">
      <UserInfo>
        <DisplayName>Colin Caughey</DisplayName>
        <AccountId>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B4B26-0F40-433B-984A-2F984D550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A46D7-1ED0-460B-9F1A-109948B2A26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D935B798-F76F-4842-B4A6-2E073C2C2A42}">
  <ds:schemaRefs>
    <ds:schemaRef ds:uri="http://schemas.openxmlformats.org/officeDocument/2006/bibliography"/>
  </ds:schemaRefs>
</ds:datastoreItem>
</file>

<file path=customXml/itemProps4.xml><?xml version="1.0" encoding="utf-8"?>
<ds:datastoreItem xmlns:ds="http://schemas.openxmlformats.org/officeDocument/2006/customXml" ds:itemID="{57CBEB5D-8922-4111-824C-18D4E7BFA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2241</Words>
  <Characters>13415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Links>
    <vt:vector size="120" baseType="variant">
      <vt:variant>
        <vt:i4>6946881</vt:i4>
      </vt:variant>
      <vt:variant>
        <vt:i4>81</vt:i4>
      </vt:variant>
      <vt:variant>
        <vt:i4>0</vt:i4>
      </vt:variant>
      <vt:variant>
        <vt:i4>5</vt:i4>
      </vt:variant>
      <vt:variant>
        <vt:lpwstr>mailto:info@nihrc.org</vt:lpwstr>
      </vt:variant>
      <vt:variant>
        <vt:lpwstr/>
      </vt:variant>
      <vt:variant>
        <vt:i4>4587543</vt:i4>
      </vt:variant>
      <vt:variant>
        <vt:i4>78</vt:i4>
      </vt:variant>
      <vt:variant>
        <vt:i4>0</vt:i4>
      </vt:variant>
      <vt:variant>
        <vt:i4>5</vt:i4>
      </vt:variant>
      <vt:variant>
        <vt:lpwstr>http://www.nihrc.org/</vt:lpwstr>
      </vt:variant>
      <vt:variant>
        <vt:lpwstr/>
      </vt:variant>
      <vt:variant>
        <vt:i4>4587567</vt:i4>
      </vt:variant>
      <vt:variant>
        <vt:i4>75</vt:i4>
      </vt:variant>
      <vt:variant>
        <vt:i4>0</vt:i4>
      </vt:variant>
      <vt:variant>
        <vt:i4>5</vt:i4>
      </vt:variant>
      <vt:variant>
        <vt:lpwstr>mailto:Hannah.Russell@nihrc.org</vt:lpwstr>
      </vt:variant>
      <vt:variant>
        <vt:lpwstr/>
      </vt:variant>
      <vt:variant>
        <vt:i4>1900600</vt:i4>
      </vt:variant>
      <vt:variant>
        <vt:i4>68</vt:i4>
      </vt:variant>
      <vt:variant>
        <vt:i4>0</vt:i4>
      </vt:variant>
      <vt:variant>
        <vt:i4>5</vt:i4>
      </vt:variant>
      <vt:variant>
        <vt:lpwstr/>
      </vt:variant>
      <vt:variant>
        <vt:lpwstr>_Toc158129377</vt:lpwstr>
      </vt:variant>
      <vt:variant>
        <vt:i4>1900600</vt:i4>
      </vt:variant>
      <vt:variant>
        <vt:i4>62</vt:i4>
      </vt:variant>
      <vt:variant>
        <vt:i4>0</vt:i4>
      </vt:variant>
      <vt:variant>
        <vt:i4>5</vt:i4>
      </vt:variant>
      <vt:variant>
        <vt:lpwstr/>
      </vt:variant>
      <vt:variant>
        <vt:lpwstr>_Toc158129376</vt:lpwstr>
      </vt:variant>
      <vt:variant>
        <vt:i4>1900600</vt:i4>
      </vt:variant>
      <vt:variant>
        <vt:i4>56</vt:i4>
      </vt:variant>
      <vt:variant>
        <vt:i4>0</vt:i4>
      </vt:variant>
      <vt:variant>
        <vt:i4>5</vt:i4>
      </vt:variant>
      <vt:variant>
        <vt:lpwstr/>
      </vt:variant>
      <vt:variant>
        <vt:lpwstr>_Toc158129375</vt:lpwstr>
      </vt:variant>
      <vt:variant>
        <vt:i4>1900600</vt:i4>
      </vt:variant>
      <vt:variant>
        <vt:i4>50</vt:i4>
      </vt:variant>
      <vt:variant>
        <vt:i4>0</vt:i4>
      </vt:variant>
      <vt:variant>
        <vt:i4>5</vt:i4>
      </vt:variant>
      <vt:variant>
        <vt:lpwstr/>
      </vt:variant>
      <vt:variant>
        <vt:lpwstr>_Toc158129374</vt:lpwstr>
      </vt:variant>
      <vt:variant>
        <vt:i4>1900600</vt:i4>
      </vt:variant>
      <vt:variant>
        <vt:i4>44</vt:i4>
      </vt:variant>
      <vt:variant>
        <vt:i4>0</vt:i4>
      </vt:variant>
      <vt:variant>
        <vt:i4>5</vt:i4>
      </vt:variant>
      <vt:variant>
        <vt:lpwstr/>
      </vt:variant>
      <vt:variant>
        <vt:lpwstr>_Toc158129373</vt:lpwstr>
      </vt:variant>
      <vt:variant>
        <vt:i4>1900600</vt:i4>
      </vt:variant>
      <vt:variant>
        <vt:i4>38</vt:i4>
      </vt:variant>
      <vt:variant>
        <vt:i4>0</vt:i4>
      </vt:variant>
      <vt:variant>
        <vt:i4>5</vt:i4>
      </vt:variant>
      <vt:variant>
        <vt:lpwstr/>
      </vt:variant>
      <vt:variant>
        <vt:lpwstr>_Toc158129372</vt:lpwstr>
      </vt:variant>
      <vt:variant>
        <vt:i4>1900600</vt:i4>
      </vt:variant>
      <vt:variant>
        <vt:i4>32</vt:i4>
      </vt:variant>
      <vt:variant>
        <vt:i4>0</vt:i4>
      </vt:variant>
      <vt:variant>
        <vt:i4>5</vt:i4>
      </vt:variant>
      <vt:variant>
        <vt:lpwstr/>
      </vt:variant>
      <vt:variant>
        <vt:lpwstr>_Toc158129371</vt:lpwstr>
      </vt:variant>
      <vt:variant>
        <vt:i4>1900600</vt:i4>
      </vt:variant>
      <vt:variant>
        <vt:i4>26</vt:i4>
      </vt:variant>
      <vt:variant>
        <vt:i4>0</vt:i4>
      </vt:variant>
      <vt:variant>
        <vt:i4>5</vt:i4>
      </vt:variant>
      <vt:variant>
        <vt:lpwstr/>
      </vt:variant>
      <vt:variant>
        <vt:lpwstr>_Toc158129370</vt:lpwstr>
      </vt:variant>
      <vt:variant>
        <vt:i4>1835064</vt:i4>
      </vt:variant>
      <vt:variant>
        <vt:i4>20</vt:i4>
      </vt:variant>
      <vt:variant>
        <vt:i4>0</vt:i4>
      </vt:variant>
      <vt:variant>
        <vt:i4>5</vt:i4>
      </vt:variant>
      <vt:variant>
        <vt:lpwstr/>
      </vt:variant>
      <vt:variant>
        <vt:lpwstr>_Toc158129369</vt:lpwstr>
      </vt:variant>
      <vt:variant>
        <vt:i4>1835064</vt:i4>
      </vt:variant>
      <vt:variant>
        <vt:i4>14</vt:i4>
      </vt:variant>
      <vt:variant>
        <vt:i4>0</vt:i4>
      </vt:variant>
      <vt:variant>
        <vt:i4>5</vt:i4>
      </vt:variant>
      <vt:variant>
        <vt:lpwstr/>
      </vt:variant>
      <vt:variant>
        <vt:lpwstr>_Toc158129368</vt:lpwstr>
      </vt:variant>
      <vt:variant>
        <vt:i4>1835064</vt:i4>
      </vt:variant>
      <vt:variant>
        <vt:i4>8</vt:i4>
      </vt:variant>
      <vt:variant>
        <vt:i4>0</vt:i4>
      </vt:variant>
      <vt:variant>
        <vt:i4>5</vt:i4>
      </vt:variant>
      <vt:variant>
        <vt:lpwstr/>
      </vt:variant>
      <vt:variant>
        <vt:lpwstr>_Toc158129367</vt:lpwstr>
      </vt:variant>
      <vt:variant>
        <vt:i4>1835064</vt:i4>
      </vt:variant>
      <vt:variant>
        <vt:i4>2</vt:i4>
      </vt:variant>
      <vt:variant>
        <vt:i4>0</vt:i4>
      </vt:variant>
      <vt:variant>
        <vt:i4>5</vt:i4>
      </vt:variant>
      <vt:variant>
        <vt:lpwstr/>
      </vt:variant>
      <vt:variant>
        <vt:lpwstr>_Toc158129366</vt:lpwstr>
      </vt:variant>
      <vt:variant>
        <vt:i4>2883698</vt:i4>
      </vt:variant>
      <vt:variant>
        <vt:i4>12</vt:i4>
      </vt:variant>
      <vt:variant>
        <vt:i4>0</vt:i4>
      </vt:variant>
      <vt:variant>
        <vt:i4>5</vt:i4>
      </vt:variant>
      <vt:variant>
        <vt:lpwstr>https://nihrc.org/news/detail/illegal-migration-act-challenge-factsheet</vt:lpwstr>
      </vt:variant>
      <vt:variant>
        <vt:lpwstr/>
      </vt:variant>
      <vt:variant>
        <vt:i4>1310741</vt:i4>
      </vt:variant>
      <vt:variant>
        <vt:i4>9</vt:i4>
      </vt:variant>
      <vt:variant>
        <vt:i4>0</vt:i4>
      </vt:variant>
      <vt:variant>
        <vt:i4>5</vt:i4>
      </vt:variant>
      <vt:variant>
        <vt:lpwstr>https://freemovement.org.uk/domestic-violence-immigration-route/</vt:lpwstr>
      </vt:variant>
      <vt:variant>
        <vt:lpwstr/>
      </vt:variant>
      <vt:variant>
        <vt:i4>7405624</vt:i4>
      </vt:variant>
      <vt:variant>
        <vt:i4>6</vt:i4>
      </vt:variant>
      <vt:variant>
        <vt:i4>0</vt:i4>
      </vt:variant>
      <vt:variant>
        <vt:i4>5</vt:i4>
      </vt:variant>
      <vt:variant>
        <vt:lpwstr>https://nihrc.org/news/detail/fact-sheet-northern-ireland-human-rights-commission-legal-action-on-housing-points-scheme</vt:lpwstr>
      </vt:variant>
      <vt:variant>
        <vt:lpwstr/>
      </vt:variant>
      <vt:variant>
        <vt:i4>7405624</vt:i4>
      </vt:variant>
      <vt:variant>
        <vt:i4>3</vt:i4>
      </vt:variant>
      <vt:variant>
        <vt:i4>0</vt:i4>
      </vt:variant>
      <vt:variant>
        <vt:i4>5</vt:i4>
      </vt:variant>
      <vt:variant>
        <vt:lpwstr>https://nihrc.org/news/detail/fact-sheet-northern-ireland-human-rights-commission-legal-action-on-housing-points-scheme</vt:lpwstr>
      </vt:variant>
      <vt:variant>
        <vt:lpwstr/>
      </vt:variant>
      <vt:variant>
        <vt:i4>4194377</vt:i4>
      </vt:variant>
      <vt:variant>
        <vt:i4>0</vt:i4>
      </vt:variant>
      <vt:variant>
        <vt:i4>0</vt:i4>
      </vt:variant>
      <vt:variant>
        <vt:i4>5</vt:i4>
      </vt:variant>
      <vt:variant>
        <vt:lpwstr>https://www.nicva.org/article/budget-cuts-and-inequality-in-northern-ireland</vt:lpwstr>
      </vt:variant>
      <vt:variant>
        <vt:lpwstr>:~:text=The%20precarious%20financial%20situation%20and,this%20difficult%20and%20stormy%20period.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Lauren Shaw</cp:lastModifiedBy>
  <cp:revision>2</cp:revision>
  <cp:lastPrinted>2024-02-09T09:49:00Z</cp:lastPrinted>
  <dcterms:created xsi:type="dcterms:W3CDTF">2024-02-09T11:13:00Z</dcterms:created>
  <dcterms:modified xsi:type="dcterms:W3CDTF">2024-02-09T11:13:00Z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