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06B89" w14:textId="77777777" w:rsidR="00F31387" w:rsidRDefault="00F31387" w:rsidP="003B7D0E">
      <w:pPr>
        <w:pStyle w:val="BasicParagraph"/>
        <w:suppressAutoHyphens/>
        <w:jc w:val="center"/>
        <w:rPr>
          <w:rFonts w:ascii="Verdana" w:hAnsi="Verdana" w:cs="Arial"/>
          <w:b/>
          <w:bCs/>
          <w:color w:val="734791"/>
          <w:sz w:val="36"/>
          <w:szCs w:val="36"/>
        </w:rPr>
      </w:pPr>
      <w:bookmarkStart w:id="0" w:name="_GoBack"/>
      <w:bookmarkEnd w:id="0"/>
      <w:r w:rsidRPr="00EA12CE">
        <w:rPr>
          <w:rFonts w:ascii="Verdana" w:hAnsi="Verdana" w:cs="Arial"/>
          <w:b/>
          <w:bCs/>
          <w:noProof/>
          <w:color w:val="734791"/>
          <w:sz w:val="36"/>
          <w:szCs w:val="36"/>
          <w:lang w:eastAsia="en-GB"/>
        </w:rPr>
        <w:drawing>
          <wp:inline distT="0" distB="0" distL="0" distR="0" wp14:anchorId="04333E55" wp14:editId="3CEB041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A3A48ED"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190C83FE" w14:textId="77777777" w:rsidR="00F31387" w:rsidRDefault="00C2520D" w:rsidP="003B7D0E">
      <w:pPr>
        <w:pStyle w:val="Default"/>
        <w:spacing w:line="288" w:lineRule="auto"/>
        <w:jc w:val="center"/>
        <w:rPr>
          <w:rFonts w:cs="Arial"/>
          <w:b/>
          <w:bCs/>
          <w:color w:val="77328A"/>
          <w:sz w:val="36"/>
          <w:szCs w:val="36"/>
          <w:lang w:val="en-GB"/>
        </w:rPr>
      </w:pPr>
      <w:r>
        <w:rPr>
          <w:rFonts w:cs="Arial"/>
          <w:b/>
          <w:bCs/>
          <w:color w:val="77328A"/>
          <w:sz w:val="36"/>
          <w:szCs w:val="36"/>
          <w:lang w:val="en-GB"/>
        </w:rPr>
        <w:t>Submission to</w:t>
      </w:r>
      <w:r w:rsidRPr="00C2520D">
        <w:rPr>
          <w:rFonts w:cs="Arial"/>
          <w:b/>
          <w:bCs/>
          <w:color w:val="77328A"/>
          <w:sz w:val="36"/>
          <w:szCs w:val="36"/>
          <w:lang w:val="en-GB"/>
        </w:rPr>
        <w:t xml:space="preserve"> </w:t>
      </w:r>
      <w:r>
        <w:rPr>
          <w:rFonts w:cs="Arial"/>
          <w:b/>
          <w:bCs/>
          <w:color w:val="77328A"/>
          <w:sz w:val="36"/>
          <w:szCs w:val="36"/>
          <w:lang w:val="en-GB"/>
        </w:rPr>
        <w:t>Rehabilitation of Offenders Reform Consultation</w:t>
      </w:r>
    </w:p>
    <w:p w14:paraId="10305D3A" w14:textId="77777777" w:rsidR="00C2520D" w:rsidRDefault="00C2520D" w:rsidP="003B7D0E">
      <w:pPr>
        <w:pStyle w:val="Default"/>
        <w:spacing w:line="288" w:lineRule="auto"/>
        <w:jc w:val="center"/>
        <w:rPr>
          <w:rFonts w:cs="Arial"/>
          <w:b/>
          <w:bCs/>
          <w:color w:val="77328A"/>
          <w:sz w:val="36"/>
          <w:szCs w:val="36"/>
          <w:lang w:val="en-GB"/>
        </w:rPr>
      </w:pPr>
    </w:p>
    <w:p w14:paraId="2A752528" w14:textId="16E70A05" w:rsidR="00C2520D" w:rsidRDefault="00C2520D" w:rsidP="003B7D0E">
      <w:pPr>
        <w:pStyle w:val="Default"/>
        <w:spacing w:line="288" w:lineRule="auto"/>
        <w:jc w:val="center"/>
        <w:rPr>
          <w:rFonts w:cs="Arial"/>
          <w:color w:val="232120"/>
          <w:sz w:val="36"/>
          <w:szCs w:val="36"/>
          <w:lang w:val="en-GB"/>
        </w:rPr>
      </w:pPr>
    </w:p>
    <w:p w14:paraId="38782361" w14:textId="73F2179A" w:rsidR="00CA11D1" w:rsidRDefault="00CA11D1" w:rsidP="003B7D0E">
      <w:pPr>
        <w:pStyle w:val="Default"/>
        <w:spacing w:line="288" w:lineRule="auto"/>
        <w:jc w:val="center"/>
        <w:rPr>
          <w:rFonts w:cs="Arial"/>
          <w:color w:val="232120"/>
          <w:sz w:val="36"/>
          <w:szCs w:val="36"/>
          <w:lang w:val="en-GB"/>
        </w:rPr>
      </w:pPr>
    </w:p>
    <w:p w14:paraId="29806735" w14:textId="3E042443" w:rsidR="00CA11D1" w:rsidRDefault="00CA11D1" w:rsidP="003B7D0E">
      <w:pPr>
        <w:pStyle w:val="Default"/>
        <w:spacing w:line="288" w:lineRule="auto"/>
        <w:jc w:val="center"/>
        <w:rPr>
          <w:rFonts w:cs="Arial"/>
          <w:color w:val="232120"/>
          <w:sz w:val="36"/>
          <w:szCs w:val="36"/>
          <w:lang w:val="en-GB"/>
        </w:rPr>
      </w:pPr>
    </w:p>
    <w:p w14:paraId="4C898D23" w14:textId="77777777" w:rsidR="0061335F" w:rsidRDefault="0061335F" w:rsidP="003B7D0E">
      <w:pPr>
        <w:pStyle w:val="Default"/>
        <w:spacing w:line="288" w:lineRule="auto"/>
        <w:jc w:val="center"/>
        <w:rPr>
          <w:rFonts w:cs="Arial"/>
          <w:color w:val="232120"/>
          <w:sz w:val="36"/>
          <w:szCs w:val="36"/>
          <w:lang w:val="en-GB"/>
        </w:rPr>
      </w:pPr>
    </w:p>
    <w:p w14:paraId="7B5A79CF" w14:textId="77777777" w:rsidR="00CA11D1" w:rsidRPr="00C2520D" w:rsidRDefault="00CA11D1" w:rsidP="003B7D0E">
      <w:pPr>
        <w:pStyle w:val="Default"/>
        <w:spacing w:line="288" w:lineRule="auto"/>
        <w:jc w:val="center"/>
        <w:rPr>
          <w:rFonts w:cs="Arial"/>
          <w:color w:val="232120"/>
          <w:sz w:val="36"/>
          <w:szCs w:val="36"/>
          <w:lang w:val="en-GB"/>
        </w:rPr>
      </w:pPr>
    </w:p>
    <w:p w14:paraId="271B580B" w14:textId="7AC2E579" w:rsidR="003B7D0E" w:rsidRDefault="00D2770F" w:rsidP="0061335F">
      <w:pPr>
        <w:spacing w:line="288" w:lineRule="auto"/>
        <w:jc w:val="center"/>
        <w:rPr>
          <w:rFonts w:ascii="Verdana" w:hAnsi="Verdana" w:cs="Arial"/>
          <w:b/>
          <w:color w:val="232120"/>
          <w:sz w:val="30"/>
          <w:szCs w:val="30"/>
        </w:rPr>
      </w:pPr>
      <w:r w:rsidRPr="000C7344">
        <w:rPr>
          <w:rFonts w:ascii="Verdana" w:hAnsi="Verdana" w:cs="Arial"/>
          <w:b/>
          <w:color w:val="232120"/>
          <w:sz w:val="30"/>
          <w:szCs w:val="30"/>
        </w:rPr>
        <w:t>M</w:t>
      </w:r>
      <w:r w:rsidR="00C2520D" w:rsidRPr="000C7344">
        <w:rPr>
          <w:rFonts w:ascii="Verdana" w:hAnsi="Verdana" w:cs="Arial"/>
          <w:b/>
          <w:color w:val="232120"/>
          <w:sz w:val="30"/>
          <w:szCs w:val="30"/>
        </w:rPr>
        <w:t>arch</w:t>
      </w:r>
      <w:r w:rsidR="00F31387" w:rsidRPr="000C7344">
        <w:rPr>
          <w:rFonts w:ascii="Verdana" w:hAnsi="Verdana" w:cs="Arial"/>
          <w:b/>
          <w:color w:val="232120"/>
          <w:sz w:val="30"/>
          <w:szCs w:val="30"/>
        </w:rPr>
        <w:t xml:space="preserve"> </w:t>
      </w:r>
      <w:r w:rsidR="00C2520D" w:rsidRPr="000C7344">
        <w:rPr>
          <w:rFonts w:ascii="Verdana" w:hAnsi="Verdana" w:cs="Arial"/>
          <w:b/>
          <w:color w:val="232120"/>
          <w:sz w:val="30"/>
          <w:szCs w:val="30"/>
        </w:rPr>
        <w:t>2021</w:t>
      </w:r>
      <w:r w:rsidR="00C2520D">
        <w:rPr>
          <w:rFonts w:ascii="Verdana" w:hAnsi="Verdana" w:cs="Arial"/>
          <w:b/>
          <w:color w:val="232120"/>
          <w:sz w:val="30"/>
          <w:szCs w:val="30"/>
        </w:rPr>
        <w:br/>
      </w:r>
      <w:r w:rsidR="00C2520D">
        <w:rPr>
          <w:rFonts w:ascii="Verdana" w:hAnsi="Verdana" w:cs="Arial"/>
          <w:b/>
          <w:color w:val="232120"/>
          <w:sz w:val="30"/>
          <w:szCs w:val="30"/>
        </w:rPr>
        <w:br/>
      </w:r>
      <w:r w:rsidR="00C2520D">
        <w:rPr>
          <w:rFonts w:ascii="Verdana" w:hAnsi="Verdana" w:cs="Arial"/>
          <w:b/>
          <w:color w:val="232120"/>
          <w:sz w:val="30"/>
          <w:szCs w:val="30"/>
        </w:rPr>
        <w:br/>
      </w:r>
      <w:r w:rsidR="00C2520D">
        <w:rPr>
          <w:rFonts w:ascii="Verdana" w:hAnsi="Verdana" w:cs="Arial"/>
          <w:b/>
          <w:color w:val="232120"/>
          <w:sz w:val="30"/>
          <w:szCs w:val="30"/>
        </w:rPr>
        <w:br/>
      </w:r>
      <w:r w:rsidR="00C2520D">
        <w:rPr>
          <w:rFonts w:ascii="Verdana" w:hAnsi="Verdana" w:cs="Arial"/>
          <w:b/>
          <w:color w:val="232120"/>
          <w:sz w:val="30"/>
          <w:szCs w:val="30"/>
        </w:rPr>
        <w:br/>
      </w:r>
      <w:r w:rsidR="00C2520D">
        <w:rPr>
          <w:rFonts w:ascii="Verdana" w:hAnsi="Verdana" w:cs="Arial"/>
          <w:b/>
          <w:color w:val="232120"/>
          <w:sz w:val="30"/>
          <w:szCs w:val="30"/>
        </w:rPr>
        <w:br/>
      </w:r>
      <w:r w:rsidR="00C2520D">
        <w:rPr>
          <w:rFonts w:ascii="Verdana" w:hAnsi="Verdana" w:cs="Arial"/>
          <w:b/>
          <w:color w:val="232120"/>
          <w:sz w:val="30"/>
          <w:szCs w:val="30"/>
        </w:rPr>
        <w:br/>
      </w:r>
    </w:p>
    <w:p w14:paraId="21EA4F31" w14:textId="77777777" w:rsidR="0061335F" w:rsidRPr="0061335F" w:rsidRDefault="0061335F" w:rsidP="0061335F">
      <w:pPr>
        <w:spacing w:line="288" w:lineRule="auto"/>
        <w:jc w:val="center"/>
        <w:rPr>
          <w:rFonts w:ascii="Verdana" w:hAnsi="Verdana" w:cs="Arial"/>
          <w:b/>
          <w:color w:val="232120"/>
          <w:sz w:val="30"/>
          <w:szCs w:val="30"/>
        </w:rPr>
      </w:pPr>
    </w:p>
    <w:p w14:paraId="5F0D68B3" w14:textId="77777777" w:rsidR="00EA12CE" w:rsidRPr="003B7D0E" w:rsidRDefault="00EA12CE" w:rsidP="00331C61">
      <w:pPr>
        <w:pStyle w:val="Default"/>
        <w:spacing w:line="480" w:lineRule="auto"/>
        <w:rPr>
          <w:rFonts w:cs="Arial"/>
          <w:b/>
          <w:color w:val="3C3C3B"/>
          <w:sz w:val="36"/>
          <w:szCs w:val="36"/>
        </w:rPr>
      </w:pPr>
      <w:r w:rsidRPr="003B7D0E">
        <w:rPr>
          <w:rFonts w:cs="Arial"/>
          <w:b/>
          <w:color w:val="77328A"/>
          <w:sz w:val="36"/>
          <w:szCs w:val="36"/>
        </w:rPr>
        <w:t>Table of Contents</w:t>
      </w:r>
    </w:p>
    <w:p w14:paraId="2076788A" w14:textId="77777777" w:rsidR="003B7D0E" w:rsidRPr="00331C61" w:rsidRDefault="0003114E" w:rsidP="00331C61">
      <w:pPr>
        <w:pStyle w:val="Default"/>
        <w:spacing w:line="480" w:lineRule="auto"/>
        <w:rPr>
          <w:rFonts w:cs="Arial"/>
          <w:b/>
          <w:color w:val="232120"/>
        </w:rPr>
      </w:pPr>
      <w:r>
        <w:rPr>
          <w:rFonts w:cs="Arial"/>
          <w:b/>
          <w:color w:val="232120"/>
        </w:rPr>
        <w:t>Summary of Recommendations</w:t>
      </w:r>
      <w:r w:rsidR="00EA12CE" w:rsidRPr="00331C61">
        <w:rPr>
          <w:rFonts w:cs="Arial"/>
          <w:b/>
          <w:color w:val="232120"/>
        </w:rPr>
        <w:t xml:space="preserve">  </w:t>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1E79A9" w:rsidRPr="00331C61">
        <w:rPr>
          <w:rFonts w:cs="Arial"/>
          <w:b/>
          <w:color w:val="232120"/>
        </w:rPr>
        <w:tab/>
      </w:r>
      <w:r w:rsidR="001E79A9" w:rsidRPr="00331C61">
        <w:rPr>
          <w:rFonts w:cs="Arial"/>
          <w:b/>
          <w:color w:val="232120"/>
        </w:rPr>
        <w:tab/>
      </w:r>
      <w:r>
        <w:rPr>
          <w:rFonts w:cs="Arial"/>
          <w:b/>
          <w:color w:val="232120"/>
        </w:rPr>
        <w:t xml:space="preserve"> 3</w:t>
      </w:r>
    </w:p>
    <w:p w14:paraId="7BFB13FB" w14:textId="3A5BFCBE" w:rsidR="003B7D0E" w:rsidRPr="00331C61" w:rsidRDefault="0003114E" w:rsidP="00331C61">
      <w:pPr>
        <w:pStyle w:val="Default"/>
        <w:spacing w:line="480" w:lineRule="auto"/>
        <w:rPr>
          <w:rFonts w:cs="Arial"/>
          <w:b/>
          <w:color w:val="232120"/>
        </w:rPr>
      </w:pPr>
      <w:r>
        <w:rPr>
          <w:rFonts w:cs="Arial"/>
          <w:b/>
          <w:color w:val="232120"/>
        </w:rPr>
        <w:t>1.0</w:t>
      </w:r>
      <w:r>
        <w:rPr>
          <w:rFonts w:cs="Arial"/>
          <w:b/>
          <w:color w:val="232120"/>
        </w:rPr>
        <w:tab/>
        <w:t>Introduction</w:t>
      </w:r>
      <w:r>
        <w:rPr>
          <w:rFonts w:cs="Arial"/>
          <w:b/>
          <w:color w:val="232120"/>
        </w:rPr>
        <w:tab/>
      </w:r>
      <w:r>
        <w:rPr>
          <w:rFonts w:cs="Arial"/>
          <w:b/>
          <w:color w:val="232120"/>
        </w:rPr>
        <w:tab/>
      </w:r>
      <w:r>
        <w:rPr>
          <w:rFonts w:cs="Arial"/>
          <w:b/>
          <w:color w:val="232120"/>
        </w:rPr>
        <w:tab/>
      </w:r>
      <w:r w:rsidR="001E79A9" w:rsidRPr="00331C61">
        <w:rPr>
          <w:rFonts w:cs="Arial"/>
          <w:b/>
          <w:color w:val="232120"/>
        </w:rPr>
        <w:t xml:space="preserve">  </w:t>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9A0223">
        <w:rPr>
          <w:rFonts w:cs="Arial"/>
          <w:b/>
          <w:color w:val="232120"/>
        </w:rPr>
        <w:t xml:space="preserve"> 4</w:t>
      </w:r>
    </w:p>
    <w:p w14:paraId="6A3A79D2" w14:textId="485D68F8" w:rsidR="001E79A9" w:rsidRPr="00331C61" w:rsidRDefault="0003114E" w:rsidP="00331C61">
      <w:pPr>
        <w:pStyle w:val="Default"/>
        <w:spacing w:line="480" w:lineRule="auto"/>
        <w:rPr>
          <w:rFonts w:cs="Arial"/>
          <w:b/>
          <w:color w:val="232120"/>
        </w:rPr>
      </w:pPr>
      <w:r>
        <w:rPr>
          <w:rFonts w:cs="Arial"/>
          <w:b/>
          <w:color w:val="232120"/>
        </w:rPr>
        <w:t>2.0</w:t>
      </w:r>
      <w:r>
        <w:rPr>
          <w:rFonts w:cs="Arial"/>
          <w:b/>
          <w:color w:val="232120"/>
        </w:rPr>
        <w:tab/>
      </w:r>
      <w:r w:rsidR="009A0223">
        <w:rPr>
          <w:rFonts w:cs="Arial"/>
          <w:b/>
          <w:color w:val="232120"/>
        </w:rPr>
        <w:t>Human Rights Standards</w:t>
      </w:r>
      <w:r>
        <w:rPr>
          <w:rFonts w:cs="Arial"/>
          <w:b/>
          <w:color w:val="232120"/>
        </w:rPr>
        <w:tab/>
      </w:r>
      <w:r>
        <w:rPr>
          <w:rFonts w:cs="Arial"/>
          <w:b/>
          <w:color w:val="232120"/>
        </w:rPr>
        <w:tab/>
      </w:r>
      <w:r>
        <w:rPr>
          <w:rFonts w:cs="Arial"/>
          <w:b/>
          <w:color w:val="232120"/>
        </w:rPr>
        <w:tab/>
      </w:r>
      <w:r w:rsidR="001E79A9" w:rsidRPr="00331C61">
        <w:rPr>
          <w:rFonts w:cs="Arial"/>
          <w:b/>
          <w:color w:val="232120"/>
        </w:rPr>
        <w:t xml:space="preserve">  </w:t>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BA16EA">
        <w:rPr>
          <w:rFonts w:cs="Arial"/>
          <w:b/>
          <w:color w:val="232120"/>
        </w:rPr>
        <w:tab/>
        <w:t xml:space="preserve"> 5</w:t>
      </w:r>
    </w:p>
    <w:p w14:paraId="60604E05" w14:textId="23D7BDA3" w:rsidR="00EA12CE" w:rsidRPr="00331C61" w:rsidRDefault="009A0223" w:rsidP="0003114E">
      <w:pPr>
        <w:pStyle w:val="Default"/>
        <w:spacing w:line="480" w:lineRule="auto"/>
        <w:ind w:firstLine="720"/>
        <w:rPr>
          <w:rFonts w:cs="Arial"/>
          <w:color w:val="232120"/>
        </w:rPr>
      </w:pPr>
      <w:r>
        <w:rPr>
          <w:rFonts w:cs="Arial"/>
          <w:color w:val="232120"/>
        </w:rPr>
        <w:t>Rehabilitation</w:t>
      </w:r>
      <w:r w:rsidR="003B7D0E" w:rsidRPr="00331C61">
        <w:rPr>
          <w:rFonts w:cs="Arial"/>
          <w:color w:val="232120"/>
        </w:rPr>
        <w:tab/>
      </w:r>
      <w:r w:rsidR="003B7D0E"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Pr>
          <w:rFonts w:cs="Arial"/>
          <w:color w:val="232120"/>
        </w:rPr>
        <w:tab/>
      </w:r>
      <w:r>
        <w:rPr>
          <w:rFonts w:cs="Arial"/>
          <w:color w:val="232120"/>
        </w:rPr>
        <w:tab/>
      </w:r>
      <w:r>
        <w:rPr>
          <w:rFonts w:cs="Arial"/>
          <w:color w:val="232120"/>
        </w:rPr>
        <w:tab/>
      </w:r>
      <w:r>
        <w:rPr>
          <w:rFonts w:cs="Arial"/>
          <w:color w:val="232120"/>
        </w:rPr>
        <w:tab/>
        <w:t xml:space="preserve"> 5</w:t>
      </w:r>
    </w:p>
    <w:p w14:paraId="699E02C3" w14:textId="2692D5B7" w:rsidR="003B7D0E" w:rsidRPr="00331C61" w:rsidRDefault="0003114E" w:rsidP="00331C61">
      <w:pPr>
        <w:pStyle w:val="Default"/>
        <w:spacing w:line="480" w:lineRule="auto"/>
        <w:ind w:firstLine="720"/>
        <w:rPr>
          <w:rFonts w:cs="Arial"/>
          <w:color w:val="232120"/>
        </w:rPr>
      </w:pPr>
      <w:r>
        <w:rPr>
          <w:rFonts w:cs="Arial"/>
          <w:color w:val="232120"/>
        </w:rPr>
        <w:t>Article 8 of the European Convention on Human Rights</w:t>
      </w:r>
      <w:r w:rsidR="003B7D0E" w:rsidRPr="00331C61">
        <w:rPr>
          <w:rFonts w:cs="Arial"/>
          <w:color w:val="232120"/>
        </w:rPr>
        <w:tab/>
      </w:r>
      <w:r w:rsidR="003B7D0E" w:rsidRPr="00331C61">
        <w:rPr>
          <w:rFonts w:cs="Arial"/>
          <w:color w:val="232120"/>
        </w:rPr>
        <w:tab/>
      </w:r>
      <w:r w:rsidR="001E79A9" w:rsidRPr="00331C61">
        <w:rPr>
          <w:rFonts w:cs="Arial"/>
          <w:color w:val="232120"/>
        </w:rPr>
        <w:tab/>
      </w:r>
      <w:r w:rsidR="009A0223">
        <w:rPr>
          <w:rFonts w:cs="Arial"/>
          <w:color w:val="232120"/>
        </w:rPr>
        <w:t xml:space="preserve"> 6</w:t>
      </w:r>
    </w:p>
    <w:p w14:paraId="6DDCD0B9" w14:textId="2EFDA2E5" w:rsidR="001E79A9" w:rsidRPr="00331C61" w:rsidRDefault="0003114E" w:rsidP="00331C61">
      <w:pPr>
        <w:pStyle w:val="Default"/>
        <w:spacing w:line="480" w:lineRule="auto"/>
        <w:rPr>
          <w:rFonts w:cs="Arial"/>
          <w:b/>
          <w:color w:val="232120"/>
        </w:rPr>
      </w:pPr>
      <w:r>
        <w:rPr>
          <w:rFonts w:cs="Arial"/>
          <w:b/>
          <w:color w:val="232120"/>
        </w:rPr>
        <w:t>3.0</w:t>
      </w:r>
      <w:r>
        <w:rPr>
          <w:rFonts w:cs="Arial"/>
          <w:b/>
          <w:color w:val="232120"/>
        </w:rPr>
        <w:tab/>
        <w:t>Recommendations</w:t>
      </w:r>
      <w:r>
        <w:rPr>
          <w:rFonts w:cs="Arial"/>
          <w:b/>
          <w:color w:val="232120"/>
        </w:rPr>
        <w:tab/>
      </w:r>
      <w:r>
        <w:rPr>
          <w:rFonts w:cs="Arial"/>
          <w:b/>
          <w:color w:val="232120"/>
        </w:rPr>
        <w:tab/>
      </w:r>
      <w:r w:rsidR="001E79A9" w:rsidRPr="00331C61">
        <w:rPr>
          <w:rFonts w:cs="Arial"/>
          <w:b/>
          <w:color w:val="232120"/>
        </w:rPr>
        <w:t xml:space="preserve">  </w:t>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BA16EA">
        <w:rPr>
          <w:rFonts w:cs="Arial"/>
          <w:b/>
          <w:color w:val="232120"/>
        </w:rPr>
        <w:t xml:space="preserve"> </w:t>
      </w:r>
    </w:p>
    <w:p w14:paraId="4B4039E6" w14:textId="3431CE18" w:rsidR="0003114E" w:rsidRPr="00331C61" w:rsidRDefault="0003114E" w:rsidP="0003114E">
      <w:pPr>
        <w:pStyle w:val="Default"/>
        <w:spacing w:line="480" w:lineRule="auto"/>
        <w:ind w:firstLine="720"/>
        <w:rPr>
          <w:rFonts w:cs="Arial"/>
          <w:color w:val="232120"/>
        </w:rPr>
      </w:pPr>
      <w:r>
        <w:rPr>
          <w:rFonts w:cs="Arial"/>
          <w:color w:val="232120"/>
        </w:rPr>
        <w:t>Adoption of a two-part rehabilitation model</w:t>
      </w:r>
      <w:r w:rsidRPr="00331C61">
        <w:rPr>
          <w:rFonts w:cs="Arial"/>
          <w:color w:val="232120"/>
        </w:rPr>
        <w:tab/>
      </w:r>
      <w:r w:rsidRPr="00331C61">
        <w:rPr>
          <w:rFonts w:cs="Arial"/>
          <w:color w:val="232120"/>
        </w:rPr>
        <w:tab/>
      </w:r>
      <w:r w:rsidRPr="00331C61">
        <w:rPr>
          <w:rFonts w:cs="Arial"/>
          <w:color w:val="232120"/>
        </w:rPr>
        <w:tab/>
      </w:r>
      <w:r w:rsidRPr="00331C61">
        <w:rPr>
          <w:rFonts w:cs="Arial"/>
          <w:color w:val="232120"/>
        </w:rPr>
        <w:tab/>
      </w:r>
      <w:r w:rsidRPr="00331C61">
        <w:rPr>
          <w:rFonts w:cs="Arial"/>
          <w:color w:val="232120"/>
        </w:rPr>
        <w:tab/>
      </w:r>
      <w:r w:rsidR="00A55E63">
        <w:rPr>
          <w:rFonts w:cs="Arial"/>
          <w:color w:val="232120"/>
        </w:rPr>
        <w:t xml:space="preserve"> 8</w:t>
      </w:r>
    </w:p>
    <w:p w14:paraId="79FA0D95" w14:textId="33CD093B" w:rsidR="0003114E" w:rsidRDefault="0003114E" w:rsidP="0003114E">
      <w:pPr>
        <w:pStyle w:val="Default"/>
        <w:ind w:left="720"/>
        <w:rPr>
          <w:rFonts w:cs="Arial"/>
          <w:color w:val="232120"/>
        </w:rPr>
      </w:pPr>
      <w:r w:rsidRPr="0003114E">
        <w:rPr>
          <w:rFonts w:cs="Arial"/>
          <w:color w:val="232120"/>
        </w:rPr>
        <w:t xml:space="preserve">Review of </w:t>
      </w:r>
      <w:r>
        <w:rPr>
          <w:rFonts w:cs="Arial"/>
          <w:color w:val="232120"/>
        </w:rPr>
        <w:t>r</w:t>
      </w:r>
      <w:r w:rsidRPr="0003114E">
        <w:rPr>
          <w:rFonts w:cs="Arial"/>
          <w:color w:val="232120"/>
        </w:rPr>
        <w:t xml:space="preserve">ehabilitation </w:t>
      </w:r>
      <w:r>
        <w:rPr>
          <w:rFonts w:cs="Arial"/>
          <w:color w:val="232120"/>
        </w:rPr>
        <w:t>p</w:t>
      </w:r>
      <w:r w:rsidRPr="0003114E">
        <w:rPr>
          <w:rFonts w:cs="Arial"/>
          <w:color w:val="232120"/>
        </w:rPr>
        <w:t xml:space="preserve">eriods for </w:t>
      </w:r>
      <w:r>
        <w:rPr>
          <w:rFonts w:cs="Arial"/>
          <w:color w:val="232120"/>
        </w:rPr>
        <w:t>o</w:t>
      </w:r>
      <w:r w:rsidRPr="0003114E">
        <w:rPr>
          <w:rFonts w:cs="Arial"/>
          <w:color w:val="232120"/>
        </w:rPr>
        <w:t xml:space="preserve">ffences </w:t>
      </w:r>
      <w:r>
        <w:rPr>
          <w:rFonts w:cs="Arial"/>
          <w:color w:val="232120"/>
        </w:rPr>
        <w:t>n</w:t>
      </w:r>
      <w:r w:rsidRPr="0003114E">
        <w:rPr>
          <w:rFonts w:cs="Arial"/>
          <w:color w:val="232120"/>
        </w:rPr>
        <w:t xml:space="preserve">ot </w:t>
      </w:r>
      <w:r>
        <w:rPr>
          <w:rFonts w:cs="Arial"/>
          <w:color w:val="232120"/>
        </w:rPr>
        <w:t>c</w:t>
      </w:r>
      <w:r w:rsidRPr="0003114E">
        <w:rPr>
          <w:rFonts w:cs="Arial"/>
          <w:color w:val="232120"/>
        </w:rPr>
        <w:t xml:space="preserve">overed </w:t>
      </w:r>
      <w:r w:rsidR="00A55E63">
        <w:rPr>
          <w:rFonts w:cs="Arial"/>
          <w:color w:val="232120"/>
        </w:rPr>
        <w:tab/>
      </w:r>
      <w:r w:rsidR="00A55E63">
        <w:rPr>
          <w:rFonts w:cs="Arial"/>
          <w:color w:val="232120"/>
        </w:rPr>
        <w:tab/>
      </w:r>
      <w:r w:rsidR="00A55E63">
        <w:rPr>
          <w:rFonts w:cs="Arial"/>
          <w:color w:val="232120"/>
        </w:rPr>
        <w:tab/>
        <w:t xml:space="preserve"> 9</w:t>
      </w:r>
      <w:r>
        <w:rPr>
          <w:rFonts w:cs="Arial"/>
          <w:color w:val="232120"/>
        </w:rPr>
        <w:br/>
      </w:r>
      <w:r w:rsidRPr="0003114E">
        <w:rPr>
          <w:rFonts w:cs="Arial"/>
          <w:color w:val="232120"/>
        </w:rPr>
        <w:t xml:space="preserve">by the </w:t>
      </w:r>
      <w:r>
        <w:rPr>
          <w:rFonts w:cs="Arial"/>
          <w:color w:val="232120"/>
        </w:rPr>
        <w:t>s</w:t>
      </w:r>
      <w:r w:rsidRPr="0003114E">
        <w:rPr>
          <w:rFonts w:cs="Arial"/>
          <w:color w:val="232120"/>
        </w:rPr>
        <w:t>cheme</w:t>
      </w:r>
      <w:r w:rsidRPr="00331C61">
        <w:rPr>
          <w:rFonts w:cs="Arial"/>
          <w:color w:val="232120"/>
        </w:rPr>
        <w:tab/>
      </w:r>
      <w:r w:rsidRPr="00331C61">
        <w:rPr>
          <w:rFonts w:cs="Arial"/>
          <w:color w:val="232120"/>
        </w:rPr>
        <w:tab/>
      </w:r>
      <w:r w:rsidRPr="00331C61">
        <w:rPr>
          <w:rFonts w:cs="Arial"/>
          <w:color w:val="232120"/>
        </w:rPr>
        <w:tab/>
      </w:r>
      <w:r>
        <w:rPr>
          <w:rFonts w:cs="Arial"/>
          <w:color w:val="232120"/>
        </w:rPr>
        <w:tab/>
      </w:r>
      <w:r>
        <w:rPr>
          <w:rFonts w:cs="Arial"/>
          <w:color w:val="232120"/>
        </w:rPr>
        <w:tab/>
      </w:r>
      <w:r>
        <w:rPr>
          <w:rFonts w:cs="Arial"/>
          <w:color w:val="232120"/>
        </w:rPr>
        <w:tab/>
      </w:r>
      <w:r>
        <w:rPr>
          <w:rFonts w:cs="Arial"/>
          <w:color w:val="232120"/>
        </w:rPr>
        <w:tab/>
      </w:r>
      <w:r>
        <w:rPr>
          <w:rFonts w:cs="Arial"/>
          <w:color w:val="232120"/>
        </w:rPr>
        <w:tab/>
      </w:r>
      <w:r>
        <w:rPr>
          <w:rFonts w:cs="Arial"/>
          <w:color w:val="232120"/>
        </w:rPr>
        <w:tab/>
      </w:r>
      <w:r>
        <w:rPr>
          <w:rFonts w:cs="Arial"/>
          <w:color w:val="232120"/>
        </w:rPr>
        <w:tab/>
      </w:r>
    </w:p>
    <w:p w14:paraId="08E815F4" w14:textId="77777777" w:rsidR="0003114E" w:rsidRPr="00331C61" w:rsidRDefault="0003114E" w:rsidP="0003114E">
      <w:pPr>
        <w:pStyle w:val="Default"/>
        <w:ind w:left="720"/>
        <w:rPr>
          <w:rFonts w:cs="Arial"/>
          <w:color w:val="232120"/>
        </w:rPr>
      </w:pPr>
    </w:p>
    <w:p w14:paraId="4A9ED8D4" w14:textId="77777777" w:rsidR="001E79A9" w:rsidRPr="00331C61" w:rsidRDefault="001E79A9" w:rsidP="00331C61">
      <w:pPr>
        <w:pStyle w:val="Default"/>
        <w:spacing w:line="288" w:lineRule="auto"/>
        <w:rPr>
          <w:rFonts w:cs="Arial"/>
          <w:b/>
          <w:color w:val="232120"/>
        </w:rPr>
      </w:pPr>
    </w:p>
    <w:p w14:paraId="4AF116C8" w14:textId="77777777" w:rsidR="00EA12CE" w:rsidRPr="00331C61" w:rsidRDefault="00EA12CE" w:rsidP="00331C61">
      <w:pPr>
        <w:pStyle w:val="Default"/>
        <w:spacing w:line="288" w:lineRule="auto"/>
        <w:rPr>
          <w:rFonts w:cs="Arial"/>
          <w:b/>
          <w:color w:val="232120"/>
        </w:rPr>
      </w:pPr>
    </w:p>
    <w:p w14:paraId="1E03C15D" w14:textId="77777777" w:rsidR="00EA12CE" w:rsidRPr="00331C61" w:rsidRDefault="00EA12CE" w:rsidP="00331C61">
      <w:pPr>
        <w:pStyle w:val="Default"/>
        <w:spacing w:line="288" w:lineRule="auto"/>
        <w:rPr>
          <w:rFonts w:cs="Arial"/>
          <w:b/>
          <w:color w:val="232120"/>
        </w:rPr>
      </w:pPr>
    </w:p>
    <w:p w14:paraId="111DC3F0" w14:textId="77777777" w:rsidR="00EA12CE" w:rsidRPr="00331C61" w:rsidRDefault="00EA12CE" w:rsidP="00331C61">
      <w:pPr>
        <w:pStyle w:val="Default"/>
        <w:spacing w:line="288" w:lineRule="auto"/>
        <w:rPr>
          <w:rFonts w:cs="Arial"/>
          <w:b/>
          <w:color w:val="232120"/>
        </w:rPr>
      </w:pPr>
    </w:p>
    <w:p w14:paraId="3DF275AD" w14:textId="77777777" w:rsidR="00EA12CE" w:rsidRPr="00331C61" w:rsidRDefault="00EA12CE" w:rsidP="00331C61">
      <w:pPr>
        <w:pStyle w:val="Default"/>
        <w:spacing w:line="288" w:lineRule="auto"/>
        <w:rPr>
          <w:rFonts w:cs="Arial"/>
          <w:b/>
          <w:color w:val="232120"/>
        </w:rPr>
      </w:pPr>
    </w:p>
    <w:p w14:paraId="19993D20" w14:textId="77777777" w:rsidR="00EA12CE" w:rsidRPr="00331C61" w:rsidRDefault="00EA12CE" w:rsidP="00331C61">
      <w:pPr>
        <w:pStyle w:val="Default"/>
        <w:spacing w:line="288" w:lineRule="auto"/>
        <w:rPr>
          <w:rFonts w:cs="Arial"/>
          <w:b/>
          <w:color w:val="232120"/>
        </w:rPr>
      </w:pPr>
    </w:p>
    <w:p w14:paraId="26CAAED9" w14:textId="77777777" w:rsidR="00EA12CE" w:rsidRPr="00331C61" w:rsidRDefault="00EA12CE" w:rsidP="00331C61">
      <w:pPr>
        <w:pStyle w:val="Default"/>
        <w:spacing w:line="288" w:lineRule="auto"/>
        <w:rPr>
          <w:rFonts w:cs="Arial"/>
          <w:b/>
          <w:color w:val="232120"/>
        </w:rPr>
      </w:pPr>
    </w:p>
    <w:p w14:paraId="48A2737A" w14:textId="77777777" w:rsidR="00EA12CE" w:rsidRPr="00331C61" w:rsidRDefault="00EA12CE" w:rsidP="00331C61">
      <w:pPr>
        <w:pStyle w:val="Default"/>
        <w:spacing w:line="288" w:lineRule="auto"/>
        <w:rPr>
          <w:rFonts w:cs="Arial"/>
          <w:b/>
          <w:color w:val="232120"/>
        </w:rPr>
      </w:pPr>
    </w:p>
    <w:p w14:paraId="1B34F573" w14:textId="77777777" w:rsidR="00EA12CE" w:rsidRDefault="00EA12CE" w:rsidP="00331C61">
      <w:pPr>
        <w:pStyle w:val="Default"/>
        <w:spacing w:line="288" w:lineRule="auto"/>
        <w:rPr>
          <w:rFonts w:cs="Arial"/>
          <w:b/>
          <w:color w:val="232120"/>
        </w:rPr>
      </w:pPr>
    </w:p>
    <w:p w14:paraId="59B9065B" w14:textId="77777777" w:rsidR="0003114E" w:rsidRDefault="0003114E" w:rsidP="00331C61">
      <w:pPr>
        <w:pStyle w:val="Default"/>
        <w:spacing w:line="288" w:lineRule="auto"/>
        <w:rPr>
          <w:rFonts w:cs="Arial"/>
          <w:b/>
          <w:color w:val="232120"/>
        </w:rPr>
      </w:pPr>
    </w:p>
    <w:p w14:paraId="2A35B923" w14:textId="77777777" w:rsidR="0003114E" w:rsidRDefault="0003114E" w:rsidP="00331C61">
      <w:pPr>
        <w:pStyle w:val="Default"/>
        <w:spacing w:line="288" w:lineRule="auto"/>
        <w:rPr>
          <w:rFonts w:cs="Arial"/>
          <w:b/>
          <w:color w:val="232120"/>
        </w:rPr>
      </w:pPr>
    </w:p>
    <w:p w14:paraId="6A0C32A7" w14:textId="77777777" w:rsidR="0003114E" w:rsidRDefault="0003114E" w:rsidP="00331C61">
      <w:pPr>
        <w:pStyle w:val="Default"/>
        <w:spacing w:line="288" w:lineRule="auto"/>
        <w:rPr>
          <w:rFonts w:cs="Arial"/>
          <w:b/>
          <w:color w:val="232120"/>
        </w:rPr>
      </w:pPr>
    </w:p>
    <w:p w14:paraId="710020AF" w14:textId="77777777" w:rsidR="0003114E" w:rsidRDefault="0003114E" w:rsidP="00331C61">
      <w:pPr>
        <w:pStyle w:val="Default"/>
        <w:spacing w:line="288" w:lineRule="auto"/>
        <w:rPr>
          <w:rFonts w:cs="Arial"/>
          <w:b/>
          <w:color w:val="232120"/>
        </w:rPr>
      </w:pPr>
    </w:p>
    <w:p w14:paraId="2CF2C89F" w14:textId="77777777" w:rsidR="0003114E" w:rsidRDefault="0003114E" w:rsidP="00331C61">
      <w:pPr>
        <w:pStyle w:val="Default"/>
        <w:spacing w:line="288" w:lineRule="auto"/>
        <w:rPr>
          <w:rFonts w:cs="Arial"/>
          <w:b/>
          <w:color w:val="232120"/>
        </w:rPr>
      </w:pPr>
    </w:p>
    <w:p w14:paraId="790736BA" w14:textId="77777777" w:rsidR="0003114E" w:rsidRDefault="0003114E" w:rsidP="00331C61">
      <w:pPr>
        <w:pStyle w:val="Default"/>
        <w:spacing w:line="288" w:lineRule="auto"/>
        <w:rPr>
          <w:rFonts w:cs="Arial"/>
          <w:b/>
          <w:color w:val="232120"/>
        </w:rPr>
      </w:pPr>
    </w:p>
    <w:p w14:paraId="24CB7BE7" w14:textId="77777777" w:rsidR="0003114E" w:rsidRDefault="0003114E" w:rsidP="00331C61">
      <w:pPr>
        <w:pStyle w:val="Default"/>
        <w:spacing w:line="288" w:lineRule="auto"/>
        <w:rPr>
          <w:rFonts w:cs="Arial"/>
          <w:b/>
          <w:color w:val="232120"/>
        </w:rPr>
      </w:pPr>
    </w:p>
    <w:p w14:paraId="2D5D09FC" w14:textId="77777777" w:rsidR="0003114E" w:rsidRDefault="0003114E" w:rsidP="00331C61">
      <w:pPr>
        <w:pStyle w:val="Default"/>
        <w:spacing w:line="288" w:lineRule="auto"/>
        <w:rPr>
          <w:rFonts w:cs="Arial"/>
          <w:b/>
          <w:color w:val="232120"/>
        </w:rPr>
      </w:pPr>
    </w:p>
    <w:p w14:paraId="6554E3CF" w14:textId="77777777" w:rsidR="0003114E" w:rsidRDefault="0003114E" w:rsidP="00331C61">
      <w:pPr>
        <w:pStyle w:val="Default"/>
        <w:spacing w:line="288" w:lineRule="auto"/>
        <w:rPr>
          <w:rFonts w:cs="Arial"/>
          <w:b/>
          <w:color w:val="232120"/>
        </w:rPr>
      </w:pPr>
    </w:p>
    <w:p w14:paraId="04B45F2F" w14:textId="34ECC492" w:rsidR="0003114E" w:rsidRDefault="0003114E" w:rsidP="00331C61">
      <w:pPr>
        <w:pStyle w:val="Default"/>
        <w:spacing w:line="288" w:lineRule="auto"/>
        <w:rPr>
          <w:rFonts w:cs="Arial"/>
          <w:b/>
          <w:color w:val="232120"/>
        </w:rPr>
      </w:pPr>
    </w:p>
    <w:p w14:paraId="7A3DF099" w14:textId="35441C70" w:rsidR="0061335F" w:rsidRDefault="0061335F" w:rsidP="00331C61">
      <w:pPr>
        <w:pStyle w:val="Default"/>
        <w:spacing w:line="288" w:lineRule="auto"/>
        <w:rPr>
          <w:rFonts w:cs="Arial"/>
          <w:b/>
          <w:color w:val="232120"/>
        </w:rPr>
      </w:pPr>
    </w:p>
    <w:p w14:paraId="1103BC19" w14:textId="5753C287" w:rsidR="0061335F" w:rsidRDefault="0061335F" w:rsidP="00331C61">
      <w:pPr>
        <w:pStyle w:val="Default"/>
        <w:spacing w:line="288" w:lineRule="auto"/>
        <w:rPr>
          <w:rFonts w:cs="Arial"/>
          <w:b/>
          <w:color w:val="232120"/>
        </w:rPr>
      </w:pPr>
    </w:p>
    <w:p w14:paraId="435A9EC4" w14:textId="77777777" w:rsidR="0061335F" w:rsidRPr="00331C61" w:rsidRDefault="0061335F" w:rsidP="00331C61">
      <w:pPr>
        <w:pStyle w:val="Default"/>
        <w:spacing w:line="288" w:lineRule="auto"/>
        <w:rPr>
          <w:rFonts w:cs="Arial"/>
          <w:b/>
          <w:color w:val="232120"/>
        </w:rPr>
      </w:pPr>
    </w:p>
    <w:p w14:paraId="16B43F88" w14:textId="77777777" w:rsidR="004672AC" w:rsidRPr="00331C61" w:rsidRDefault="004672AC" w:rsidP="00331C61">
      <w:pPr>
        <w:pStyle w:val="Default"/>
        <w:spacing w:line="288" w:lineRule="auto"/>
        <w:rPr>
          <w:rFonts w:cs="Arial"/>
          <w:b/>
          <w:color w:val="232120"/>
        </w:rPr>
      </w:pPr>
    </w:p>
    <w:p w14:paraId="1BF5F364" w14:textId="77777777" w:rsidR="007569C1" w:rsidRPr="00331C61" w:rsidRDefault="007569C1" w:rsidP="00331C61">
      <w:pPr>
        <w:pStyle w:val="BasicParagraph"/>
        <w:suppressAutoHyphens/>
        <w:rPr>
          <w:rFonts w:ascii="Verdana" w:hAnsi="Verdana" w:cs="Arial"/>
          <w:color w:val="232120"/>
        </w:rPr>
      </w:pPr>
    </w:p>
    <w:p w14:paraId="733FB184" w14:textId="77777777" w:rsidR="007A0158" w:rsidRDefault="007A0158">
      <w:pPr>
        <w:rPr>
          <w:rFonts w:ascii="Verdana" w:hAnsi="Verdana" w:cs="Arial"/>
          <w:b/>
          <w:color w:val="77328A"/>
          <w:sz w:val="30"/>
          <w:szCs w:val="30"/>
        </w:rPr>
      </w:pPr>
      <w:r>
        <w:rPr>
          <w:rFonts w:ascii="Verdana" w:hAnsi="Verdana" w:cs="Arial"/>
          <w:b/>
          <w:color w:val="77328A"/>
          <w:sz w:val="30"/>
          <w:szCs w:val="30"/>
        </w:rPr>
        <w:t>Summary of Recommendations</w:t>
      </w:r>
    </w:p>
    <w:p w14:paraId="649F99C2" w14:textId="77777777" w:rsidR="007A0158" w:rsidRDefault="007A0158">
      <w:pPr>
        <w:rPr>
          <w:rFonts w:ascii="Verdana" w:hAnsi="Verdana" w:cs="Arial"/>
          <w:b/>
          <w:color w:val="77328A"/>
          <w:sz w:val="30"/>
          <w:szCs w:val="30"/>
        </w:rPr>
      </w:pPr>
    </w:p>
    <w:p w14:paraId="00D657A4" w14:textId="58913709" w:rsidR="007A0158" w:rsidRPr="007A0158" w:rsidRDefault="007A0158" w:rsidP="007A0158">
      <w:pPr>
        <w:spacing w:before="100" w:beforeAutospacing="1" w:after="100" w:afterAutospacing="1"/>
        <w:rPr>
          <w:rFonts w:ascii="Times New Roman" w:eastAsia="Times New Roman" w:hAnsi="Times New Roman" w:cs="Times New Roman"/>
          <w:lang w:val="en-HK" w:eastAsia="zh-TW"/>
        </w:rPr>
      </w:pPr>
      <w:r w:rsidRPr="007A0158">
        <w:rPr>
          <w:rFonts w:ascii="Verdana,Bold" w:eastAsia="Times New Roman" w:hAnsi="Verdana,Bold" w:cs="Times New Roman"/>
          <w:color w:val="211E1E"/>
          <w:lang w:val="en-HK" w:eastAsia="zh-TW"/>
        </w:rPr>
        <w:t xml:space="preserve">The Northern Ireland Human Rights Commission (NIHRC): </w:t>
      </w:r>
    </w:p>
    <w:p w14:paraId="10F912B4" w14:textId="4BF67668" w:rsidR="007A0158" w:rsidRPr="0019158C" w:rsidRDefault="00F94776" w:rsidP="007C4ACA">
      <w:pPr>
        <w:ind w:left="851" w:hanging="851"/>
        <w:rPr>
          <w:rFonts w:ascii="Verdana" w:hAnsi="Verdana"/>
          <w:b/>
          <w:bCs/>
        </w:rPr>
      </w:pPr>
      <w:r w:rsidRPr="0019158C">
        <w:rPr>
          <w:rFonts w:ascii="Verdana" w:hAnsi="Verdana"/>
          <w:b/>
          <w:bCs/>
        </w:rPr>
        <w:t>2.2.</w:t>
      </w:r>
      <w:r w:rsidR="0019158C" w:rsidRPr="0019158C">
        <w:rPr>
          <w:rFonts w:ascii="Verdana" w:hAnsi="Verdana"/>
          <w:b/>
          <w:bCs/>
        </w:rPr>
        <w:t>9</w:t>
      </w:r>
      <w:r w:rsidR="007C4ACA">
        <w:rPr>
          <w:rFonts w:ascii="Verdana" w:hAnsi="Verdana"/>
          <w:b/>
          <w:bCs/>
        </w:rPr>
        <w:tab/>
      </w:r>
      <w:r w:rsidRPr="0019158C">
        <w:rPr>
          <w:rFonts w:ascii="Verdana" w:hAnsi="Verdana"/>
          <w:b/>
          <w:bCs/>
        </w:rPr>
        <w:t>supports the proposal to reform legislation governing the rehabilitation of offenders in Northern Ireland</w:t>
      </w:r>
      <w:r w:rsidR="00C97BDA">
        <w:rPr>
          <w:rFonts w:ascii="Verdana" w:hAnsi="Verdana"/>
          <w:b/>
          <w:bCs/>
        </w:rPr>
        <w:t>.</w:t>
      </w:r>
    </w:p>
    <w:p w14:paraId="627490D0" w14:textId="2CE466B6" w:rsidR="00F94776" w:rsidRDefault="00F94776">
      <w:pPr>
        <w:rPr>
          <w:rFonts w:ascii="Verdana" w:hAnsi="Verdana"/>
        </w:rPr>
      </w:pPr>
    </w:p>
    <w:p w14:paraId="51452437" w14:textId="3AE0F3E5" w:rsidR="00F94776" w:rsidRDefault="00F94776" w:rsidP="007C4ACA">
      <w:pPr>
        <w:ind w:left="851" w:hanging="851"/>
        <w:rPr>
          <w:rFonts w:ascii="Verdana" w:hAnsi="Verdana"/>
        </w:rPr>
      </w:pPr>
      <w:r>
        <w:rPr>
          <w:rFonts w:ascii="Verdana" w:hAnsi="Verdana"/>
          <w:b/>
          <w:bCs/>
          <w:lang w:val="en-HK"/>
        </w:rPr>
        <w:t>3.5</w:t>
      </w:r>
      <w:r>
        <w:rPr>
          <w:rFonts w:ascii="Verdana" w:hAnsi="Verdana"/>
          <w:b/>
          <w:bCs/>
          <w:lang w:val="en-HK"/>
        </w:rPr>
        <w:tab/>
      </w:r>
      <w:r w:rsidR="00186A0D">
        <w:rPr>
          <w:rFonts w:ascii="Verdana" w:hAnsi="Verdana"/>
          <w:b/>
          <w:bCs/>
          <w:lang w:val="en-HK"/>
        </w:rPr>
        <w:t xml:space="preserve">recommends that the proposed adoption of a </w:t>
      </w:r>
      <w:r w:rsidR="00186A0D" w:rsidRPr="007D47FF">
        <w:rPr>
          <w:rFonts w:ascii="Verdana" w:hAnsi="Verdana"/>
          <w:b/>
          <w:bCs/>
          <w:lang w:val="en-HK"/>
        </w:rPr>
        <w:t xml:space="preserve">two-part rehabilitation approach be </w:t>
      </w:r>
      <w:r w:rsidR="00186A0D">
        <w:rPr>
          <w:rFonts w:ascii="Verdana" w:hAnsi="Verdana"/>
          <w:b/>
          <w:bCs/>
          <w:lang w:val="en-HK"/>
        </w:rPr>
        <w:t>further examined, taking into account the experience in Scotland, England and Wales</w:t>
      </w:r>
      <w:r w:rsidR="00186A0D" w:rsidRPr="007D47FF">
        <w:rPr>
          <w:rFonts w:ascii="Verdana" w:hAnsi="Verdana"/>
          <w:b/>
          <w:bCs/>
          <w:lang w:val="en-HK"/>
        </w:rPr>
        <w:t>.</w:t>
      </w:r>
    </w:p>
    <w:p w14:paraId="37F40402" w14:textId="274A8E21" w:rsidR="00F94776" w:rsidRDefault="00F94776">
      <w:pPr>
        <w:rPr>
          <w:rFonts w:ascii="Verdana" w:hAnsi="Verdana"/>
        </w:rPr>
      </w:pPr>
    </w:p>
    <w:p w14:paraId="70B1B29F" w14:textId="2225D6DF" w:rsidR="00F94776" w:rsidRPr="00F94776" w:rsidRDefault="00F94776" w:rsidP="007C4ACA">
      <w:pPr>
        <w:pStyle w:val="BasicParagraph"/>
        <w:suppressAutoHyphens/>
        <w:ind w:left="851" w:hanging="851"/>
        <w:rPr>
          <w:rFonts w:ascii="Verdana" w:hAnsi="Verdana" w:cstheme="minorBidi"/>
          <w:b/>
          <w:bCs/>
          <w:color w:val="auto"/>
          <w:lang w:val="en-HK"/>
        </w:rPr>
      </w:pPr>
      <w:r w:rsidRPr="00F94776">
        <w:rPr>
          <w:rFonts w:ascii="Verdana" w:hAnsi="Verdana" w:cstheme="minorBidi"/>
          <w:b/>
          <w:bCs/>
          <w:color w:val="auto"/>
          <w:lang w:val="en-HK"/>
        </w:rPr>
        <w:t>4.1</w:t>
      </w:r>
      <w:r w:rsidR="00F710ED">
        <w:rPr>
          <w:rFonts w:ascii="Verdana" w:hAnsi="Verdana" w:cstheme="minorBidi"/>
          <w:b/>
          <w:bCs/>
          <w:color w:val="auto"/>
          <w:lang w:val="en-HK"/>
        </w:rPr>
        <w:t>3</w:t>
      </w:r>
      <w:r w:rsidRPr="00F94776">
        <w:rPr>
          <w:rFonts w:ascii="Verdana" w:hAnsi="Verdana" w:cstheme="minorBidi"/>
          <w:b/>
          <w:bCs/>
          <w:color w:val="auto"/>
          <w:lang w:val="en-HK"/>
        </w:rPr>
        <w:tab/>
        <w:t>recommends the development of a</w:t>
      </w:r>
      <w:r w:rsidR="008D62B9">
        <w:rPr>
          <w:rFonts w:ascii="Verdana" w:hAnsi="Verdana" w:cstheme="minorBidi"/>
          <w:b/>
          <w:bCs/>
          <w:color w:val="auto"/>
          <w:lang w:val="en-HK"/>
        </w:rPr>
        <w:t xml:space="preserve"> significantly enhanced scope for rehabilitation alongside a</w:t>
      </w:r>
      <w:r w:rsidRPr="00F94776">
        <w:rPr>
          <w:rFonts w:ascii="Verdana" w:hAnsi="Verdana" w:cstheme="minorBidi"/>
          <w:b/>
          <w:bCs/>
          <w:color w:val="auto"/>
          <w:lang w:val="en-HK"/>
        </w:rPr>
        <w:t xml:space="preserve"> review mechanism to ensure compliance with Article 8 ECHR.</w:t>
      </w:r>
    </w:p>
    <w:p w14:paraId="723B53D0" w14:textId="6C1E78DE" w:rsidR="00F94776" w:rsidRDefault="00F94776">
      <w:pPr>
        <w:rPr>
          <w:rFonts w:ascii="Verdana" w:hAnsi="Verdana" w:cs="Arial"/>
          <w:b/>
          <w:color w:val="77328A"/>
          <w:sz w:val="30"/>
          <w:szCs w:val="30"/>
          <w:lang w:val="en-HK"/>
        </w:rPr>
      </w:pPr>
    </w:p>
    <w:p w14:paraId="40FA2AB7" w14:textId="5779B67F" w:rsidR="00F94776" w:rsidRPr="00BE2CB5" w:rsidRDefault="00F94776" w:rsidP="007C4ACA">
      <w:pPr>
        <w:pStyle w:val="BasicParagraph"/>
        <w:suppressAutoHyphens/>
        <w:ind w:left="851" w:hanging="851"/>
        <w:rPr>
          <w:rFonts w:ascii="Verdana" w:hAnsi="Verdana"/>
          <w:b/>
          <w:bCs/>
        </w:rPr>
      </w:pPr>
      <w:r w:rsidRPr="00BE2CB5">
        <w:rPr>
          <w:rFonts w:ascii="Verdana" w:hAnsi="Verdana"/>
          <w:b/>
          <w:bCs/>
          <w:lang w:val="en-HK"/>
        </w:rPr>
        <w:t>4.1</w:t>
      </w:r>
      <w:r w:rsidR="00F710ED">
        <w:rPr>
          <w:rFonts w:ascii="Verdana" w:hAnsi="Verdana"/>
          <w:b/>
          <w:bCs/>
          <w:lang w:val="en-HK"/>
        </w:rPr>
        <w:t>7</w:t>
      </w:r>
      <w:r w:rsidRPr="00BE2CB5">
        <w:rPr>
          <w:rFonts w:ascii="Verdana" w:hAnsi="Verdana"/>
          <w:b/>
          <w:bCs/>
          <w:lang w:val="en-HK"/>
        </w:rPr>
        <w:tab/>
        <w:t xml:space="preserve">recommends that there is additional consideration regarding the spending of conflict-related convictions that pre-date </w:t>
      </w:r>
      <w:r w:rsidRPr="00BE2CB5">
        <w:rPr>
          <w:rFonts w:ascii="Verdana" w:hAnsi="Verdana"/>
          <w:b/>
          <w:bCs/>
        </w:rPr>
        <w:t>the Good Friday Agreement (April 1998).</w:t>
      </w:r>
    </w:p>
    <w:p w14:paraId="584587F2" w14:textId="77777777" w:rsidR="00F94776" w:rsidRPr="00BE2CB5" w:rsidRDefault="00F94776" w:rsidP="00F94776">
      <w:pPr>
        <w:pStyle w:val="BasicParagraph"/>
        <w:suppressAutoHyphens/>
        <w:ind w:left="709" w:hanging="709"/>
        <w:rPr>
          <w:rFonts w:ascii="Verdana" w:hAnsi="Verdana"/>
          <w:b/>
          <w:bCs/>
        </w:rPr>
      </w:pPr>
    </w:p>
    <w:p w14:paraId="7E7D241B" w14:textId="23C5F990" w:rsidR="00F94776" w:rsidRPr="00BE2CB5" w:rsidRDefault="00F94776" w:rsidP="007C4ACA">
      <w:pPr>
        <w:pStyle w:val="BasicParagraph"/>
        <w:suppressAutoHyphens/>
        <w:ind w:left="851" w:hanging="851"/>
        <w:rPr>
          <w:rFonts w:ascii="Verdana" w:hAnsi="Verdana"/>
          <w:b/>
          <w:bCs/>
          <w:lang w:val="en-HK"/>
        </w:rPr>
      </w:pPr>
      <w:r w:rsidRPr="00BE2CB5">
        <w:rPr>
          <w:rFonts w:ascii="Verdana" w:hAnsi="Verdana"/>
          <w:b/>
          <w:bCs/>
        </w:rPr>
        <w:t>4.1</w:t>
      </w:r>
      <w:r w:rsidR="00F710ED">
        <w:rPr>
          <w:rFonts w:ascii="Verdana" w:hAnsi="Verdana"/>
          <w:b/>
          <w:bCs/>
        </w:rPr>
        <w:t>8</w:t>
      </w:r>
      <w:r w:rsidRPr="00BE2CB5">
        <w:rPr>
          <w:rFonts w:ascii="Verdana" w:hAnsi="Verdana"/>
          <w:b/>
          <w:bCs/>
        </w:rPr>
        <w:tab/>
        <w:t>recommends that the Department of Justice liaise with the ex-prisoners working group</w:t>
      </w:r>
      <w:r w:rsidR="008D62B9">
        <w:rPr>
          <w:rFonts w:ascii="Verdana" w:hAnsi="Verdana"/>
          <w:b/>
          <w:bCs/>
        </w:rPr>
        <w:t xml:space="preserve"> and other relevant stakeholders</w:t>
      </w:r>
      <w:r w:rsidRPr="00BE2CB5">
        <w:rPr>
          <w:rFonts w:ascii="Verdana" w:hAnsi="Verdana"/>
          <w:b/>
          <w:bCs/>
        </w:rPr>
        <w:t xml:space="preserve"> in respect of future developments on this legislation.</w:t>
      </w:r>
    </w:p>
    <w:p w14:paraId="0A6652A3" w14:textId="77777777" w:rsidR="00F94776" w:rsidRPr="007A0158" w:rsidRDefault="00F94776">
      <w:pPr>
        <w:rPr>
          <w:rFonts w:ascii="Verdana" w:hAnsi="Verdana" w:cs="Arial"/>
          <w:b/>
          <w:color w:val="77328A"/>
          <w:sz w:val="30"/>
          <w:szCs w:val="30"/>
          <w:lang w:val="en-HK"/>
        </w:rPr>
      </w:pPr>
    </w:p>
    <w:p w14:paraId="2B55C5B0" w14:textId="77777777" w:rsidR="009A0223" w:rsidRDefault="009A0223">
      <w:pPr>
        <w:rPr>
          <w:rFonts w:ascii="Verdana" w:hAnsi="Verdana" w:cs="Arial"/>
          <w:b/>
          <w:color w:val="77328A"/>
          <w:sz w:val="30"/>
          <w:szCs w:val="30"/>
        </w:rPr>
      </w:pPr>
      <w:r>
        <w:rPr>
          <w:rFonts w:ascii="Verdana" w:hAnsi="Verdana" w:cs="Arial"/>
          <w:b/>
          <w:color w:val="77328A"/>
          <w:sz w:val="30"/>
          <w:szCs w:val="30"/>
        </w:rPr>
        <w:br w:type="page"/>
      </w:r>
    </w:p>
    <w:p w14:paraId="4586F288" w14:textId="19820064" w:rsidR="007569C1" w:rsidRDefault="00C2520D" w:rsidP="00331C61">
      <w:pPr>
        <w:pStyle w:val="BasicParagraph"/>
        <w:suppressAutoHyphens/>
        <w:rPr>
          <w:rFonts w:ascii="Verdana" w:hAnsi="Verdana" w:cs="Arial"/>
          <w:b/>
          <w:color w:val="77328A"/>
          <w:sz w:val="30"/>
          <w:szCs w:val="30"/>
        </w:rPr>
      </w:pPr>
      <w:r>
        <w:rPr>
          <w:rFonts w:ascii="Verdana" w:hAnsi="Verdana" w:cs="Arial"/>
          <w:b/>
          <w:color w:val="77328A"/>
          <w:sz w:val="30"/>
          <w:szCs w:val="30"/>
        </w:rPr>
        <w:lastRenderedPageBreak/>
        <w:t>1</w:t>
      </w:r>
      <w:r w:rsidR="007569C1" w:rsidRPr="003B7D0E">
        <w:rPr>
          <w:rFonts w:ascii="Verdana" w:hAnsi="Verdana" w:cs="Arial"/>
          <w:b/>
          <w:color w:val="77328A"/>
          <w:sz w:val="30"/>
          <w:szCs w:val="30"/>
        </w:rPr>
        <w:t>.0</w:t>
      </w:r>
      <w:r w:rsidR="007569C1" w:rsidRPr="003B7D0E">
        <w:rPr>
          <w:rFonts w:ascii="Verdana" w:hAnsi="Verdana" w:cs="Arial"/>
          <w:b/>
          <w:color w:val="77328A"/>
          <w:sz w:val="30"/>
          <w:szCs w:val="30"/>
        </w:rPr>
        <w:tab/>
      </w:r>
      <w:r>
        <w:rPr>
          <w:rFonts w:ascii="Verdana" w:hAnsi="Verdana" w:cs="Arial"/>
          <w:b/>
          <w:color w:val="77328A"/>
          <w:sz w:val="30"/>
          <w:szCs w:val="30"/>
        </w:rPr>
        <w:t>Introduction</w:t>
      </w:r>
    </w:p>
    <w:p w14:paraId="651335E1" w14:textId="77777777" w:rsidR="00C2520D" w:rsidRDefault="00C2520D" w:rsidP="00331C61">
      <w:pPr>
        <w:pStyle w:val="BasicParagraph"/>
        <w:suppressAutoHyphens/>
        <w:rPr>
          <w:rFonts w:ascii="Verdana" w:hAnsi="Verdana" w:cs="Arial"/>
          <w:color w:val="77328A"/>
          <w:sz w:val="30"/>
          <w:szCs w:val="30"/>
        </w:rPr>
      </w:pPr>
    </w:p>
    <w:p w14:paraId="2D06D6DA" w14:textId="77777777" w:rsidR="00C2520D" w:rsidRPr="00E515F2" w:rsidRDefault="00C2520D" w:rsidP="00C2520D">
      <w:pPr>
        <w:pStyle w:val="BasicParagraph"/>
        <w:suppressAutoHyphens/>
        <w:ind w:left="720" w:hanging="720"/>
        <w:rPr>
          <w:rFonts w:ascii="Verdana" w:hAnsi="Verdana"/>
          <w:lang w:val="en-US"/>
        </w:rPr>
      </w:pPr>
      <w:r>
        <w:rPr>
          <w:rFonts w:ascii="Verdana" w:hAnsi="Verdana" w:cs="Arial"/>
          <w:color w:val="232120"/>
        </w:rPr>
        <w:t>1</w:t>
      </w:r>
      <w:r w:rsidRPr="00331C61">
        <w:rPr>
          <w:rFonts w:ascii="Verdana" w:hAnsi="Verdana" w:cs="Arial"/>
          <w:color w:val="232120"/>
        </w:rPr>
        <w:t>.</w:t>
      </w:r>
      <w:r>
        <w:rPr>
          <w:rFonts w:ascii="Verdana" w:hAnsi="Verdana" w:cs="Arial"/>
          <w:color w:val="232120"/>
        </w:rPr>
        <w:t>1</w:t>
      </w:r>
      <w:r w:rsidRPr="00331C61">
        <w:rPr>
          <w:rFonts w:ascii="Verdana" w:hAnsi="Verdana" w:cs="Arial"/>
          <w:color w:val="232120"/>
        </w:rPr>
        <w:t xml:space="preserve"> </w:t>
      </w:r>
      <w:r>
        <w:rPr>
          <w:rFonts w:ascii="Verdana" w:hAnsi="Verdana" w:cs="Arial"/>
          <w:color w:val="232120"/>
        </w:rPr>
        <w:tab/>
      </w:r>
      <w:r w:rsidRPr="00E515F2">
        <w:rPr>
          <w:rFonts w:ascii="Verdana" w:hAnsi="Verdana"/>
          <w:lang w:val="en-US"/>
        </w:rPr>
        <w:t>The Northern Ireland Human Rights Commission (</w:t>
      </w:r>
      <w:r>
        <w:rPr>
          <w:rFonts w:ascii="Verdana" w:hAnsi="Verdana"/>
          <w:lang w:val="en-US"/>
        </w:rPr>
        <w:t>the Commission</w:t>
      </w:r>
      <w:r w:rsidRPr="00E515F2">
        <w:rPr>
          <w:rFonts w:ascii="Verdana" w:hAnsi="Verdana"/>
          <w:lang w:val="en-US"/>
        </w:rPr>
        <w:t xml:space="preserve">), pursuant to section 69(1) of the Northern Ireland Act 1998, reviews the adequacy and effectiveness of law and practice relating to the protection of human rights in Northern Ireland (NI). In accordance with this function, the following advice is submitted in response to </w:t>
      </w:r>
      <w:r w:rsidR="000B2433">
        <w:rPr>
          <w:rFonts w:ascii="Verdana" w:hAnsi="Verdana"/>
          <w:lang w:val="en-US"/>
        </w:rPr>
        <w:t xml:space="preserve">the </w:t>
      </w:r>
      <w:r>
        <w:rPr>
          <w:rFonts w:ascii="Verdana" w:hAnsi="Verdana"/>
          <w:lang w:val="en-US"/>
        </w:rPr>
        <w:t>Department of Justice’s</w:t>
      </w:r>
      <w:r w:rsidRPr="00E515F2">
        <w:rPr>
          <w:rFonts w:ascii="Verdana" w:hAnsi="Verdana"/>
          <w:lang w:val="en-US"/>
        </w:rPr>
        <w:t xml:space="preserve"> consultation on </w:t>
      </w:r>
      <w:r>
        <w:rPr>
          <w:rFonts w:ascii="Verdana" w:hAnsi="Verdana"/>
          <w:lang w:val="en-US"/>
        </w:rPr>
        <w:t>‘</w:t>
      </w:r>
      <w:r w:rsidRPr="008D2F15">
        <w:rPr>
          <w:rFonts w:ascii="Verdana" w:hAnsi="Verdana"/>
          <w:lang w:val="en-US"/>
        </w:rPr>
        <w:t>‘Rehabilitation of Offenders - a consultation on proposals to reform rehabilitation periods in Northern Ireland’</w:t>
      </w:r>
      <w:r>
        <w:t>”</w:t>
      </w:r>
      <w:r w:rsidRPr="00E515F2">
        <w:rPr>
          <w:rFonts w:ascii="Verdana" w:hAnsi="Verdana"/>
          <w:lang w:val="en-US"/>
        </w:rPr>
        <w:t xml:space="preserve">. </w:t>
      </w:r>
    </w:p>
    <w:p w14:paraId="7A6D2210" w14:textId="77777777" w:rsidR="00C2520D" w:rsidRPr="00C2520D" w:rsidRDefault="00C2520D" w:rsidP="00C2520D">
      <w:pPr>
        <w:pStyle w:val="BasicParagraph"/>
        <w:suppressAutoHyphens/>
        <w:ind w:left="720" w:hanging="720"/>
        <w:rPr>
          <w:rFonts w:ascii="Verdana" w:hAnsi="Verdana" w:cs="Arial"/>
          <w:color w:val="77328A"/>
          <w:sz w:val="30"/>
          <w:szCs w:val="30"/>
          <w:lang w:val="en-US"/>
        </w:rPr>
      </w:pPr>
    </w:p>
    <w:p w14:paraId="47C0BAD8" w14:textId="77777777" w:rsidR="00C200B5" w:rsidRPr="00EA0ADF" w:rsidRDefault="00C2520D" w:rsidP="00C200B5">
      <w:pPr>
        <w:pStyle w:val="BasicParagraph"/>
        <w:suppressAutoHyphens/>
        <w:ind w:left="709" w:hanging="709"/>
        <w:rPr>
          <w:rFonts w:ascii="Verdana" w:hAnsi="Verdana"/>
          <w:lang w:val="en-HK"/>
        </w:rPr>
      </w:pPr>
      <w:r w:rsidRPr="00C200B5">
        <w:rPr>
          <w:rFonts w:ascii="Verdana" w:hAnsi="Verdana" w:cs="Arial"/>
          <w:color w:val="232120"/>
        </w:rPr>
        <w:t xml:space="preserve">1.2 </w:t>
      </w:r>
      <w:r w:rsidR="00C200B5">
        <w:rPr>
          <w:rFonts w:ascii="Verdana" w:hAnsi="Verdana" w:cs="Arial"/>
          <w:color w:val="232120"/>
        </w:rPr>
        <w:tab/>
      </w:r>
      <w:r w:rsidR="00C200B5" w:rsidRPr="00E515F2">
        <w:rPr>
          <w:rFonts w:ascii="Verdana" w:hAnsi="Verdana"/>
          <w:lang w:val="en-US"/>
        </w:rPr>
        <w:t xml:space="preserve">The </w:t>
      </w:r>
      <w:r w:rsidR="00C200B5">
        <w:rPr>
          <w:rFonts w:ascii="Verdana" w:hAnsi="Verdana"/>
          <w:lang w:val="en-US"/>
        </w:rPr>
        <w:t>Commission</w:t>
      </w:r>
      <w:r w:rsidR="00C200B5" w:rsidRPr="00E515F2">
        <w:rPr>
          <w:rFonts w:ascii="Verdana" w:hAnsi="Verdana"/>
          <w:lang w:val="en-US"/>
        </w:rPr>
        <w:t xml:space="preserve"> bases its advice on the full range of internationally accepted human rights standards, including the European Convention on Human Rights, as incorporated by the Human Rights Act 1998, and the treaty obligations of the Council of Europe (CoE) and United Nations (UN). </w:t>
      </w:r>
      <w:r w:rsidR="00C200B5">
        <w:rPr>
          <w:rFonts w:ascii="Verdana" w:hAnsi="Verdana"/>
          <w:lang w:val="en-US"/>
        </w:rPr>
        <w:t>The relevant regional and international treaties in this context include:</w:t>
      </w:r>
    </w:p>
    <w:p w14:paraId="47CCD433" w14:textId="77777777" w:rsidR="00C2520D" w:rsidRPr="00C200B5" w:rsidRDefault="00C2520D" w:rsidP="00C2520D">
      <w:pPr>
        <w:pStyle w:val="BasicParagraph"/>
        <w:suppressAutoHyphens/>
        <w:rPr>
          <w:rFonts w:ascii="Verdana" w:hAnsi="Verdana" w:cs="Arial"/>
          <w:color w:val="232120"/>
        </w:rPr>
      </w:pPr>
    </w:p>
    <w:p w14:paraId="17F5794E" w14:textId="77777777" w:rsidR="00C200B5" w:rsidRPr="00C200B5" w:rsidRDefault="00C200B5" w:rsidP="00C200B5">
      <w:pPr>
        <w:pStyle w:val="BasicParagraph"/>
        <w:numPr>
          <w:ilvl w:val="0"/>
          <w:numId w:val="9"/>
        </w:numPr>
        <w:suppressAutoHyphens/>
        <w:rPr>
          <w:rFonts w:ascii="Verdana" w:hAnsi="Verdana"/>
          <w:lang w:val="en-US"/>
        </w:rPr>
      </w:pPr>
      <w:r w:rsidRPr="00C200B5">
        <w:rPr>
          <w:rFonts w:ascii="Verdana" w:hAnsi="Verdana"/>
          <w:lang w:val="en-US"/>
        </w:rPr>
        <w:t>European Convention on Human Rights (ECHR);</w:t>
      </w:r>
      <w:r>
        <w:rPr>
          <w:rStyle w:val="FootnoteReference"/>
          <w:rFonts w:ascii="Verdana" w:hAnsi="Verdana"/>
          <w:lang w:val="en-US"/>
        </w:rPr>
        <w:footnoteReference w:id="2"/>
      </w:r>
    </w:p>
    <w:p w14:paraId="3F3B5178" w14:textId="77777777" w:rsidR="00C200B5" w:rsidRPr="00C200B5" w:rsidRDefault="00C200B5" w:rsidP="00C200B5">
      <w:pPr>
        <w:pStyle w:val="BasicParagraph"/>
        <w:numPr>
          <w:ilvl w:val="0"/>
          <w:numId w:val="9"/>
        </w:numPr>
        <w:suppressAutoHyphens/>
        <w:rPr>
          <w:rFonts w:ascii="Verdana" w:hAnsi="Verdana"/>
          <w:lang w:val="en-US"/>
        </w:rPr>
      </w:pPr>
      <w:r w:rsidRPr="00C200B5">
        <w:rPr>
          <w:rFonts w:ascii="Verdana" w:hAnsi="Verdana"/>
          <w:lang w:val="en-US"/>
        </w:rPr>
        <w:t>UN International Covenant on Civil and Political Rights (UN</w:t>
      </w:r>
    </w:p>
    <w:p w14:paraId="61B141E8" w14:textId="77777777" w:rsidR="00C200B5" w:rsidRDefault="00C200B5" w:rsidP="00C200B5">
      <w:pPr>
        <w:pStyle w:val="BasicParagraph"/>
        <w:numPr>
          <w:ilvl w:val="0"/>
          <w:numId w:val="9"/>
        </w:numPr>
        <w:suppressAutoHyphens/>
        <w:rPr>
          <w:rFonts w:ascii="Verdana" w:hAnsi="Verdana"/>
          <w:lang w:val="en-US"/>
        </w:rPr>
      </w:pPr>
      <w:r w:rsidRPr="00C200B5">
        <w:rPr>
          <w:rFonts w:ascii="Verdana" w:hAnsi="Verdana"/>
          <w:lang w:val="en-US"/>
        </w:rPr>
        <w:t>ICCPR);</w:t>
      </w:r>
      <w:r>
        <w:rPr>
          <w:rStyle w:val="FootnoteReference"/>
          <w:rFonts w:ascii="Verdana" w:hAnsi="Verdana"/>
          <w:lang w:val="en-US"/>
        </w:rPr>
        <w:footnoteReference w:id="3"/>
      </w:r>
      <w:r w:rsidR="000B2433">
        <w:rPr>
          <w:rFonts w:ascii="Verdana" w:hAnsi="Verdana"/>
          <w:lang w:val="en-US"/>
        </w:rPr>
        <w:t xml:space="preserve"> and</w:t>
      </w:r>
    </w:p>
    <w:p w14:paraId="683A4EE6" w14:textId="77777777" w:rsidR="00C2520D" w:rsidRDefault="00C200B5" w:rsidP="00C200B5">
      <w:pPr>
        <w:pStyle w:val="BasicParagraph"/>
        <w:numPr>
          <w:ilvl w:val="0"/>
          <w:numId w:val="9"/>
        </w:numPr>
        <w:suppressAutoHyphens/>
        <w:rPr>
          <w:rFonts w:ascii="Verdana" w:hAnsi="Verdana"/>
          <w:lang w:val="en-US"/>
        </w:rPr>
      </w:pPr>
      <w:r w:rsidRPr="00C200B5">
        <w:rPr>
          <w:rFonts w:ascii="Verdana" w:hAnsi="Verdana"/>
          <w:lang w:val="en-US"/>
        </w:rPr>
        <w:t>UN International Covenant on Economic, Social and Cultural Rights</w:t>
      </w:r>
      <w:r>
        <w:rPr>
          <w:rFonts w:ascii="Verdana" w:hAnsi="Verdana"/>
          <w:lang w:val="en-US"/>
        </w:rPr>
        <w:t xml:space="preserve"> </w:t>
      </w:r>
      <w:r w:rsidRPr="00C200B5">
        <w:rPr>
          <w:rFonts w:ascii="Verdana" w:hAnsi="Verdana"/>
          <w:lang w:val="en-US"/>
        </w:rPr>
        <w:t>(UN ICESCR)</w:t>
      </w:r>
      <w:r w:rsidR="000B2433">
        <w:rPr>
          <w:rFonts w:ascii="Verdana" w:hAnsi="Verdana"/>
          <w:lang w:val="en-US"/>
        </w:rPr>
        <w:t>.</w:t>
      </w:r>
      <w:r>
        <w:rPr>
          <w:rStyle w:val="FootnoteReference"/>
          <w:rFonts w:ascii="Verdana" w:hAnsi="Verdana"/>
          <w:lang w:val="en-US"/>
        </w:rPr>
        <w:footnoteReference w:id="4"/>
      </w:r>
    </w:p>
    <w:p w14:paraId="1FF1C3CB" w14:textId="77777777" w:rsidR="009564E9" w:rsidRDefault="009564E9" w:rsidP="009564E9">
      <w:pPr>
        <w:pStyle w:val="BasicParagraph"/>
        <w:suppressAutoHyphens/>
        <w:rPr>
          <w:rFonts w:ascii="Verdana" w:hAnsi="Verdana"/>
          <w:lang w:val="en-US"/>
        </w:rPr>
      </w:pPr>
    </w:p>
    <w:p w14:paraId="18F10E5A" w14:textId="77777777" w:rsidR="007569C1" w:rsidRDefault="009564E9" w:rsidP="009564E9">
      <w:pPr>
        <w:pStyle w:val="BasicParagraph"/>
        <w:suppressAutoHyphens/>
        <w:ind w:left="720" w:hanging="720"/>
        <w:rPr>
          <w:rFonts w:ascii="Verdana" w:hAnsi="Verdana" w:cs="Arial"/>
          <w:color w:val="232120"/>
        </w:rPr>
      </w:pPr>
      <w:r>
        <w:rPr>
          <w:rFonts w:ascii="Verdana" w:hAnsi="Verdana" w:cs="Arial"/>
          <w:color w:val="232120"/>
        </w:rPr>
        <w:t>1</w:t>
      </w:r>
      <w:r w:rsidRPr="00331C61">
        <w:rPr>
          <w:rFonts w:ascii="Verdana" w:hAnsi="Verdana" w:cs="Arial"/>
          <w:color w:val="232120"/>
        </w:rPr>
        <w:t>.</w:t>
      </w:r>
      <w:r>
        <w:rPr>
          <w:rFonts w:ascii="Verdana" w:hAnsi="Verdana" w:cs="Arial"/>
          <w:color w:val="232120"/>
        </w:rPr>
        <w:t>3</w:t>
      </w:r>
      <w:r w:rsidRPr="00331C61">
        <w:rPr>
          <w:rFonts w:ascii="Verdana" w:hAnsi="Verdana" w:cs="Arial"/>
          <w:color w:val="232120"/>
        </w:rPr>
        <w:t xml:space="preserve"> </w:t>
      </w:r>
      <w:r>
        <w:rPr>
          <w:rFonts w:ascii="Verdana" w:hAnsi="Verdana" w:cs="Arial"/>
          <w:color w:val="232120"/>
        </w:rPr>
        <w:tab/>
      </w:r>
      <w:r w:rsidRPr="001479C7">
        <w:rPr>
          <w:rFonts w:ascii="Verdana" w:hAnsi="Verdana" w:cs="Arial"/>
          <w:color w:val="232120"/>
        </w:rPr>
        <w:t xml:space="preserve">In addition to these treaty standards, there exists a body of ‘soft law’ developed by the human rights bodies of the CoE and UN. These declarations and principles are non-binding, but provide further guidance in respect of specific areas. </w:t>
      </w:r>
      <w:r w:rsidRPr="00C3612C">
        <w:rPr>
          <w:rFonts w:ascii="Verdana" w:hAnsi="Verdana" w:cs="Arial"/>
          <w:color w:val="232120"/>
        </w:rPr>
        <w:t>The relevant standards in this context include:</w:t>
      </w:r>
    </w:p>
    <w:p w14:paraId="72C050BC" w14:textId="77777777" w:rsidR="009564E9" w:rsidRPr="000B2433" w:rsidRDefault="009564E9" w:rsidP="009564E9">
      <w:pPr>
        <w:pStyle w:val="BasicParagraph"/>
        <w:suppressAutoHyphens/>
        <w:ind w:left="720" w:hanging="720"/>
        <w:rPr>
          <w:rFonts w:ascii="Verdana" w:hAnsi="Verdana" w:cs="Arial"/>
          <w:color w:val="232120"/>
        </w:rPr>
      </w:pPr>
    </w:p>
    <w:p w14:paraId="56E6256C" w14:textId="007B5F14" w:rsidR="000B2433" w:rsidRPr="000B2433" w:rsidRDefault="000B2433" w:rsidP="000B2433">
      <w:pPr>
        <w:pStyle w:val="BasicParagraph"/>
        <w:numPr>
          <w:ilvl w:val="0"/>
          <w:numId w:val="9"/>
        </w:numPr>
        <w:suppressAutoHyphens/>
        <w:rPr>
          <w:rFonts w:ascii="Verdana" w:hAnsi="Verdana" w:cs="Arial"/>
          <w:color w:val="232120"/>
        </w:rPr>
      </w:pPr>
      <w:r w:rsidRPr="000B2433">
        <w:rPr>
          <w:rFonts w:ascii="Verdana" w:hAnsi="Verdana"/>
          <w:lang w:val="en-US"/>
        </w:rPr>
        <w:t>UN Standard Minimum Rules for the Treatment</w:t>
      </w:r>
      <w:r w:rsidRPr="000B2433">
        <w:rPr>
          <w:rFonts w:ascii="Verdana" w:hAnsi="Verdana"/>
          <w:lang w:val="en-HK"/>
        </w:rPr>
        <w:t xml:space="preserve"> of Prisoners;</w:t>
      </w:r>
      <w:r w:rsidR="00281BFD">
        <w:rPr>
          <w:rStyle w:val="FootnoteReference"/>
          <w:rFonts w:ascii="Verdana" w:hAnsi="Verdana"/>
          <w:lang w:val="en-HK"/>
        </w:rPr>
        <w:footnoteReference w:id="5"/>
      </w:r>
    </w:p>
    <w:p w14:paraId="56367414" w14:textId="4067C188" w:rsidR="000B2433" w:rsidRPr="00C77448" w:rsidRDefault="000B2433" w:rsidP="000B2433">
      <w:pPr>
        <w:pStyle w:val="ListParagraph"/>
        <w:numPr>
          <w:ilvl w:val="0"/>
          <w:numId w:val="9"/>
        </w:numPr>
        <w:rPr>
          <w:rFonts w:ascii="Verdana" w:eastAsia="Times New Roman" w:hAnsi="Verdana" w:cs="Times New Roman"/>
          <w:lang w:val="en-HK" w:eastAsia="zh-TW"/>
        </w:rPr>
      </w:pPr>
      <w:r w:rsidRPr="000B2433">
        <w:rPr>
          <w:rFonts w:ascii="Verdana" w:eastAsia="Times New Roman" w:hAnsi="Verdana" w:cs="Arial"/>
          <w:color w:val="000000"/>
          <w:shd w:val="clear" w:color="auto" w:fill="FFFFFF"/>
          <w:lang w:val="en-HK" w:eastAsia="zh-TW"/>
        </w:rPr>
        <w:t>UN Human Rights Committee General Comment No 21 on Article 10 (Humane Treatment of Persons Deprived of Their Liberty</w:t>
      </w:r>
      <w:r w:rsidR="00127D97" w:rsidRPr="000B2433">
        <w:rPr>
          <w:rFonts w:ascii="Verdana" w:eastAsia="Times New Roman" w:hAnsi="Verdana" w:cs="Arial"/>
          <w:color w:val="000000"/>
          <w:shd w:val="clear" w:color="auto" w:fill="FFFFFF"/>
          <w:lang w:val="en-HK" w:eastAsia="zh-TW"/>
        </w:rPr>
        <w:t>)</w:t>
      </w:r>
      <w:r w:rsidR="00C77448">
        <w:rPr>
          <w:rFonts w:ascii="Verdana" w:eastAsia="Times New Roman" w:hAnsi="Verdana" w:cs="Arial"/>
          <w:color w:val="000000"/>
          <w:shd w:val="clear" w:color="auto" w:fill="FFFFFF"/>
          <w:lang w:val="en-HK" w:eastAsia="zh-TW"/>
        </w:rPr>
        <w:t>;</w:t>
      </w:r>
      <w:r w:rsidR="00EA3D32">
        <w:rPr>
          <w:rStyle w:val="FootnoteReference"/>
          <w:rFonts w:ascii="Verdana" w:eastAsia="Times New Roman" w:hAnsi="Verdana" w:cs="Arial"/>
          <w:color w:val="000000"/>
          <w:shd w:val="clear" w:color="auto" w:fill="FFFFFF"/>
          <w:lang w:val="en-HK" w:eastAsia="zh-TW"/>
        </w:rPr>
        <w:footnoteReference w:id="6"/>
      </w:r>
      <w:r w:rsidR="004F7119">
        <w:rPr>
          <w:rFonts w:ascii="Verdana" w:eastAsia="Times New Roman" w:hAnsi="Verdana" w:cs="Arial"/>
          <w:color w:val="000000"/>
          <w:shd w:val="clear" w:color="auto" w:fill="FFFFFF"/>
          <w:lang w:val="en-HK" w:eastAsia="zh-TW"/>
        </w:rPr>
        <w:t xml:space="preserve"> </w:t>
      </w:r>
      <w:r w:rsidR="00D3580A">
        <w:rPr>
          <w:rFonts w:ascii="Verdana" w:eastAsia="Times New Roman" w:hAnsi="Verdana" w:cs="Arial"/>
          <w:color w:val="000000"/>
          <w:shd w:val="clear" w:color="auto" w:fill="FFFFFF"/>
          <w:lang w:val="en-HK" w:eastAsia="zh-TW"/>
        </w:rPr>
        <w:t>and</w:t>
      </w:r>
    </w:p>
    <w:p w14:paraId="79647B85" w14:textId="32CB963E" w:rsidR="00C77448" w:rsidRPr="00C86A33" w:rsidRDefault="00C77448" w:rsidP="000B2433">
      <w:pPr>
        <w:pStyle w:val="ListParagraph"/>
        <w:numPr>
          <w:ilvl w:val="0"/>
          <w:numId w:val="9"/>
        </w:numPr>
        <w:rPr>
          <w:rFonts w:ascii="Verdana" w:eastAsia="Times New Roman" w:hAnsi="Verdana" w:cs="Times New Roman"/>
          <w:lang w:val="en-HK" w:eastAsia="zh-TW"/>
        </w:rPr>
      </w:pPr>
      <w:r>
        <w:rPr>
          <w:rFonts w:ascii="Verdana" w:eastAsia="Times New Roman" w:hAnsi="Verdana" w:cs="Times New Roman"/>
          <w:lang w:val="en-HK" w:eastAsia="zh-TW"/>
        </w:rPr>
        <w:t xml:space="preserve">CoE </w:t>
      </w:r>
      <w:r w:rsidRPr="00C77448">
        <w:rPr>
          <w:rFonts w:ascii="Verdana" w:eastAsia="Times New Roman" w:hAnsi="Verdana" w:cs="Times New Roman"/>
          <w:lang w:val="en-HK" w:eastAsia="zh-TW"/>
        </w:rPr>
        <w:t>Recommendation No R (84) 10 of the Committee of Ministers</w:t>
      </w:r>
      <w:r w:rsidR="004F7119">
        <w:rPr>
          <w:rFonts w:ascii="Verdana" w:eastAsia="Times New Roman" w:hAnsi="Verdana" w:cs="Times New Roman"/>
          <w:lang w:val="en-HK" w:eastAsia="zh-TW"/>
        </w:rPr>
        <w:t xml:space="preserve"> </w:t>
      </w:r>
      <w:r w:rsidRPr="00C77448">
        <w:rPr>
          <w:rFonts w:ascii="Verdana" w:eastAsia="Times New Roman" w:hAnsi="Verdana" w:cs="Times New Roman"/>
          <w:lang w:val="en-HK" w:eastAsia="zh-TW"/>
        </w:rPr>
        <w:t>to Member States on the Criminal Record and Rehabilitation of Convicted Persons’</w:t>
      </w:r>
      <w:r w:rsidR="00B27620">
        <w:rPr>
          <w:rFonts w:ascii="Verdana" w:eastAsia="Times New Roman" w:hAnsi="Verdana" w:cs="Times New Roman"/>
          <w:lang w:val="en-HK" w:eastAsia="zh-TW"/>
        </w:rPr>
        <w:t>.</w:t>
      </w:r>
      <w:r w:rsidR="00A63D5F">
        <w:rPr>
          <w:rStyle w:val="FootnoteReference"/>
          <w:rFonts w:ascii="Verdana" w:eastAsia="Times New Roman" w:hAnsi="Verdana" w:cs="Times New Roman"/>
          <w:lang w:val="en-HK" w:eastAsia="zh-TW"/>
        </w:rPr>
        <w:footnoteReference w:id="7"/>
      </w:r>
    </w:p>
    <w:p w14:paraId="021006ED" w14:textId="77777777" w:rsidR="000B2433" w:rsidRPr="00C77448" w:rsidRDefault="000B2433" w:rsidP="009564E9">
      <w:pPr>
        <w:pStyle w:val="BasicParagraph"/>
        <w:suppressAutoHyphens/>
        <w:ind w:left="720" w:hanging="720"/>
        <w:rPr>
          <w:rFonts w:ascii="Verdana" w:hAnsi="Verdana" w:cs="Arial"/>
          <w:color w:val="232120"/>
          <w:lang w:val="en-HK"/>
        </w:rPr>
      </w:pPr>
    </w:p>
    <w:p w14:paraId="3BE6558A" w14:textId="77777777" w:rsidR="009564E9" w:rsidRDefault="009564E9" w:rsidP="009564E9">
      <w:pPr>
        <w:pStyle w:val="BasicParagraph"/>
        <w:suppressAutoHyphens/>
        <w:ind w:left="720" w:hanging="720"/>
        <w:rPr>
          <w:rFonts w:ascii="Verdana" w:hAnsi="Verdana" w:cs="Arial"/>
          <w:color w:val="232120"/>
        </w:rPr>
      </w:pPr>
      <w:r>
        <w:rPr>
          <w:rFonts w:ascii="Verdana" w:hAnsi="Verdana" w:cs="Arial"/>
          <w:color w:val="232120"/>
        </w:rPr>
        <w:t>1.4</w:t>
      </w:r>
      <w:r>
        <w:rPr>
          <w:rFonts w:ascii="Verdana" w:hAnsi="Verdana" w:cs="Arial"/>
          <w:color w:val="232120"/>
        </w:rPr>
        <w:tab/>
      </w:r>
      <w:r w:rsidRPr="001479C7">
        <w:rPr>
          <w:rFonts w:ascii="Verdana" w:hAnsi="Verdana" w:cs="Arial"/>
          <w:color w:val="232120"/>
        </w:rPr>
        <w:t xml:space="preserve">The </w:t>
      </w:r>
      <w:r w:rsidR="00744159">
        <w:rPr>
          <w:rFonts w:ascii="Verdana" w:hAnsi="Verdana" w:cs="Arial"/>
          <w:color w:val="232120"/>
        </w:rPr>
        <w:t>Commission</w:t>
      </w:r>
      <w:r w:rsidRPr="001479C7">
        <w:rPr>
          <w:rFonts w:ascii="Verdana" w:hAnsi="Verdana" w:cs="Arial"/>
          <w:color w:val="232120"/>
        </w:rPr>
        <w:t xml:space="preserve"> welcomes the </w:t>
      </w:r>
      <w:r w:rsidR="00B06012">
        <w:rPr>
          <w:rFonts w:ascii="Verdana" w:hAnsi="Verdana" w:cs="Arial"/>
          <w:color w:val="232120"/>
        </w:rPr>
        <w:t>Department of Justice’s proposal to reform rehabilitation periods in Northern Ireland</w:t>
      </w:r>
      <w:r w:rsidR="00AB41EC">
        <w:rPr>
          <w:rFonts w:ascii="Verdana" w:hAnsi="Verdana" w:cs="Arial"/>
          <w:color w:val="232120"/>
        </w:rPr>
        <w:t xml:space="preserve">. </w:t>
      </w:r>
      <w:r w:rsidR="000B2433">
        <w:rPr>
          <w:rFonts w:ascii="Verdana" w:hAnsi="Verdana" w:cs="Arial"/>
          <w:color w:val="232120"/>
        </w:rPr>
        <w:t xml:space="preserve">The following submission responds to issues raised by the consultation document. </w:t>
      </w:r>
    </w:p>
    <w:p w14:paraId="6F8866B1" w14:textId="77777777" w:rsidR="00C3612C" w:rsidRPr="009564E9" w:rsidRDefault="00C3612C" w:rsidP="00AB41EC">
      <w:pPr>
        <w:pStyle w:val="BasicParagraph"/>
        <w:suppressAutoHyphens/>
        <w:rPr>
          <w:rFonts w:ascii="Verdana" w:hAnsi="Verdana" w:cs="Arial"/>
          <w:b/>
          <w:color w:val="734791"/>
          <w:lang w:val="en-US"/>
        </w:rPr>
      </w:pPr>
    </w:p>
    <w:p w14:paraId="5ED87C60" w14:textId="2A9091D0" w:rsidR="00C2520D" w:rsidRDefault="00B92EA6" w:rsidP="00C2520D">
      <w:pPr>
        <w:pStyle w:val="BasicParagraph"/>
        <w:suppressAutoHyphens/>
        <w:rPr>
          <w:rFonts w:ascii="Verdana" w:hAnsi="Verdana" w:cs="Arial"/>
          <w:b/>
          <w:color w:val="77328A"/>
          <w:sz w:val="30"/>
          <w:szCs w:val="30"/>
        </w:rPr>
      </w:pPr>
      <w:r>
        <w:rPr>
          <w:rFonts w:ascii="Verdana" w:hAnsi="Verdana" w:cs="Arial"/>
          <w:b/>
          <w:color w:val="77328A"/>
          <w:sz w:val="30"/>
          <w:szCs w:val="30"/>
        </w:rPr>
        <w:t>2</w:t>
      </w:r>
      <w:r w:rsidR="00C2520D" w:rsidRPr="003B7D0E">
        <w:rPr>
          <w:rFonts w:ascii="Verdana" w:hAnsi="Verdana" w:cs="Arial"/>
          <w:b/>
          <w:color w:val="77328A"/>
          <w:sz w:val="30"/>
          <w:szCs w:val="30"/>
        </w:rPr>
        <w:t>.0</w:t>
      </w:r>
      <w:r w:rsidR="00C2520D" w:rsidRPr="003B7D0E">
        <w:rPr>
          <w:rFonts w:ascii="Verdana" w:hAnsi="Verdana" w:cs="Arial"/>
          <w:b/>
          <w:color w:val="77328A"/>
          <w:sz w:val="30"/>
          <w:szCs w:val="30"/>
        </w:rPr>
        <w:tab/>
      </w:r>
      <w:r w:rsidR="008D6A56">
        <w:rPr>
          <w:rFonts w:ascii="Verdana" w:hAnsi="Verdana" w:cs="Arial"/>
          <w:b/>
          <w:color w:val="77328A"/>
          <w:sz w:val="30"/>
          <w:szCs w:val="30"/>
        </w:rPr>
        <w:t xml:space="preserve">Human Rights Standards </w:t>
      </w:r>
    </w:p>
    <w:p w14:paraId="32285441" w14:textId="77777777" w:rsidR="00B92EA6" w:rsidRDefault="00B92EA6" w:rsidP="00331C61">
      <w:pPr>
        <w:pStyle w:val="BasicParagraph"/>
        <w:suppressAutoHyphens/>
        <w:rPr>
          <w:rFonts w:ascii="Verdana" w:hAnsi="Verdana" w:cs="Arial"/>
          <w:b/>
          <w:color w:val="232120"/>
        </w:rPr>
      </w:pPr>
    </w:p>
    <w:p w14:paraId="5035123C" w14:textId="0049AC93" w:rsidR="007569C1" w:rsidRDefault="002C4A9A" w:rsidP="00331C61">
      <w:pPr>
        <w:pStyle w:val="BasicParagraph"/>
        <w:suppressAutoHyphens/>
        <w:rPr>
          <w:rFonts w:ascii="Verdana" w:hAnsi="Verdana" w:cs="Arial"/>
          <w:b/>
          <w:color w:val="232120"/>
        </w:rPr>
      </w:pPr>
      <w:r>
        <w:rPr>
          <w:rFonts w:ascii="Verdana" w:hAnsi="Verdana" w:cs="Arial"/>
          <w:b/>
          <w:color w:val="232120"/>
        </w:rPr>
        <w:t xml:space="preserve">Rehabilitation </w:t>
      </w:r>
    </w:p>
    <w:p w14:paraId="1F0972B9" w14:textId="77777777" w:rsidR="00C2520D" w:rsidRDefault="00C2520D" w:rsidP="00331C61">
      <w:pPr>
        <w:pStyle w:val="BasicParagraph"/>
        <w:suppressAutoHyphens/>
        <w:rPr>
          <w:rFonts w:ascii="Verdana" w:hAnsi="Verdana" w:cs="Arial"/>
          <w:b/>
          <w:color w:val="232120"/>
        </w:rPr>
      </w:pPr>
    </w:p>
    <w:p w14:paraId="4882DE66" w14:textId="77777777" w:rsidR="004B22BE" w:rsidRDefault="00B92EA6" w:rsidP="004B22BE">
      <w:pPr>
        <w:pStyle w:val="BasicParagraph"/>
        <w:suppressAutoHyphens/>
        <w:ind w:left="720" w:hanging="720"/>
        <w:rPr>
          <w:rFonts w:ascii="Verdana" w:hAnsi="Verdana"/>
          <w:lang w:val="en-HK"/>
        </w:rPr>
      </w:pPr>
      <w:r>
        <w:rPr>
          <w:rFonts w:ascii="Verdana" w:hAnsi="Verdana"/>
          <w:lang w:val="en-HK"/>
        </w:rPr>
        <w:t>2.1.1</w:t>
      </w:r>
      <w:r>
        <w:rPr>
          <w:rFonts w:ascii="Verdana" w:hAnsi="Verdana"/>
          <w:lang w:val="en-HK"/>
        </w:rPr>
        <w:tab/>
        <w:t xml:space="preserve">The </w:t>
      </w:r>
      <w:r w:rsidR="0026219A">
        <w:rPr>
          <w:rFonts w:ascii="Verdana" w:hAnsi="Verdana"/>
          <w:lang w:val="en-HK"/>
        </w:rPr>
        <w:t xml:space="preserve">Commission recognises that the </w:t>
      </w:r>
      <w:r>
        <w:rPr>
          <w:rFonts w:ascii="Verdana" w:hAnsi="Verdana"/>
          <w:lang w:val="en-HK"/>
        </w:rPr>
        <w:t>underlying purpose of this legislation is to promote the rehabilitation and reintegration of former offenders.</w:t>
      </w:r>
      <w:r>
        <w:rPr>
          <w:rStyle w:val="FootnoteReference"/>
          <w:rFonts w:ascii="Verdana" w:hAnsi="Verdana"/>
          <w:lang w:val="en-HK"/>
        </w:rPr>
        <w:footnoteReference w:id="8"/>
      </w:r>
      <w:r>
        <w:rPr>
          <w:rFonts w:ascii="Verdana" w:hAnsi="Verdana"/>
          <w:lang w:val="en-HK"/>
        </w:rPr>
        <w:t xml:space="preserve"> This principle is recognised in international human rights law, most notably in Article 10(3) of the </w:t>
      </w:r>
      <w:r w:rsidRPr="00E515F2">
        <w:rPr>
          <w:rFonts w:ascii="Verdana" w:hAnsi="Verdana"/>
          <w:lang w:val="en-HK"/>
        </w:rPr>
        <w:t>International Covenant on Civil and Political Rights</w:t>
      </w:r>
      <w:r>
        <w:rPr>
          <w:rFonts w:ascii="Verdana" w:hAnsi="Verdana"/>
          <w:lang w:val="en-HK"/>
        </w:rPr>
        <w:t xml:space="preserve"> (ICCPR), which </w:t>
      </w:r>
      <w:r w:rsidRPr="00DC3DBD">
        <w:rPr>
          <w:rFonts w:ascii="Verdana" w:hAnsi="Verdana"/>
          <w:lang w:val="en-HK"/>
        </w:rPr>
        <w:t>places an obligation on States to seek the reformation and social rehabilitation of prisoners</w:t>
      </w:r>
      <w:r>
        <w:rPr>
          <w:rFonts w:ascii="Verdana" w:hAnsi="Verdana"/>
          <w:lang w:val="en-HK"/>
        </w:rPr>
        <w:t xml:space="preserve">. The General Comment of the Human Rights Committee on Article 10 further states that </w:t>
      </w:r>
      <w:r w:rsidRPr="00DC3DBD">
        <w:rPr>
          <w:rFonts w:ascii="Verdana" w:hAnsi="Verdana"/>
          <w:lang w:val="en-HK"/>
        </w:rPr>
        <w:t>“no penitentiary system should be only retributory; it should essentially seek the reformation and social rehabilitation of the prisoner”</w:t>
      </w:r>
      <w:r>
        <w:rPr>
          <w:rFonts w:ascii="Verdana" w:hAnsi="Verdana"/>
          <w:lang w:val="en-HK"/>
        </w:rPr>
        <w:t>.</w:t>
      </w:r>
      <w:r>
        <w:rPr>
          <w:rStyle w:val="FootnoteReference"/>
          <w:rFonts w:ascii="Verdana" w:hAnsi="Verdana"/>
          <w:lang w:val="en-HK"/>
        </w:rPr>
        <w:footnoteReference w:id="9"/>
      </w:r>
      <w:r>
        <w:rPr>
          <w:rFonts w:ascii="Verdana" w:hAnsi="Verdana"/>
          <w:lang w:val="en-HK"/>
        </w:rPr>
        <w:t xml:space="preserve"> Moreover, under Article 58 of the United Nations Standard Minimum Rules for the Treatment of Prisoners, “[t]</w:t>
      </w:r>
      <w:r w:rsidRPr="004358C8">
        <w:rPr>
          <w:rFonts w:ascii="Verdana" w:hAnsi="Verdana"/>
          <w:lang w:val="en-HK"/>
        </w:rPr>
        <w:t>he purpose and justification of a sentence of imprisonment or a similar measure deprivative of liberty is ultimately to protect society against crime. This end can only be achieved if the period of imprisonment is used to ensure, so far as possible, that upon his return to society the offender is not only willing but able to lead a law-abiding and self-supporting life</w:t>
      </w:r>
      <w:r>
        <w:rPr>
          <w:rFonts w:ascii="Verdana" w:hAnsi="Verdana"/>
          <w:lang w:val="en-HK"/>
        </w:rPr>
        <w:t>”.</w:t>
      </w:r>
      <w:r w:rsidR="00FA6730">
        <w:rPr>
          <w:rFonts w:ascii="Verdana" w:hAnsi="Verdana"/>
          <w:lang w:val="en-HK"/>
        </w:rPr>
        <w:t xml:space="preserve"> </w:t>
      </w:r>
    </w:p>
    <w:p w14:paraId="5F9ADBED" w14:textId="77777777" w:rsidR="004B22BE" w:rsidRDefault="004B22BE" w:rsidP="004B22BE">
      <w:pPr>
        <w:pStyle w:val="BasicParagraph"/>
        <w:suppressAutoHyphens/>
        <w:ind w:left="720" w:hanging="720"/>
        <w:rPr>
          <w:rFonts w:ascii="Verdana" w:hAnsi="Verdana"/>
          <w:lang w:val="en-HK"/>
        </w:rPr>
      </w:pPr>
    </w:p>
    <w:p w14:paraId="52F3EA03" w14:textId="2505EE7F" w:rsidR="004B22BE" w:rsidRDefault="004B22BE" w:rsidP="00D56FFD">
      <w:pPr>
        <w:pStyle w:val="BasicParagraph"/>
        <w:suppressAutoHyphens/>
        <w:ind w:left="720" w:hanging="720"/>
        <w:rPr>
          <w:rFonts w:ascii="Verdana" w:hAnsi="Verdana"/>
          <w:lang w:val="en-HK"/>
        </w:rPr>
      </w:pPr>
      <w:r>
        <w:rPr>
          <w:rFonts w:ascii="Verdana" w:hAnsi="Verdana"/>
          <w:lang w:val="en-HK"/>
        </w:rPr>
        <w:t>2.1.2</w:t>
      </w:r>
      <w:r>
        <w:rPr>
          <w:rFonts w:ascii="Verdana" w:hAnsi="Verdana"/>
          <w:lang w:val="en-HK"/>
        </w:rPr>
        <w:tab/>
      </w:r>
      <w:r w:rsidR="002207E6">
        <w:rPr>
          <w:rFonts w:ascii="Verdana" w:hAnsi="Verdana"/>
          <w:lang w:val="en-HK"/>
        </w:rPr>
        <w:t xml:space="preserve">The European Court of Human Rights (ECtHR) </w:t>
      </w:r>
      <w:r w:rsidR="00D56FFD">
        <w:rPr>
          <w:rFonts w:ascii="Verdana" w:hAnsi="Verdana"/>
          <w:lang w:val="en-HK"/>
        </w:rPr>
        <w:t xml:space="preserve">affirmed in </w:t>
      </w:r>
      <w:r w:rsidR="00D56FFD" w:rsidRPr="00D56FFD">
        <w:rPr>
          <w:rFonts w:ascii="Verdana" w:hAnsi="Verdana"/>
          <w:i/>
          <w:iCs/>
          <w:lang w:val="en-HK"/>
        </w:rPr>
        <w:t>Murray v the Netherlands</w:t>
      </w:r>
      <w:r w:rsidR="00D56FFD">
        <w:rPr>
          <w:rFonts w:ascii="Verdana" w:hAnsi="Verdana"/>
          <w:lang w:val="en-HK"/>
        </w:rPr>
        <w:t xml:space="preserve"> “</w:t>
      </w:r>
      <w:r w:rsidR="002E691B" w:rsidRPr="002E691B">
        <w:rPr>
          <w:rFonts w:ascii="Verdana" w:hAnsi="Verdana"/>
          <w:lang w:val="en-HK"/>
        </w:rPr>
        <w:t>that the principle of rehabilitation, that is, the reintegration into society of a convicted person, is reflected in international norms and has not only been recognised but has over time also gained increasing importance in the Court’s case-law under various provisions of the Convention</w:t>
      </w:r>
      <w:r w:rsidR="00D56FFD">
        <w:rPr>
          <w:rFonts w:ascii="Verdana" w:hAnsi="Verdana"/>
          <w:lang w:val="en-HK"/>
        </w:rPr>
        <w:t>.”</w:t>
      </w:r>
      <w:r w:rsidR="00DA273E">
        <w:rPr>
          <w:rStyle w:val="FootnoteReference"/>
          <w:rFonts w:ascii="Verdana" w:hAnsi="Verdana"/>
          <w:lang w:val="en-HK"/>
        </w:rPr>
        <w:footnoteReference w:id="10"/>
      </w:r>
      <w:r w:rsidR="00D56FFD">
        <w:rPr>
          <w:rFonts w:ascii="Verdana" w:hAnsi="Verdana"/>
          <w:lang w:val="en-HK"/>
        </w:rPr>
        <w:t xml:space="preserve"> In </w:t>
      </w:r>
      <w:r w:rsidR="002207E6">
        <w:rPr>
          <w:rFonts w:ascii="Verdana" w:hAnsi="Verdana"/>
          <w:i/>
          <w:iCs/>
          <w:lang w:val="en-HK"/>
        </w:rPr>
        <w:t xml:space="preserve">Dickson v United </w:t>
      </w:r>
      <w:r w:rsidR="002207E6" w:rsidRPr="002207E6">
        <w:rPr>
          <w:rFonts w:ascii="Verdana" w:hAnsi="Verdana"/>
          <w:i/>
          <w:iCs/>
          <w:lang w:val="en-HK"/>
        </w:rPr>
        <w:t>Kingdom</w:t>
      </w:r>
      <w:r w:rsidR="00D56FFD">
        <w:rPr>
          <w:rFonts w:ascii="Verdana" w:hAnsi="Verdana"/>
          <w:i/>
          <w:iCs/>
          <w:lang w:val="en-HK"/>
        </w:rPr>
        <w:t xml:space="preserve">, </w:t>
      </w:r>
      <w:r w:rsidR="00D56FFD">
        <w:rPr>
          <w:rFonts w:ascii="Verdana" w:hAnsi="Verdana"/>
          <w:lang w:val="en-HK"/>
        </w:rPr>
        <w:t>the ECtHR observed</w:t>
      </w:r>
      <w:r w:rsidR="002207E6">
        <w:rPr>
          <w:rFonts w:ascii="Verdana" w:hAnsi="Verdana"/>
          <w:lang w:val="en-HK"/>
        </w:rPr>
        <w:t xml:space="preserve"> that </w:t>
      </w:r>
      <w:r w:rsidR="002207E6" w:rsidRPr="002207E6">
        <w:rPr>
          <w:rFonts w:ascii="Verdana" w:hAnsi="Verdana"/>
          <w:lang w:val="en-HK"/>
        </w:rPr>
        <w:t>the</w:t>
      </w:r>
      <w:r w:rsidR="002207E6">
        <w:rPr>
          <w:rFonts w:ascii="Verdana" w:hAnsi="Verdana"/>
          <w:lang w:val="en-HK"/>
        </w:rPr>
        <w:t>re has been a</w:t>
      </w:r>
      <w:r w:rsidR="002207E6" w:rsidRPr="002207E6">
        <w:rPr>
          <w:rFonts w:ascii="Verdana" w:hAnsi="Verdana"/>
          <w:lang w:val="en-HK"/>
        </w:rPr>
        <w:t xml:space="preserve"> general evolution in European penal policy towards the </w:t>
      </w:r>
      <w:r w:rsidR="002207E6" w:rsidRPr="003822A4">
        <w:rPr>
          <w:rFonts w:ascii="Verdana" w:hAnsi="Verdana"/>
          <w:color w:val="auto"/>
          <w:lang w:val="en-HK"/>
        </w:rPr>
        <w:t>increasing relative importance of the rehabilitative aim of imprisonment.</w:t>
      </w:r>
      <w:r w:rsidR="00DA273E" w:rsidRPr="003822A4">
        <w:rPr>
          <w:rStyle w:val="FootnoteReference"/>
          <w:rFonts w:ascii="Verdana" w:hAnsi="Verdana"/>
          <w:color w:val="auto"/>
          <w:lang w:val="en-HK"/>
        </w:rPr>
        <w:footnoteReference w:id="11"/>
      </w:r>
      <w:r w:rsidR="002207E6" w:rsidRPr="003822A4">
        <w:rPr>
          <w:rFonts w:ascii="Verdana" w:hAnsi="Verdana"/>
          <w:color w:val="auto"/>
          <w:lang w:val="en-HK"/>
        </w:rPr>
        <w:t xml:space="preserve"> Later, i</w:t>
      </w:r>
      <w:r w:rsidR="00C86A33" w:rsidRPr="003822A4">
        <w:rPr>
          <w:rFonts w:ascii="Verdana" w:hAnsi="Verdana"/>
          <w:color w:val="auto"/>
          <w:lang w:val="en-HK"/>
        </w:rPr>
        <w:t xml:space="preserve">n </w:t>
      </w:r>
      <w:r w:rsidR="00C86A33" w:rsidRPr="003822A4">
        <w:rPr>
          <w:rFonts w:ascii="Verdana" w:hAnsi="Verdana"/>
          <w:i/>
          <w:iCs/>
          <w:color w:val="auto"/>
          <w:lang w:val="en-HK"/>
        </w:rPr>
        <w:t>Vinter v United Kingdom</w:t>
      </w:r>
      <w:r w:rsidR="00C86A33" w:rsidRPr="003822A4">
        <w:rPr>
          <w:rFonts w:ascii="Verdana" w:hAnsi="Verdana"/>
          <w:color w:val="auto"/>
          <w:lang w:val="en-HK"/>
        </w:rPr>
        <w:t>, t</w:t>
      </w:r>
      <w:r w:rsidRPr="003822A4">
        <w:rPr>
          <w:rFonts w:ascii="Verdana" w:hAnsi="Verdana"/>
          <w:color w:val="auto"/>
          <w:lang w:val="en-HK"/>
        </w:rPr>
        <w:t xml:space="preserve">he ECtHR </w:t>
      </w:r>
      <w:r w:rsidR="00C86A33" w:rsidRPr="003822A4">
        <w:rPr>
          <w:rFonts w:ascii="Verdana" w:hAnsi="Verdana"/>
          <w:color w:val="auto"/>
          <w:lang w:val="en-HK"/>
        </w:rPr>
        <w:t xml:space="preserve">stated that “there is also now clear support in European and international law for the principle that all </w:t>
      </w:r>
      <w:r w:rsidR="00C86A33" w:rsidRPr="003822A4">
        <w:rPr>
          <w:rFonts w:ascii="Verdana" w:hAnsi="Verdana"/>
          <w:color w:val="auto"/>
          <w:lang w:val="en-HK"/>
        </w:rPr>
        <w:lastRenderedPageBreak/>
        <w:t>prisoners, including those serving life sentences, be offered the possibility of rehabilitation and the prospect of release if that rehabilitation is achieved.”</w:t>
      </w:r>
      <w:r w:rsidR="00DA273E" w:rsidRPr="003822A4">
        <w:rPr>
          <w:rStyle w:val="FootnoteReference"/>
          <w:rFonts w:ascii="Verdana" w:hAnsi="Verdana"/>
          <w:color w:val="auto"/>
          <w:lang w:val="en-HK"/>
        </w:rPr>
        <w:footnoteReference w:id="12"/>
      </w:r>
      <w:r w:rsidR="00C86A33" w:rsidRPr="003822A4">
        <w:rPr>
          <w:rFonts w:ascii="Verdana" w:hAnsi="Verdana"/>
          <w:color w:val="auto"/>
          <w:lang w:val="en-HK"/>
        </w:rPr>
        <w:t xml:space="preserve"> </w:t>
      </w:r>
      <w:r w:rsidR="00C74067" w:rsidRPr="003822A4">
        <w:rPr>
          <w:rFonts w:ascii="Verdana" w:hAnsi="Verdana"/>
          <w:color w:val="auto"/>
          <w:lang w:val="en-HK"/>
        </w:rPr>
        <w:t>Mo</w:t>
      </w:r>
      <w:r w:rsidR="002E691B" w:rsidRPr="003822A4">
        <w:rPr>
          <w:rFonts w:ascii="Verdana" w:hAnsi="Verdana"/>
          <w:color w:val="auto"/>
          <w:lang w:val="en-HK"/>
        </w:rPr>
        <w:t>re</w:t>
      </w:r>
      <w:r w:rsidR="00C74067" w:rsidRPr="003822A4">
        <w:rPr>
          <w:rFonts w:ascii="Verdana" w:hAnsi="Verdana"/>
          <w:color w:val="auto"/>
          <w:lang w:val="en-HK"/>
        </w:rPr>
        <w:t xml:space="preserve"> recently,</w:t>
      </w:r>
      <w:r w:rsidR="00C87C2D" w:rsidRPr="003822A4">
        <w:rPr>
          <w:rFonts w:ascii="Verdana" w:hAnsi="Verdana"/>
          <w:color w:val="auto"/>
          <w:lang w:val="en-HK"/>
        </w:rPr>
        <w:t xml:space="preserve"> </w:t>
      </w:r>
      <w:r w:rsidR="007B08ED" w:rsidRPr="003822A4">
        <w:rPr>
          <w:rFonts w:ascii="Verdana" w:hAnsi="Verdana"/>
          <w:color w:val="auto"/>
          <w:lang w:val="en-HK"/>
        </w:rPr>
        <w:t xml:space="preserve">in </w:t>
      </w:r>
      <w:r w:rsidR="007B08ED" w:rsidRPr="003822A4">
        <w:rPr>
          <w:rFonts w:ascii="Verdana" w:hAnsi="Verdana"/>
          <w:i/>
          <w:iCs/>
          <w:color w:val="auto"/>
          <w:lang w:val="en-HK"/>
        </w:rPr>
        <w:t>Khoroshenko v Russia</w:t>
      </w:r>
      <w:r w:rsidR="007B08ED" w:rsidRPr="003822A4">
        <w:rPr>
          <w:rFonts w:ascii="Verdana" w:hAnsi="Verdana"/>
          <w:color w:val="auto"/>
          <w:lang w:val="en-HK"/>
        </w:rPr>
        <w:t xml:space="preserve">, </w:t>
      </w:r>
      <w:r w:rsidR="00393E4E" w:rsidRPr="003822A4">
        <w:rPr>
          <w:rFonts w:ascii="Verdana" w:hAnsi="Verdana"/>
          <w:color w:val="auto"/>
          <w:lang w:val="en-HK"/>
        </w:rPr>
        <w:t>t</w:t>
      </w:r>
      <w:r w:rsidRPr="003822A4">
        <w:rPr>
          <w:rFonts w:ascii="Verdana" w:hAnsi="Verdana"/>
          <w:color w:val="auto"/>
          <w:lang w:val="en-HK"/>
        </w:rPr>
        <w:t xml:space="preserve">he ECtHR </w:t>
      </w:r>
      <w:r w:rsidR="00C74067" w:rsidRPr="003822A4">
        <w:rPr>
          <w:rFonts w:ascii="Verdana" w:hAnsi="Verdana"/>
          <w:color w:val="auto"/>
          <w:lang w:val="en-HK"/>
        </w:rPr>
        <w:t>re</w:t>
      </w:r>
      <w:r w:rsidR="009F7847" w:rsidRPr="003822A4">
        <w:rPr>
          <w:rFonts w:ascii="Verdana" w:hAnsi="Verdana"/>
          <w:color w:val="auto"/>
          <w:lang w:val="en-HK"/>
        </w:rPr>
        <w:t xml:space="preserve">ferred to </w:t>
      </w:r>
      <w:r w:rsidR="00B11BFE" w:rsidRPr="003822A4">
        <w:rPr>
          <w:rFonts w:ascii="Verdana" w:hAnsi="Verdana"/>
          <w:color w:val="auto"/>
          <w:lang w:val="en-HK"/>
        </w:rPr>
        <w:t>previous judgments</w:t>
      </w:r>
      <w:r w:rsidR="00C74067" w:rsidRPr="003822A4">
        <w:rPr>
          <w:rFonts w:ascii="Verdana" w:hAnsi="Verdana"/>
          <w:color w:val="auto"/>
          <w:lang w:val="en-HK"/>
        </w:rPr>
        <w:t xml:space="preserve"> </w:t>
      </w:r>
      <w:r w:rsidR="009F7847">
        <w:rPr>
          <w:rFonts w:ascii="Verdana" w:hAnsi="Verdana"/>
          <w:lang w:val="en-HK"/>
        </w:rPr>
        <w:t>“where it</w:t>
      </w:r>
      <w:r w:rsidR="00CC7AD3">
        <w:rPr>
          <w:rFonts w:ascii="Verdana" w:hAnsi="Verdana"/>
          <w:lang w:val="en-HK"/>
        </w:rPr>
        <w:t xml:space="preserve"> insiste</w:t>
      </w:r>
      <w:r w:rsidR="009F7847">
        <w:rPr>
          <w:rFonts w:ascii="Verdana" w:hAnsi="Verdana"/>
          <w:lang w:val="en-HK"/>
        </w:rPr>
        <w:t>d</w:t>
      </w:r>
      <w:r w:rsidR="001C568A">
        <w:rPr>
          <w:rFonts w:ascii="Verdana" w:hAnsi="Verdana"/>
          <w:lang w:val="en-HK"/>
        </w:rPr>
        <w:t xml:space="preserve"> </w:t>
      </w:r>
      <w:r>
        <w:rPr>
          <w:rFonts w:ascii="Verdana" w:hAnsi="Verdana"/>
          <w:lang w:val="en-HK"/>
        </w:rPr>
        <w:t xml:space="preserve">that </w:t>
      </w:r>
      <w:r w:rsidRPr="004B22BE">
        <w:rPr>
          <w:rFonts w:ascii="Verdana" w:hAnsi="Verdana"/>
          <w:lang w:val="en-HK"/>
        </w:rPr>
        <w:t>the emphasis on rehabilitation and reintegration has become a mandatory factor that member states need to take into account when designing their penal policies”.</w:t>
      </w:r>
      <w:r w:rsidR="00BC4F4D">
        <w:rPr>
          <w:rStyle w:val="FootnoteReference"/>
          <w:rFonts w:ascii="Verdana" w:hAnsi="Verdana"/>
          <w:lang w:val="en-HK"/>
        </w:rPr>
        <w:footnoteReference w:id="13"/>
      </w:r>
      <w:r w:rsidRPr="004B22BE">
        <w:rPr>
          <w:rFonts w:ascii="Verdana" w:hAnsi="Verdana"/>
          <w:lang w:val="en-HK"/>
        </w:rPr>
        <w:t xml:space="preserve"> </w:t>
      </w:r>
      <w:r w:rsidR="00131A87">
        <w:rPr>
          <w:rFonts w:ascii="Verdana" w:hAnsi="Verdana"/>
          <w:lang w:val="en-HK"/>
        </w:rPr>
        <w:t>Recommendation No. R(84) 10 of the Committee of Ministers to Member States on the Criminal Record and Rehabilitation of Convicted Persons recommends that member states “provide that rehabilitation implies prohibition of any reference to the conviction of a rehabilitated person except on compelling grounds provided for in national law”.</w:t>
      </w:r>
      <w:r w:rsidR="00184322">
        <w:rPr>
          <w:rStyle w:val="FootnoteReference"/>
          <w:rFonts w:ascii="Verdana" w:hAnsi="Verdana"/>
          <w:lang w:val="en-HK"/>
        </w:rPr>
        <w:footnoteReference w:id="14"/>
      </w:r>
    </w:p>
    <w:p w14:paraId="726569E6" w14:textId="77777777" w:rsidR="00C2520D" w:rsidRPr="00B92EA6" w:rsidRDefault="00C2520D" w:rsidP="00C2520D">
      <w:pPr>
        <w:pStyle w:val="BasicParagraph"/>
        <w:suppressAutoHyphens/>
        <w:rPr>
          <w:rFonts w:ascii="Verdana" w:hAnsi="Verdana"/>
          <w:lang w:val="en-HK"/>
        </w:rPr>
      </w:pPr>
    </w:p>
    <w:p w14:paraId="379CA394" w14:textId="4A301CBF" w:rsidR="00B92EA6" w:rsidRDefault="004B22BE" w:rsidP="00B92EA6">
      <w:pPr>
        <w:pStyle w:val="BasicParagraph"/>
        <w:suppressAutoHyphens/>
        <w:rPr>
          <w:rFonts w:ascii="Verdana" w:hAnsi="Verdana" w:cs="Arial"/>
          <w:b/>
          <w:color w:val="232120"/>
        </w:rPr>
      </w:pPr>
      <w:r>
        <w:rPr>
          <w:rFonts w:ascii="Verdana" w:hAnsi="Verdana" w:cs="Arial"/>
          <w:b/>
          <w:color w:val="232120"/>
        </w:rPr>
        <w:t>Article 8 of the European Convention on Human Rights</w:t>
      </w:r>
    </w:p>
    <w:p w14:paraId="0F3C2488" w14:textId="77777777" w:rsidR="00B92EA6" w:rsidRPr="00B92EA6" w:rsidRDefault="00B92EA6" w:rsidP="00B92EA6">
      <w:pPr>
        <w:pStyle w:val="BasicParagraph"/>
        <w:suppressAutoHyphens/>
        <w:rPr>
          <w:rFonts w:ascii="Verdana" w:hAnsi="Verdana"/>
        </w:rPr>
      </w:pPr>
    </w:p>
    <w:p w14:paraId="11523EFD" w14:textId="78569410" w:rsidR="00B92EA6" w:rsidRDefault="00B92EA6" w:rsidP="00B92EA6">
      <w:pPr>
        <w:pStyle w:val="BasicParagraph"/>
        <w:suppressAutoHyphens/>
        <w:ind w:left="720" w:hanging="720"/>
        <w:rPr>
          <w:rFonts w:ascii="Verdana" w:hAnsi="Verdana"/>
          <w:lang w:val="en-HK"/>
        </w:rPr>
      </w:pPr>
      <w:r>
        <w:rPr>
          <w:rFonts w:ascii="Verdana" w:hAnsi="Verdana"/>
          <w:lang w:val="en-HK"/>
        </w:rPr>
        <w:t>2.2.1</w:t>
      </w:r>
      <w:r>
        <w:rPr>
          <w:rFonts w:ascii="Verdana" w:hAnsi="Verdana"/>
          <w:lang w:val="en-HK"/>
        </w:rPr>
        <w:tab/>
        <w:t>Unspent convictions impact rehabilitation as they limit the ability of  former offender</w:t>
      </w:r>
      <w:r w:rsidR="008B26FB">
        <w:rPr>
          <w:rFonts w:ascii="Verdana" w:hAnsi="Verdana"/>
          <w:lang w:val="en-HK"/>
        </w:rPr>
        <w:t>s</w:t>
      </w:r>
      <w:r>
        <w:rPr>
          <w:rFonts w:ascii="Verdana" w:hAnsi="Verdana"/>
          <w:lang w:val="en-HK"/>
        </w:rPr>
        <w:t xml:space="preserve"> to </w:t>
      </w:r>
      <w:r w:rsidR="008B26FB">
        <w:rPr>
          <w:rFonts w:ascii="Verdana" w:hAnsi="Verdana"/>
          <w:lang w:val="en-HK"/>
        </w:rPr>
        <w:t xml:space="preserve">leave </w:t>
      </w:r>
      <w:r>
        <w:rPr>
          <w:rFonts w:ascii="Verdana" w:hAnsi="Verdana"/>
          <w:lang w:val="en-HK"/>
        </w:rPr>
        <w:t>their past</w:t>
      </w:r>
      <w:r w:rsidR="008B26FB">
        <w:rPr>
          <w:rFonts w:ascii="Verdana" w:hAnsi="Verdana"/>
          <w:lang w:val="en-HK"/>
        </w:rPr>
        <w:t xml:space="preserve"> behind them</w:t>
      </w:r>
      <w:r>
        <w:rPr>
          <w:rFonts w:ascii="Verdana" w:hAnsi="Verdana"/>
          <w:lang w:val="en-HK"/>
        </w:rPr>
        <w:t xml:space="preserve">. </w:t>
      </w:r>
      <w:r w:rsidR="00DA4B9A">
        <w:rPr>
          <w:rFonts w:ascii="Verdana" w:hAnsi="Verdana"/>
          <w:lang w:val="en-HK"/>
        </w:rPr>
        <w:t>F</w:t>
      </w:r>
      <w:r>
        <w:rPr>
          <w:rFonts w:ascii="Verdana" w:hAnsi="Verdana"/>
          <w:lang w:val="en-HK"/>
        </w:rPr>
        <w:t>ormer offenders experience barriers to social inclusion, including limited access to employment, insurance, international travel, and issues linked to health and wellbeing.</w:t>
      </w:r>
      <w:r>
        <w:rPr>
          <w:rStyle w:val="FootnoteReference"/>
          <w:rFonts w:ascii="Verdana" w:hAnsi="Verdana"/>
          <w:lang w:val="en-HK"/>
        </w:rPr>
        <w:footnoteReference w:id="15"/>
      </w:r>
      <w:r>
        <w:rPr>
          <w:rFonts w:ascii="Verdana" w:hAnsi="Verdana"/>
          <w:lang w:val="en-HK"/>
        </w:rPr>
        <w:t xml:space="preserve"> </w:t>
      </w:r>
      <w:r w:rsidR="00BF354B">
        <w:rPr>
          <w:rFonts w:ascii="Verdana" w:hAnsi="Verdana"/>
          <w:lang w:val="en-HK"/>
        </w:rPr>
        <w:t>Access to employment opportunities is vital</w:t>
      </w:r>
      <w:r w:rsidR="004C794E">
        <w:rPr>
          <w:rFonts w:ascii="Verdana" w:hAnsi="Verdana"/>
          <w:lang w:val="en-HK"/>
        </w:rPr>
        <w:t>,</w:t>
      </w:r>
      <w:r w:rsidR="00BF354B">
        <w:rPr>
          <w:rFonts w:ascii="Verdana" w:hAnsi="Verdana"/>
          <w:lang w:val="en-HK"/>
        </w:rPr>
        <w:t xml:space="preserve"> as e</w:t>
      </w:r>
      <w:r w:rsidR="00F03875">
        <w:rPr>
          <w:rFonts w:ascii="Verdana" w:hAnsi="Verdana"/>
          <w:lang w:val="en-HK"/>
        </w:rPr>
        <w:t>vidence shows that having a job is a major factor in preventing future offending.</w:t>
      </w:r>
      <w:r w:rsidR="00F03875">
        <w:rPr>
          <w:rStyle w:val="FootnoteReference"/>
          <w:rFonts w:ascii="Verdana" w:hAnsi="Verdana"/>
          <w:lang w:val="en-HK"/>
        </w:rPr>
        <w:footnoteReference w:id="16"/>
      </w:r>
      <w:r w:rsidR="00F03875">
        <w:rPr>
          <w:rFonts w:ascii="Verdana" w:hAnsi="Verdana"/>
          <w:lang w:val="en-HK"/>
        </w:rPr>
        <w:t xml:space="preserve"> </w:t>
      </w:r>
      <w:r w:rsidR="005C7E78">
        <w:rPr>
          <w:rFonts w:ascii="Verdana" w:hAnsi="Verdana"/>
          <w:lang w:val="en-HK"/>
        </w:rPr>
        <w:t>A study by the</w:t>
      </w:r>
      <w:r w:rsidR="00C4144C">
        <w:rPr>
          <w:rFonts w:ascii="Verdana" w:hAnsi="Verdana"/>
          <w:lang w:val="en-HK"/>
        </w:rPr>
        <w:t xml:space="preserve"> Ministry of Justice</w:t>
      </w:r>
      <w:r w:rsidR="005C7E78">
        <w:rPr>
          <w:rFonts w:ascii="Verdana" w:hAnsi="Verdana"/>
          <w:lang w:val="en-HK"/>
        </w:rPr>
        <w:t xml:space="preserve"> </w:t>
      </w:r>
      <w:r w:rsidR="00A5102A">
        <w:rPr>
          <w:rFonts w:ascii="Verdana" w:hAnsi="Verdana"/>
          <w:lang w:val="en-HK"/>
        </w:rPr>
        <w:t xml:space="preserve">using data from prisons and probation services in England and Wales found </w:t>
      </w:r>
      <w:r w:rsidR="005C7E78">
        <w:rPr>
          <w:rFonts w:ascii="Verdana" w:hAnsi="Verdana"/>
          <w:lang w:val="en-HK"/>
        </w:rPr>
        <w:t>that former offenders who obtained P45 employment in the twelve months after their release from prison had one-year reoffending rates that were 6-9 percentage points lower than similar offenders who did not find employment.</w:t>
      </w:r>
      <w:r w:rsidR="005C7E78">
        <w:rPr>
          <w:rStyle w:val="FootnoteReference"/>
          <w:rFonts w:ascii="Verdana" w:hAnsi="Verdana"/>
          <w:lang w:val="en-HK"/>
        </w:rPr>
        <w:footnoteReference w:id="17"/>
      </w:r>
      <w:r w:rsidR="005C7E78">
        <w:rPr>
          <w:rFonts w:ascii="Verdana" w:hAnsi="Verdana"/>
          <w:lang w:val="en-HK"/>
        </w:rPr>
        <w:t xml:space="preserve"> </w:t>
      </w:r>
      <w:r w:rsidR="00D46A13">
        <w:rPr>
          <w:rFonts w:ascii="Verdana" w:hAnsi="Verdana"/>
        </w:rPr>
        <w:t>Research by NIACRO found that inclusion of former offenders into society provides the best opportunity for a reduction in reoffending and criminal behaviour. This is supported by analysis conducted by the Northern Ireland Data Lab which found that NIACRO’s Jobtrack project, which was aimed at increasing the employability of people who had offended, had the effect of reducing reoffending by 24</w:t>
      </w:r>
      <w:r w:rsidR="008B26FB">
        <w:rPr>
          <w:rFonts w:ascii="Verdana" w:hAnsi="Verdana"/>
        </w:rPr>
        <w:t xml:space="preserve"> per cent</w:t>
      </w:r>
      <w:r w:rsidR="00D46A13">
        <w:rPr>
          <w:rFonts w:ascii="Verdana" w:hAnsi="Verdana"/>
        </w:rPr>
        <w:t>.</w:t>
      </w:r>
      <w:r w:rsidR="00D46A13">
        <w:rPr>
          <w:rStyle w:val="FootnoteReference"/>
          <w:rFonts w:ascii="Verdana" w:hAnsi="Verdana"/>
        </w:rPr>
        <w:footnoteReference w:id="18"/>
      </w:r>
    </w:p>
    <w:p w14:paraId="1B4731A0" w14:textId="77777777" w:rsidR="00B92EA6" w:rsidRDefault="00B92EA6" w:rsidP="00B92EA6">
      <w:pPr>
        <w:pStyle w:val="BasicParagraph"/>
        <w:suppressAutoHyphens/>
        <w:ind w:left="720" w:hanging="720"/>
        <w:rPr>
          <w:rFonts w:ascii="Verdana" w:hAnsi="Verdana"/>
          <w:lang w:val="en-HK"/>
        </w:rPr>
      </w:pPr>
    </w:p>
    <w:p w14:paraId="15478611" w14:textId="2C7B248C" w:rsidR="00B92EA6" w:rsidRDefault="00B92EA6" w:rsidP="00B92EA6">
      <w:pPr>
        <w:pStyle w:val="BasicParagraph"/>
        <w:suppressAutoHyphens/>
        <w:ind w:left="720" w:hanging="720"/>
        <w:rPr>
          <w:rFonts w:ascii="Verdana" w:hAnsi="Verdana"/>
          <w:lang w:val="en-HK"/>
        </w:rPr>
      </w:pPr>
      <w:r>
        <w:rPr>
          <w:rFonts w:ascii="Verdana" w:hAnsi="Verdana"/>
          <w:lang w:val="en-HK"/>
        </w:rPr>
        <w:t>2.2.2</w:t>
      </w:r>
      <w:r>
        <w:rPr>
          <w:rFonts w:ascii="Verdana" w:hAnsi="Verdana"/>
          <w:lang w:val="en-HK"/>
        </w:rPr>
        <w:tab/>
      </w:r>
      <w:r w:rsidR="00D32D69">
        <w:rPr>
          <w:rFonts w:ascii="Verdana" w:hAnsi="Verdana"/>
          <w:lang w:val="en-HK"/>
        </w:rPr>
        <w:t>T</w:t>
      </w:r>
      <w:r>
        <w:rPr>
          <w:rFonts w:ascii="Verdana" w:hAnsi="Verdana"/>
          <w:lang w:val="en-HK"/>
        </w:rPr>
        <w:t xml:space="preserve">he </w:t>
      </w:r>
      <w:r w:rsidR="00D32D69">
        <w:rPr>
          <w:rFonts w:ascii="Verdana" w:hAnsi="Verdana"/>
          <w:lang w:val="en-HK"/>
        </w:rPr>
        <w:t>UK</w:t>
      </w:r>
      <w:r>
        <w:rPr>
          <w:rFonts w:ascii="Verdana" w:hAnsi="Verdana"/>
          <w:lang w:val="en-HK"/>
        </w:rPr>
        <w:t xml:space="preserve"> </w:t>
      </w:r>
      <w:r w:rsidR="00D32D69">
        <w:rPr>
          <w:rFonts w:ascii="Verdana" w:hAnsi="Verdana"/>
          <w:lang w:val="en-HK"/>
        </w:rPr>
        <w:t xml:space="preserve">Supreme Court </w:t>
      </w:r>
      <w:r>
        <w:rPr>
          <w:rFonts w:ascii="Verdana" w:hAnsi="Verdana"/>
          <w:lang w:val="en-HK"/>
        </w:rPr>
        <w:t>ha</w:t>
      </w:r>
      <w:r w:rsidR="00D32D69">
        <w:rPr>
          <w:rFonts w:ascii="Verdana" w:hAnsi="Verdana"/>
          <w:lang w:val="en-HK"/>
        </w:rPr>
        <w:t>s</w:t>
      </w:r>
      <w:r>
        <w:rPr>
          <w:rFonts w:ascii="Verdana" w:hAnsi="Verdana"/>
          <w:lang w:val="en-HK"/>
        </w:rPr>
        <w:t xml:space="preserve"> </w:t>
      </w:r>
      <w:r w:rsidR="00D32D69">
        <w:rPr>
          <w:rFonts w:ascii="Verdana" w:hAnsi="Verdana"/>
          <w:lang w:val="en-HK"/>
        </w:rPr>
        <w:t xml:space="preserve">held that “it is not disputed” that the requirement to </w:t>
      </w:r>
      <w:r>
        <w:rPr>
          <w:rFonts w:ascii="Verdana" w:hAnsi="Verdana"/>
          <w:lang w:val="en-HK"/>
        </w:rPr>
        <w:t>disclose details relating to one’s past</w:t>
      </w:r>
      <w:r w:rsidR="00D32D69">
        <w:rPr>
          <w:rFonts w:ascii="Verdana" w:hAnsi="Verdana"/>
          <w:lang w:val="en-HK"/>
        </w:rPr>
        <w:t xml:space="preserve"> </w:t>
      </w:r>
      <w:r>
        <w:rPr>
          <w:rFonts w:ascii="Verdana" w:hAnsi="Verdana"/>
          <w:lang w:val="en-HK"/>
        </w:rPr>
        <w:t xml:space="preserve">engages </w:t>
      </w:r>
      <w:r w:rsidR="00346736">
        <w:rPr>
          <w:rFonts w:ascii="Verdana" w:hAnsi="Verdana"/>
          <w:lang w:val="en-HK"/>
        </w:rPr>
        <w:t>the</w:t>
      </w:r>
      <w:r>
        <w:rPr>
          <w:rFonts w:ascii="Verdana" w:hAnsi="Verdana"/>
          <w:lang w:val="en-HK"/>
        </w:rPr>
        <w:t xml:space="preserve"> right to respect for private and family life</w:t>
      </w:r>
      <w:r w:rsidR="009C518F">
        <w:rPr>
          <w:rFonts w:ascii="Verdana" w:hAnsi="Verdana"/>
          <w:lang w:val="en-HK"/>
        </w:rPr>
        <w:t>.</w:t>
      </w:r>
      <w:r w:rsidR="00D32D69">
        <w:rPr>
          <w:rStyle w:val="FootnoteReference"/>
          <w:rFonts w:ascii="Verdana" w:hAnsi="Verdana"/>
          <w:lang w:val="en-HK"/>
        </w:rPr>
        <w:footnoteReference w:id="19"/>
      </w:r>
      <w:r w:rsidR="009C518F">
        <w:rPr>
          <w:rFonts w:ascii="Verdana" w:hAnsi="Verdana"/>
          <w:lang w:val="en-HK"/>
        </w:rPr>
        <w:t xml:space="preserve"> This right is protected</w:t>
      </w:r>
      <w:r>
        <w:rPr>
          <w:rFonts w:ascii="Verdana" w:hAnsi="Verdana"/>
          <w:lang w:val="en-HK"/>
        </w:rPr>
        <w:t xml:space="preserve"> under Article 8 of the European Convention on Human Rights (ECHR)</w:t>
      </w:r>
      <w:r w:rsidR="009C518F">
        <w:rPr>
          <w:rFonts w:ascii="Verdana" w:hAnsi="Verdana"/>
          <w:lang w:val="en-HK"/>
        </w:rPr>
        <w:t>,</w:t>
      </w:r>
      <w:r>
        <w:rPr>
          <w:rFonts w:ascii="Verdana" w:hAnsi="Verdana"/>
          <w:lang w:val="en-HK"/>
        </w:rPr>
        <w:t xml:space="preserve"> </w:t>
      </w:r>
      <w:r w:rsidR="00BB4792">
        <w:rPr>
          <w:rFonts w:ascii="Verdana" w:hAnsi="Verdana"/>
          <w:lang w:val="en-HK"/>
        </w:rPr>
        <w:t>which</w:t>
      </w:r>
      <w:r>
        <w:rPr>
          <w:rFonts w:ascii="Verdana" w:hAnsi="Verdana"/>
          <w:lang w:val="en-HK"/>
        </w:rPr>
        <w:t xml:space="preserve"> states that:</w:t>
      </w:r>
      <w:r>
        <w:rPr>
          <w:rStyle w:val="FootnoteReference"/>
          <w:rFonts w:ascii="Verdana" w:hAnsi="Verdana"/>
          <w:lang w:val="en-HK"/>
        </w:rPr>
        <w:footnoteReference w:id="20"/>
      </w:r>
      <w:r>
        <w:rPr>
          <w:rFonts w:ascii="Verdana" w:hAnsi="Verdana"/>
          <w:lang w:val="en-HK"/>
        </w:rPr>
        <w:t xml:space="preserve"> </w:t>
      </w:r>
    </w:p>
    <w:p w14:paraId="73EF03D4" w14:textId="77777777" w:rsidR="00B92EA6" w:rsidRDefault="00B92EA6" w:rsidP="00B92EA6">
      <w:pPr>
        <w:pStyle w:val="BasicParagraph"/>
        <w:suppressAutoHyphens/>
        <w:ind w:left="720"/>
        <w:rPr>
          <w:rFonts w:ascii="Verdana" w:hAnsi="Verdana"/>
          <w:lang w:val="en-HK"/>
        </w:rPr>
      </w:pPr>
    </w:p>
    <w:p w14:paraId="3372CB0F" w14:textId="77777777" w:rsidR="00B92EA6" w:rsidRDefault="00B92EA6" w:rsidP="008D6A56">
      <w:pPr>
        <w:pStyle w:val="BasicParagraph"/>
        <w:suppressAutoHyphens/>
        <w:ind w:left="1134" w:right="786"/>
        <w:rPr>
          <w:rFonts w:ascii="Verdana" w:hAnsi="Verdana"/>
          <w:lang w:val="en-HK"/>
        </w:rPr>
      </w:pPr>
      <w:r w:rsidRPr="00B92EA6">
        <w:rPr>
          <w:rFonts w:ascii="Verdana" w:hAnsi="Verdana"/>
          <w:lang w:val="en-HK"/>
        </w:rPr>
        <w:t>1) everyone has the right to respect for his private and family life, his home and his correspondence.</w:t>
      </w:r>
    </w:p>
    <w:p w14:paraId="55E4DFC8" w14:textId="77777777" w:rsidR="00B92EA6" w:rsidRDefault="00B92EA6" w:rsidP="008D6A56">
      <w:pPr>
        <w:pStyle w:val="BasicParagraph"/>
        <w:suppressAutoHyphens/>
        <w:ind w:left="1134" w:right="786"/>
        <w:rPr>
          <w:rFonts w:ascii="Verdana" w:hAnsi="Verdana"/>
          <w:lang w:val="en-HK"/>
        </w:rPr>
      </w:pPr>
    </w:p>
    <w:p w14:paraId="4869D39F" w14:textId="77777777" w:rsidR="00B92EA6" w:rsidRDefault="00B92EA6" w:rsidP="008D6A56">
      <w:pPr>
        <w:pStyle w:val="BasicParagraph"/>
        <w:suppressAutoHyphens/>
        <w:ind w:left="1134" w:right="786"/>
        <w:rPr>
          <w:rFonts w:ascii="Verdana" w:hAnsi="Verdana"/>
          <w:lang w:val="en-HK"/>
        </w:rPr>
      </w:pPr>
      <w:r w:rsidRPr="00B92EA6">
        <w:rPr>
          <w:rFonts w:ascii="Verdana" w:hAnsi="Verdana"/>
          <w:lang w:val="en-HK"/>
        </w:rPr>
        <w:t xml:space="preserve">2) </w:t>
      </w:r>
      <w:r w:rsidR="00D459DE">
        <w:rPr>
          <w:rFonts w:ascii="Verdana" w:hAnsi="Verdana"/>
          <w:lang w:val="en-HK"/>
        </w:rPr>
        <w:t xml:space="preserve">there </w:t>
      </w:r>
      <w:r w:rsidRPr="00B92EA6">
        <w:rPr>
          <w:rFonts w:ascii="Verdana" w:hAnsi="Verdana"/>
          <w:lang w:val="en-HK"/>
        </w:rPr>
        <w:t>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w:t>
      </w:r>
      <w:r>
        <w:rPr>
          <w:rFonts w:ascii="Verdana" w:hAnsi="Verdana"/>
          <w:lang w:val="en-HK"/>
        </w:rPr>
        <w:t xml:space="preserve"> </w:t>
      </w:r>
      <w:r w:rsidRPr="00B92EA6">
        <w:rPr>
          <w:rFonts w:ascii="Verdana" w:hAnsi="Verdana"/>
          <w:lang w:val="en-HK"/>
        </w:rPr>
        <w:t>protection of health or morals, or for the protection of the rights and freedoms of others.</w:t>
      </w:r>
    </w:p>
    <w:p w14:paraId="1EE85E0B" w14:textId="77777777" w:rsidR="00B92EA6" w:rsidRDefault="00B92EA6" w:rsidP="00B92EA6">
      <w:pPr>
        <w:pStyle w:val="BasicParagraph"/>
        <w:suppressAutoHyphens/>
        <w:ind w:left="720"/>
        <w:rPr>
          <w:rFonts w:ascii="Verdana" w:hAnsi="Verdana"/>
          <w:lang w:val="en-HK"/>
        </w:rPr>
      </w:pPr>
    </w:p>
    <w:p w14:paraId="536C9952" w14:textId="77777777" w:rsidR="00B92EA6" w:rsidRDefault="00B92EA6" w:rsidP="00243640">
      <w:pPr>
        <w:pStyle w:val="BasicParagraph"/>
        <w:suppressAutoHyphens/>
        <w:ind w:left="720" w:hanging="720"/>
        <w:rPr>
          <w:rFonts w:ascii="Verdana" w:hAnsi="Verdana"/>
          <w:lang w:val="en-HK"/>
        </w:rPr>
      </w:pPr>
      <w:r>
        <w:rPr>
          <w:rFonts w:ascii="Verdana" w:hAnsi="Verdana"/>
          <w:lang w:val="en-HK"/>
        </w:rPr>
        <w:t>2.2.3</w:t>
      </w:r>
      <w:r>
        <w:rPr>
          <w:rFonts w:ascii="Verdana" w:hAnsi="Verdana"/>
          <w:lang w:val="en-HK"/>
        </w:rPr>
        <w:tab/>
      </w:r>
      <w:r w:rsidRPr="00B92EA6">
        <w:rPr>
          <w:rFonts w:ascii="Verdana" w:hAnsi="Verdana"/>
          <w:lang w:val="en-HK"/>
        </w:rPr>
        <w:t xml:space="preserve">The primary purpose of Article 8 ECHR is to protect against arbitrary </w:t>
      </w:r>
      <w:r>
        <w:rPr>
          <w:rFonts w:ascii="Verdana" w:hAnsi="Verdana"/>
          <w:lang w:val="en-HK"/>
        </w:rPr>
        <w:t xml:space="preserve">   </w:t>
      </w:r>
      <w:r w:rsidRPr="00B92EA6">
        <w:rPr>
          <w:rFonts w:ascii="Verdana" w:hAnsi="Verdana"/>
          <w:lang w:val="en-HK"/>
        </w:rPr>
        <w:t xml:space="preserve">interferences with private and family life, home, and correspondence by a public authority. </w:t>
      </w:r>
    </w:p>
    <w:p w14:paraId="0842CA04" w14:textId="77777777" w:rsidR="00B92EA6" w:rsidRDefault="00B92EA6" w:rsidP="00B92EA6">
      <w:pPr>
        <w:pStyle w:val="BasicParagraph"/>
        <w:suppressAutoHyphens/>
        <w:rPr>
          <w:rFonts w:ascii="Verdana" w:hAnsi="Verdana"/>
          <w:lang w:val="en-HK"/>
        </w:rPr>
      </w:pPr>
    </w:p>
    <w:p w14:paraId="054CAC29" w14:textId="3E723E3F" w:rsidR="00B92EA6" w:rsidRDefault="00B92EA6" w:rsidP="00243640">
      <w:pPr>
        <w:pStyle w:val="BasicParagraph"/>
        <w:suppressAutoHyphens/>
        <w:ind w:left="709" w:hanging="709"/>
        <w:rPr>
          <w:rFonts w:ascii="Verdana" w:hAnsi="Verdana"/>
          <w:lang w:val="en-HK"/>
        </w:rPr>
      </w:pPr>
      <w:r>
        <w:rPr>
          <w:rFonts w:ascii="Verdana" w:hAnsi="Verdana"/>
          <w:lang w:val="en-HK"/>
        </w:rPr>
        <w:t>2.2.</w:t>
      </w:r>
      <w:r w:rsidR="0019158C">
        <w:rPr>
          <w:rFonts w:ascii="Verdana" w:hAnsi="Verdana"/>
          <w:lang w:val="en-HK"/>
        </w:rPr>
        <w:t>4</w:t>
      </w:r>
      <w:r w:rsidRPr="00B92EA6">
        <w:rPr>
          <w:rFonts w:ascii="Verdana" w:hAnsi="Verdana"/>
          <w:lang w:val="en-HK"/>
        </w:rPr>
        <w:t xml:space="preserve"> Conditions upon which a State may interfere with the enjoyment of a protected right are set out in Article 8(2) ECHR. Limitations are allowed if they are “in accordance with the law” or “prescribed by law” and are “necessary in a democratic society” for the protection of one of the objectives set out in Article 8(2) ECHR.</w:t>
      </w:r>
    </w:p>
    <w:p w14:paraId="697556EA" w14:textId="77777777" w:rsidR="00B92EA6" w:rsidRPr="00B92EA6" w:rsidRDefault="00B92EA6" w:rsidP="00B92EA6">
      <w:pPr>
        <w:pStyle w:val="BasicParagraph"/>
        <w:suppressAutoHyphens/>
        <w:rPr>
          <w:rFonts w:ascii="Verdana" w:hAnsi="Verdana"/>
          <w:lang w:val="en-HK"/>
        </w:rPr>
      </w:pPr>
    </w:p>
    <w:p w14:paraId="55944DC9" w14:textId="5FF8E0CC" w:rsidR="00B92EA6" w:rsidRDefault="00B92EA6" w:rsidP="00243640">
      <w:pPr>
        <w:pStyle w:val="BasicParagraph"/>
        <w:suppressAutoHyphens/>
        <w:ind w:left="709" w:hanging="709"/>
        <w:rPr>
          <w:rFonts w:ascii="Verdana" w:hAnsi="Verdana"/>
          <w:lang w:val="en-HK"/>
        </w:rPr>
      </w:pPr>
      <w:r>
        <w:rPr>
          <w:rFonts w:ascii="Verdana" w:hAnsi="Verdana"/>
          <w:lang w:val="en-HK"/>
        </w:rPr>
        <w:t>2.2.</w:t>
      </w:r>
      <w:r w:rsidR="0019158C">
        <w:rPr>
          <w:rFonts w:ascii="Verdana" w:hAnsi="Verdana"/>
          <w:lang w:val="en-HK"/>
        </w:rPr>
        <w:t>5</w:t>
      </w:r>
      <w:r>
        <w:rPr>
          <w:rFonts w:ascii="Verdana" w:hAnsi="Verdana"/>
          <w:lang w:val="en-HK"/>
        </w:rPr>
        <w:tab/>
      </w:r>
      <w:r w:rsidRPr="00B92EA6">
        <w:rPr>
          <w:rFonts w:ascii="Verdana" w:hAnsi="Verdana"/>
          <w:lang w:val="en-HK"/>
        </w:rPr>
        <w:t xml:space="preserve">In order to determine whether a particular infringement of Article 8 ECHR is necessary in a democratic society, the ECtHR balances the interests of the State against the right of the applicant. The ECtHR has clarified that </w:t>
      </w:r>
      <w:r w:rsidR="00BB4792">
        <w:rPr>
          <w:rFonts w:ascii="Verdana" w:hAnsi="Verdana"/>
          <w:lang w:val="en-HK"/>
        </w:rPr>
        <w:t>“</w:t>
      </w:r>
      <w:r w:rsidRPr="00B92EA6">
        <w:rPr>
          <w:rFonts w:ascii="Verdana" w:hAnsi="Verdana"/>
          <w:lang w:val="en-HK"/>
        </w:rPr>
        <w:t>necessary</w:t>
      </w:r>
      <w:r w:rsidR="00BB4792">
        <w:rPr>
          <w:rFonts w:ascii="Verdana" w:hAnsi="Verdana"/>
          <w:lang w:val="en-HK"/>
        </w:rPr>
        <w:t>”</w:t>
      </w:r>
      <w:r w:rsidRPr="00B92EA6">
        <w:rPr>
          <w:rFonts w:ascii="Verdana" w:hAnsi="Verdana"/>
          <w:lang w:val="en-HK"/>
        </w:rPr>
        <w:t xml:space="preserve"> in this context does not have the flexibility of such expressions as ”useful”, “reasonable”, or “desirable”, but implies the existence of a “pressing social need” for the interference in question.</w:t>
      </w:r>
      <w:r w:rsidR="00477349">
        <w:rPr>
          <w:rStyle w:val="FootnoteReference"/>
          <w:rFonts w:ascii="Verdana" w:hAnsi="Verdana"/>
          <w:lang w:val="en-HK"/>
        </w:rPr>
        <w:footnoteReference w:id="21"/>
      </w:r>
    </w:p>
    <w:p w14:paraId="3578FEBF" w14:textId="77777777" w:rsidR="00FC1C21" w:rsidRDefault="00FC1C21" w:rsidP="00243640">
      <w:pPr>
        <w:pStyle w:val="BasicParagraph"/>
        <w:suppressAutoHyphens/>
        <w:ind w:left="709" w:hanging="709"/>
        <w:rPr>
          <w:rFonts w:ascii="Verdana" w:hAnsi="Verdana"/>
          <w:lang w:val="en-HK"/>
        </w:rPr>
      </w:pPr>
    </w:p>
    <w:p w14:paraId="7DD1C059" w14:textId="24C62DC3" w:rsidR="0091668C" w:rsidRDefault="00FC1C21" w:rsidP="00243640">
      <w:pPr>
        <w:pStyle w:val="BasicParagraph"/>
        <w:suppressAutoHyphens/>
        <w:ind w:left="709" w:hanging="709"/>
        <w:rPr>
          <w:rFonts w:ascii="Verdana" w:hAnsi="Verdana"/>
          <w:lang w:val="en-HK"/>
        </w:rPr>
      </w:pPr>
      <w:r>
        <w:rPr>
          <w:rFonts w:ascii="Verdana" w:hAnsi="Verdana"/>
          <w:lang w:val="en-HK"/>
        </w:rPr>
        <w:t>2.2.</w:t>
      </w:r>
      <w:r w:rsidR="0019158C">
        <w:rPr>
          <w:rFonts w:ascii="Verdana" w:hAnsi="Verdana"/>
          <w:lang w:val="en-HK"/>
        </w:rPr>
        <w:t>6</w:t>
      </w:r>
      <w:r>
        <w:rPr>
          <w:rFonts w:ascii="Verdana" w:hAnsi="Verdana"/>
          <w:lang w:val="en-HK"/>
        </w:rPr>
        <w:t xml:space="preserve"> </w:t>
      </w:r>
      <w:r w:rsidR="008D6A56">
        <w:rPr>
          <w:rFonts w:ascii="Verdana" w:hAnsi="Verdana"/>
          <w:lang w:val="en-HK"/>
        </w:rPr>
        <w:t xml:space="preserve">The UK Supreme Court has considered the proportionality of the disclosure of criminal records in </w:t>
      </w:r>
      <w:r w:rsidR="002B6F54" w:rsidRPr="002B6F54">
        <w:rPr>
          <w:rFonts w:ascii="Verdana" w:hAnsi="Verdana"/>
          <w:i/>
          <w:iCs/>
          <w:lang w:val="en-HK"/>
        </w:rPr>
        <w:t>R (T) v Chief Constable of Manchester</w:t>
      </w:r>
      <w:r w:rsidR="008D6A56">
        <w:rPr>
          <w:rFonts w:ascii="Verdana" w:hAnsi="Verdana"/>
          <w:i/>
          <w:iCs/>
          <w:lang w:val="en-HK"/>
        </w:rPr>
        <w:t xml:space="preserve">, </w:t>
      </w:r>
      <w:r w:rsidR="008D6A56" w:rsidRPr="008D6A56">
        <w:rPr>
          <w:rFonts w:ascii="Verdana" w:hAnsi="Verdana"/>
          <w:iCs/>
          <w:lang w:val="en-HK"/>
        </w:rPr>
        <w:t>which</w:t>
      </w:r>
      <w:r w:rsidR="00D80DBD" w:rsidRPr="008D6A56">
        <w:rPr>
          <w:rFonts w:ascii="Verdana" w:hAnsi="Verdana"/>
          <w:lang w:val="en-HK"/>
        </w:rPr>
        <w:t xml:space="preserve"> </w:t>
      </w:r>
      <w:r w:rsidR="00D80DBD">
        <w:rPr>
          <w:rFonts w:ascii="Verdana" w:hAnsi="Verdana"/>
          <w:lang w:val="en-HK"/>
        </w:rPr>
        <w:lastRenderedPageBreak/>
        <w:t xml:space="preserve">concerned </w:t>
      </w:r>
      <w:r w:rsidR="002B6F54">
        <w:rPr>
          <w:rFonts w:ascii="Verdana" w:hAnsi="Verdana"/>
          <w:lang w:val="en-HK"/>
        </w:rPr>
        <w:t xml:space="preserve">an individual </w:t>
      </w:r>
      <w:r w:rsidR="00D80DBD">
        <w:rPr>
          <w:rFonts w:ascii="Verdana" w:hAnsi="Verdana"/>
          <w:lang w:val="en-HK"/>
        </w:rPr>
        <w:t xml:space="preserve">who </w:t>
      </w:r>
      <w:r w:rsidR="002B6F54">
        <w:rPr>
          <w:rFonts w:ascii="Verdana" w:hAnsi="Verdana"/>
          <w:lang w:val="en-HK"/>
        </w:rPr>
        <w:t>was issued</w:t>
      </w:r>
      <w:r w:rsidR="008D6A56">
        <w:rPr>
          <w:rFonts w:ascii="Verdana" w:hAnsi="Verdana"/>
          <w:lang w:val="en-HK"/>
        </w:rPr>
        <w:t xml:space="preserve"> with</w:t>
      </w:r>
      <w:r w:rsidR="002B6F54">
        <w:rPr>
          <w:rFonts w:ascii="Verdana" w:hAnsi="Verdana"/>
          <w:lang w:val="en-HK"/>
        </w:rPr>
        <w:t xml:space="preserve"> two warnings as an 11 year old in respect of two stolen bicycles. Years later, </w:t>
      </w:r>
      <w:r w:rsidR="00051E7A">
        <w:rPr>
          <w:rFonts w:ascii="Verdana" w:hAnsi="Verdana"/>
          <w:lang w:val="en-HK"/>
        </w:rPr>
        <w:t xml:space="preserve">after the warnings had been spent, </w:t>
      </w:r>
      <w:r w:rsidR="00D80DBD">
        <w:rPr>
          <w:rFonts w:ascii="Verdana" w:hAnsi="Verdana"/>
          <w:lang w:val="en-HK"/>
        </w:rPr>
        <w:t xml:space="preserve">T </w:t>
      </w:r>
      <w:r w:rsidR="002B6F54">
        <w:rPr>
          <w:rFonts w:ascii="Verdana" w:hAnsi="Verdana"/>
          <w:lang w:val="en-HK"/>
        </w:rPr>
        <w:t xml:space="preserve">sought to </w:t>
      </w:r>
      <w:r w:rsidR="00D80DBD">
        <w:rPr>
          <w:rFonts w:ascii="Verdana" w:hAnsi="Verdana"/>
          <w:lang w:val="en-HK"/>
        </w:rPr>
        <w:t xml:space="preserve">enrol in a sports degree course at a </w:t>
      </w:r>
      <w:r w:rsidR="00BC1B2A">
        <w:rPr>
          <w:rFonts w:ascii="Verdana" w:hAnsi="Verdana"/>
          <w:lang w:val="en-HK"/>
        </w:rPr>
        <w:t>college</w:t>
      </w:r>
      <w:r w:rsidR="00D80DBD">
        <w:rPr>
          <w:rFonts w:ascii="Verdana" w:hAnsi="Verdana"/>
          <w:lang w:val="en-HK"/>
        </w:rPr>
        <w:t xml:space="preserve">. Since the course involved </w:t>
      </w:r>
      <w:r w:rsidR="00051E7A">
        <w:rPr>
          <w:rFonts w:ascii="Verdana" w:hAnsi="Verdana"/>
          <w:lang w:val="en-HK"/>
        </w:rPr>
        <w:t xml:space="preserve">contact with children, the </w:t>
      </w:r>
      <w:r w:rsidR="00BC1B2A">
        <w:rPr>
          <w:rFonts w:ascii="Verdana" w:hAnsi="Verdana"/>
          <w:lang w:val="en-HK"/>
        </w:rPr>
        <w:t>college</w:t>
      </w:r>
      <w:r w:rsidR="00051E7A">
        <w:rPr>
          <w:rFonts w:ascii="Verdana" w:hAnsi="Verdana"/>
          <w:lang w:val="en-HK"/>
        </w:rPr>
        <w:t xml:space="preserve"> required an enhanced criminal record certificate. T</w:t>
      </w:r>
      <w:r w:rsidR="005A1551">
        <w:rPr>
          <w:rFonts w:ascii="Verdana" w:hAnsi="Verdana"/>
          <w:lang w:val="en-HK"/>
        </w:rPr>
        <w:t>he warnings which T believed to have been spent were subsequently revealed in the enhanced criminal record certificate</w:t>
      </w:r>
      <w:r w:rsidR="002A5226">
        <w:rPr>
          <w:rFonts w:ascii="Verdana" w:hAnsi="Verdana"/>
          <w:lang w:val="en-HK"/>
        </w:rPr>
        <w:t xml:space="preserve"> and the college advised T that his place on the course was at risk. </w:t>
      </w:r>
    </w:p>
    <w:p w14:paraId="72CD03CD" w14:textId="77777777" w:rsidR="00577111" w:rsidRDefault="00577111" w:rsidP="00243640">
      <w:pPr>
        <w:pStyle w:val="BasicParagraph"/>
        <w:suppressAutoHyphens/>
        <w:ind w:left="709" w:hanging="709"/>
        <w:rPr>
          <w:rFonts w:ascii="Verdana" w:hAnsi="Verdana"/>
          <w:lang w:val="en-HK"/>
        </w:rPr>
      </w:pPr>
    </w:p>
    <w:p w14:paraId="3E17B7D9" w14:textId="745C0407" w:rsidR="0091668C" w:rsidRDefault="00577111" w:rsidP="001E5D05">
      <w:pPr>
        <w:pStyle w:val="BasicParagraph"/>
        <w:suppressAutoHyphens/>
        <w:ind w:left="709" w:hanging="709"/>
        <w:rPr>
          <w:rFonts w:ascii="Verdana" w:hAnsi="Verdana"/>
          <w:lang w:val="en-HK"/>
        </w:rPr>
      </w:pPr>
      <w:r>
        <w:rPr>
          <w:rFonts w:ascii="Verdana" w:hAnsi="Verdana"/>
          <w:lang w:val="en-HK"/>
        </w:rPr>
        <w:t>2.2.</w:t>
      </w:r>
      <w:r w:rsidR="0019158C">
        <w:rPr>
          <w:rFonts w:ascii="Verdana" w:hAnsi="Verdana"/>
          <w:lang w:val="en-HK"/>
        </w:rPr>
        <w:t>7</w:t>
      </w:r>
      <w:r>
        <w:rPr>
          <w:rFonts w:ascii="Verdana" w:hAnsi="Verdana"/>
          <w:lang w:val="en-HK"/>
        </w:rPr>
        <w:tab/>
      </w:r>
      <w:r w:rsidR="000B5561">
        <w:rPr>
          <w:rFonts w:ascii="Verdana" w:hAnsi="Verdana"/>
          <w:lang w:val="en-HK"/>
        </w:rPr>
        <w:t>The UK Supreme Court</w:t>
      </w:r>
      <w:r w:rsidR="00BA338F">
        <w:rPr>
          <w:rFonts w:ascii="Verdana" w:hAnsi="Verdana"/>
          <w:lang w:val="en-HK"/>
        </w:rPr>
        <w:t xml:space="preserve"> found that </w:t>
      </w:r>
      <w:r w:rsidR="00F4707B">
        <w:rPr>
          <w:rFonts w:ascii="Verdana" w:hAnsi="Verdana"/>
          <w:lang w:val="en-HK"/>
        </w:rPr>
        <w:t xml:space="preserve">the interference with T’s private life was disproportionate because there was “no conceivable relevance” between </w:t>
      </w:r>
      <w:r w:rsidR="009F2A1B">
        <w:rPr>
          <w:rFonts w:ascii="Verdana" w:hAnsi="Verdana"/>
          <w:lang w:val="en-HK"/>
        </w:rPr>
        <w:t xml:space="preserve">the theft of the bicycles as a child and </w:t>
      </w:r>
      <w:r w:rsidR="00B719A8">
        <w:rPr>
          <w:rFonts w:ascii="Verdana" w:hAnsi="Verdana"/>
          <w:lang w:val="en-HK"/>
        </w:rPr>
        <w:t>his proposed participation in sporting events with children</w:t>
      </w:r>
      <w:r w:rsidR="007F4604">
        <w:rPr>
          <w:rFonts w:ascii="Verdana" w:hAnsi="Verdana"/>
          <w:lang w:val="en-HK"/>
        </w:rPr>
        <w:t>.</w:t>
      </w:r>
      <w:r w:rsidR="00092AD9">
        <w:rPr>
          <w:rStyle w:val="FootnoteReference"/>
          <w:rFonts w:ascii="Verdana" w:hAnsi="Verdana"/>
          <w:lang w:val="en-HK"/>
        </w:rPr>
        <w:footnoteReference w:id="22"/>
      </w:r>
      <w:r w:rsidR="001E5D05">
        <w:rPr>
          <w:rFonts w:ascii="Verdana" w:hAnsi="Verdana"/>
          <w:lang w:val="en-HK"/>
        </w:rPr>
        <w:t xml:space="preserve"> </w:t>
      </w:r>
    </w:p>
    <w:p w14:paraId="70AF51BD" w14:textId="10DFA14C" w:rsidR="00472FE1" w:rsidRDefault="00472FE1" w:rsidP="001E5D05">
      <w:pPr>
        <w:pStyle w:val="BasicParagraph"/>
        <w:suppressAutoHyphens/>
        <w:ind w:left="709" w:hanging="709"/>
        <w:rPr>
          <w:rFonts w:ascii="Verdana" w:hAnsi="Verdana"/>
          <w:lang w:val="en-HK"/>
        </w:rPr>
      </w:pPr>
    </w:p>
    <w:p w14:paraId="6E3B87CB" w14:textId="480BE180" w:rsidR="00472FE1" w:rsidRDefault="00472FE1" w:rsidP="001E5D05">
      <w:pPr>
        <w:pStyle w:val="BasicParagraph"/>
        <w:suppressAutoHyphens/>
        <w:ind w:left="709" w:hanging="709"/>
        <w:rPr>
          <w:rFonts w:ascii="Verdana" w:hAnsi="Verdana"/>
          <w:lang w:val="en-HK"/>
        </w:rPr>
      </w:pPr>
      <w:r>
        <w:rPr>
          <w:rFonts w:ascii="Verdana" w:hAnsi="Verdana"/>
          <w:lang w:val="en-HK"/>
        </w:rPr>
        <w:t>2.2.</w:t>
      </w:r>
      <w:r w:rsidR="0019158C">
        <w:rPr>
          <w:rFonts w:ascii="Verdana" w:hAnsi="Verdana"/>
          <w:lang w:val="en-HK"/>
        </w:rPr>
        <w:t>8</w:t>
      </w:r>
      <w:r>
        <w:rPr>
          <w:rFonts w:ascii="Verdana" w:hAnsi="Verdana"/>
          <w:lang w:val="en-HK"/>
        </w:rPr>
        <w:tab/>
        <w:t xml:space="preserve">In the context of access to employment opportunities, the ECtHR </w:t>
      </w:r>
      <w:r w:rsidR="00E046CF">
        <w:rPr>
          <w:rFonts w:ascii="Verdana" w:hAnsi="Verdana"/>
          <w:lang w:val="en-HK"/>
        </w:rPr>
        <w:t xml:space="preserve">recognised </w:t>
      </w:r>
      <w:r>
        <w:rPr>
          <w:rFonts w:ascii="Verdana" w:hAnsi="Verdana"/>
          <w:lang w:val="en-HK"/>
        </w:rPr>
        <w:t>that “</w:t>
      </w:r>
      <w:r w:rsidRPr="00472FE1">
        <w:rPr>
          <w:rFonts w:ascii="Verdana" w:hAnsi="Verdana"/>
          <w:lang w:val="en-HK"/>
        </w:rPr>
        <w:t>even where the criminal record certificate records a conviction or caution for a relatively minor, or questionably relevant, offence, a prospective employer may well feel it safer to reject the applicant</w:t>
      </w:r>
      <w:r>
        <w:rPr>
          <w:rFonts w:ascii="Verdana" w:hAnsi="Verdana"/>
          <w:lang w:val="en-HK"/>
        </w:rPr>
        <w:t>”</w:t>
      </w:r>
      <w:r w:rsidR="00E046CF">
        <w:rPr>
          <w:rFonts w:ascii="Verdana" w:hAnsi="Verdana"/>
          <w:lang w:val="en-HK"/>
        </w:rPr>
        <w:t>.</w:t>
      </w:r>
      <w:r w:rsidR="00780F29">
        <w:rPr>
          <w:rStyle w:val="FootnoteReference"/>
          <w:rFonts w:ascii="Verdana" w:hAnsi="Verdana"/>
          <w:lang w:val="en-HK"/>
        </w:rPr>
        <w:footnoteReference w:id="23"/>
      </w:r>
      <w:r w:rsidR="00E046CF">
        <w:rPr>
          <w:rFonts w:ascii="Verdana" w:hAnsi="Verdana"/>
          <w:lang w:val="en-HK"/>
        </w:rPr>
        <w:t xml:space="preserve"> It further affirmed</w:t>
      </w:r>
      <w:r w:rsidR="00485DAA">
        <w:rPr>
          <w:rFonts w:ascii="Verdana" w:hAnsi="Verdana"/>
          <w:lang w:val="en-HK"/>
        </w:rPr>
        <w:t>,</w:t>
      </w:r>
      <w:r w:rsidR="00E046CF" w:rsidRPr="00E046CF">
        <w:rPr>
          <w:rFonts w:ascii="Verdana" w:hAnsi="Verdana"/>
          <w:lang w:val="en-HK"/>
        </w:rPr>
        <w:t xml:space="preserve"> </w:t>
      </w:r>
      <w:r w:rsidR="00485DAA">
        <w:rPr>
          <w:rFonts w:ascii="Verdana" w:hAnsi="Verdana"/>
          <w:lang w:val="en-HK"/>
        </w:rPr>
        <w:t>“</w:t>
      </w:r>
      <w:r w:rsidR="00E046CF" w:rsidRPr="00E046CF">
        <w:rPr>
          <w:rFonts w:ascii="Verdana" w:hAnsi="Verdana"/>
          <w:lang w:val="en-HK"/>
        </w:rPr>
        <w:t xml:space="preserve">it is realistic to assume that, in the majority of cases, an adverse criminal record certificate will represent something close to a </w:t>
      </w:r>
      <w:r w:rsidR="00E046CF">
        <w:rPr>
          <w:rFonts w:ascii="Verdana" w:hAnsi="Verdana"/>
          <w:lang w:val="en-HK"/>
        </w:rPr>
        <w:t>‘</w:t>
      </w:r>
      <w:r w:rsidR="00E046CF" w:rsidRPr="00E046CF">
        <w:rPr>
          <w:rFonts w:ascii="Verdana" w:hAnsi="Verdana"/>
          <w:lang w:val="en-HK"/>
        </w:rPr>
        <w:t>killer blow</w:t>
      </w:r>
      <w:r w:rsidR="00E046CF">
        <w:rPr>
          <w:rFonts w:ascii="Verdana" w:hAnsi="Verdana"/>
          <w:lang w:val="en-HK"/>
        </w:rPr>
        <w:t>’</w:t>
      </w:r>
      <w:r w:rsidR="00E046CF" w:rsidRPr="00E046CF">
        <w:rPr>
          <w:rFonts w:ascii="Verdana" w:hAnsi="Verdana"/>
          <w:lang w:val="en-HK"/>
        </w:rPr>
        <w:t xml:space="preserve"> to the hopes of a person who aspires to any post which falls within the scope of disclosure requirements</w:t>
      </w:r>
      <w:r w:rsidR="00E046CF">
        <w:rPr>
          <w:rFonts w:ascii="Verdana" w:hAnsi="Verdana"/>
          <w:lang w:val="en-HK"/>
        </w:rPr>
        <w:t>”.</w:t>
      </w:r>
      <w:r w:rsidR="00780F29">
        <w:rPr>
          <w:rStyle w:val="FootnoteReference"/>
          <w:rFonts w:ascii="Verdana" w:hAnsi="Verdana"/>
          <w:lang w:val="en-HK"/>
        </w:rPr>
        <w:footnoteReference w:id="24"/>
      </w:r>
    </w:p>
    <w:p w14:paraId="2EF4DAB9" w14:textId="77777777" w:rsidR="00B92EA6" w:rsidRPr="002D306D" w:rsidRDefault="00B92EA6" w:rsidP="00B92EA6">
      <w:pPr>
        <w:pStyle w:val="BasicParagraph"/>
        <w:suppressAutoHyphens/>
        <w:rPr>
          <w:rFonts w:ascii="Verdana" w:hAnsi="Verdana"/>
          <w:lang w:val="en-HK"/>
        </w:rPr>
      </w:pPr>
    </w:p>
    <w:p w14:paraId="0277AB5A" w14:textId="6E5A3562" w:rsidR="00B92EA6" w:rsidRDefault="00BB086C" w:rsidP="00BB086C">
      <w:pPr>
        <w:pStyle w:val="BasicParagraph"/>
        <w:suppressAutoHyphens/>
        <w:ind w:left="720" w:hanging="720"/>
        <w:rPr>
          <w:rFonts w:ascii="Verdana" w:hAnsi="Verdana"/>
        </w:rPr>
      </w:pPr>
      <w:r>
        <w:rPr>
          <w:rFonts w:ascii="Verdana" w:hAnsi="Verdana"/>
        </w:rPr>
        <w:t>2.2.</w:t>
      </w:r>
      <w:r w:rsidR="0019158C">
        <w:rPr>
          <w:rFonts w:ascii="Verdana" w:hAnsi="Verdana"/>
        </w:rPr>
        <w:t>9</w:t>
      </w:r>
      <w:r>
        <w:rPr>
          <w:rFonts w:ascii="Verdana" w:hAnsi="Verdana"/>
        </w:rPr>
        <w:t xml:space="preserve"> </w:t>
      </w:r>
      <w:r w:rsidR="00B92EA6">
        <w:rPr>
          <w:rFonts w:ascii="Verdana" w:hAnsi="Verdana"/>
        </w:rPr>
        <w:t>In light of the above, the Commission supports the proposal to reform legislation governing the rehabilitation of offenders in Northern Ireland.</w:t>
      </w:r>
      <w:r w:rsidR="00780F29">
        <w:rPr>
          <w:rFonts w:ascii="Verdana" w:hAnsi="Verdana"/>
        </w:rPr>
        <w:t xml:space="preserve"> </w:t>
      </w:r>
      <w:r w:rsidR="00B92EA6">
        <w:rPr>
          <w:rFonts w:ascii="Verdana" w:hAnsi="Verdana"/>
        </w:rPr>
        <w:t xml:space="preserve">The Commission </w:t>
      </w:r>
      <w:r w:rsidR="003B118A">
        <w:rPr>
          <w:rFonts w:ascii="Verdana" w:hAnsi="Verdana"/>
        </w:rPr>
        <w:t>outlines its recommendations below.</w:t>
      </w:r>
    </w:p>
    <w:p w14:paraId="43F53B64" w14:textId="77777777" w:rsidR="009554ED" w:rsidRDefault="009554ED" w:rsidP="009554ED">
      <w:pPr>
        <w:pStyle w:val="BasicParagraph"/>
        <w:suppressAutoHyphens/>
        <w:rPr>
          <w:rFonts w:ascii="Verdana" w:hAnsi="Verdana"/>
          <w:b/>
          <w:bCs/>
          <w:lang w:val="en-HK"/>
        </w:rPr>
      </w:pPr>
    </w:p>
    <w:p w14:paraId="31F43ECD" w14:textId="77777777" w:rsidR="008B37E0" w:rsidRPr="007D47FF" w:rsidRDefault="009554ED" w:rsidP="009554ED">
      <w:pPr>
        <w:pStyle w:val="BasicParagraph"/>
        <w:suppressAutoHyphens/>
        <w:rPr>
          <w:rFonts w:ascii="Verdana" w:hAnsi="Verdana" w:cs="Arial"/>
          <w:b/>
          <w:color w:val="77328A"/>
          <w:sz w:val="30"/>
          <w:szCs w:val="30"/>
        </w:rPr>
      </w:pPr>
      <w:r w:rsidRPr="007D47FF">
        <w:rPr>
          <w:rFonts w:ascii="Verdana" w:hAnsi="Verdana" w:cs="Arial"/>
          <w:b/>
          <w:color w:val="77328A"/>
          <w:sz w:val="30"/>
          <w:szCs w:val="30"/>
        </w:rPr>
        <w:t>3.</w:t>
      </w:r>
      <w:r w:rsidR="007D47FF" w:rsidRPr="007D47FF">
        <w:rPr>
          <w:rFonts w:ascii="Verdana" w:hAnsi="Verdana" w:cs="Arial"/>
          <w:b/>
          <w:color w:val="77328A"/>
          <w:sz w:val="30"/>
          <w:szCs w:val="30"/>
        </w:rPr>
        <w:t>0</w:t>
      </w:r>
      <w:r w:rsidRPr="007D47FF">
        <w:rPr>
          <w:rFonts w:ascii="Verdana" w:hAnsi="Verdana" w:cs="Arial"/>
          <w:b/>
          <w:color w:val="77328A"/>
          <w:sz w:val="30"/>
          <w:szCs w:val="30"/>
        </w:rPr>
        <w:tab/>
        <w:t>A</w:t>
      </w:r>
      <w:r w:rsidR="008B37E0" w:rsidRPr="007D47FF">
        <w:rPr>
          <w:rFonts w:ascii="Verdana" w:hAnsi="Verdana" w:cs="Arial"/>
          <w:b/>
          <w:color w:val="77328A"/>
          <w:sz w:val="30"/>
          <w:szCs w:val="30"/>
        </w:rPr>
        <w:t>doption of a two-part rehabilitation period</w:t>
      </w:r>
    </w:p>
    <w:p w14:paraId="021A164B" w14:textId="77777777" w:rsidR="008B37E0" w:rsidRDefault="008B37E0" w:rsidP="008B37E0">
      <w:pPr>
        <w:pStyle w:val="BasicParagraph"/>
        <w:suppressAutoHyphens/>
        <w:rPr>
          <w:rFonts w:ascii="Verdana" w:hAnsi="Verdana"/>
          <w:lang w:val="en-HK"/>
        </w:rPr>
      </w:pPr>
    </w:p>
    <w:p w14:paraId="1A54FAB4" w14:textId="10EE434D" w:rsidR="00FA2530" w:rsidRDefault="009554ED" w:rsidP="00FA2530">
      <w:pPr>
        <w:pStyle w:val="BasicParagraph"/>
        <w:suppressAutoHyphens/>
        <w:ind w:left="709" w:hanging="709"/>
        <w:rPr>
          <w:rFonts w:ascii="Verdana" w:hAnsi="Verdana"/>
          <w:lang w:val="en-HK"/>
        </w:rPr>
      </w:pPr>
      <w:r>
        <w:rPr>
          <w:rFonts w:ascii="Verdana" w:hAnsi="Verdana"/>
          <w:lang w:val="en-HK"/>
        </w:rPr>
        <w:t xml:space="preserve">3.1 </w:t>
      </w:r>
      <w:r w:rsidR="007D47FF">
        <w:rPr>
          <w:rFonts w:ascii="Verdana" w:hAnsi="Verdana"/>
          <w:lang w:val="en-HK"/>
        </w:rPr>
        <w:tab/>
      </w:r>
      <w:r w:rsidR="008B37E0">
        <w:rPr>
          <w:rFonts w:ascii="Verdana" w:hAnsi="Verdana"/>
          <w:lang w:val="en-HK"/>
        </w:rPr>
        <w:t>The present blanket approach, which applies to fines, sentences of 6 months or less, and sentences between 6 and 30 months, lacks proportionality between the</w:t>
      </w:r>
      <w:r w:rsidR="008B37E0" w:rsidRPr="00D249AF">
        <w:rPr>
          <w:rFonts w:ascii="Verdana" w:hAnsi="Verdana"/>
          <w:lang w:val="en-HK"/>
        </w:rPr>
        <w:t xml:space="preserve"> length of sentence and the rehabilitative period that follows</w:t>
      </w:r>
      <w:r w:rsidR="008B37E0">
        <w:rPr>
          <w:rFonts w:ascii="Verdana" w:hAnsi="Verdana"/>
          <w:lang w:val="en-HK"/>
        </w:rPr>
        <w:t xml:space="preserve">. </w:t>
      </w:r>
      <w:r w:rsidR="00292025">
        <w:rPr>
          <w:rFonts w:ascii="Verdana" w:hAnsi="Verdana"/>
          <w:lang w:val="en-HK"/>
        </w:rPr>
        <w:t xml:space="preserve">This also runs contrary to </w:t>
      </w:r>
      <w:r w:rsidR="005A1173">
        <w:rPr>
          <w:rFonts w:ascii="Verdana" w:hAnsi="Verdana"/>
          <w:lang w:val="en-HK"/>
        </w:rPr>
        <w:t xml:space="preserve">the Council of Europe’s recommendation that member states “provide for an automatic rehabilitation after a reasonably short period of time and, if appropriate, in addition a possibility of rehabilitation at an earlier moment at the request </w:t>
      </w:r>
      <w:r w:rsidR="005A1173">
        <w:rPr>
          <w:rFonts w:ascii="Verdana" w:hAnsi="Verdana"/>
          <w:lang w:val="en-HK"/>
        </w:rPr>
        <w:lastRenderedPageBreak/>
        <w:t>of the person concerned”</w:t>
      </w:r>
      <w:r w:rsidR="00052DA4">
        <w:rPr>
          <w:rFonts w:ascii="Verdana" w:hAnsi="Verdana"/>
          <w:lang w:val="en-HK"/>
        </w:rPr>
        <w:t>.</w:t>
      </w:r>
      <w:r w:rsidR="00AD4B1E">
        <w:rPr>
          <w:rStyle w:val="FootnoteReference"/>
          <w:rFonts w:ascii="Verdana" w:hAnsi="Verdana"/>
          <w:lang w:val="en-HK"/>
        </w:rPr>
        <w:footnoteReference w:id="25"/>
      </w:r>
    </w:p>
    <w:p w14:paraId="063FEFF8" w14:textId="5DE5C240" w:rsidR="0014137D" w:rsidRDefault="0014137D" w:rsidP="00FA2530">
      <w:pPr>
        <w:pStyle w:val="BasicParagraph"/>
        <w:suppressAutoHyphens/>
        <w:ind w:left="709" w:hanging="709"/>
        <w:rPr>
          <w:rFonts w:ascii="Verdana" w:hAnsi="Verdana"/>
          <w:lang w:val="en-HK"/>
        </w:rPr>
      </w:pPr>
    </w:p>
    <w:p w14:paraId="525A0430" w14:textId="2BF03901" w:rsidR="0014137D" w:rsidRDefault="0014137D" w:rsidP="00FA2530">
      <w:pPr>
        <w:pStyle w:val="BasicParagraph"/>
        <w:suppressAutoHyphens/>
        <w:ind w:left="709" w:hanging="709"/>
        <w:rPr>
          <w:rFonts w:ascii="Verdana" w:hAnsi="Verdana"/>
          <w:lang w:val="en-HK"/>
        </w:rPr>
      </w:pPr>
      <w:r>
        <w:rPr>
          <w:rFonts w:ascii="Verdana" w:hAnsi="Verdana"/>
          <w:lang w:val="en-HK"/>
        </w:rPr>
        <w:t>3.2</w:t>
      </w:r>
      <w:r>
        <w:rPr>
          <w:rFonts w:ascii="Verdana" w:hAnsi="Verdana"/>
          <w:lang w:val="en-HK"/>
        </w:rPr>
        <w:tab/>
      </w:r>
      <w:r w:rsidR="00A869B2">
        <w:rPr>
          <w:rFonts w:ascii="Verdana" w:hAnsi="Verdana"/>
          <w:lang w:val="en-HK"/>
        </w:rPr>
        <w:t xml:space="preserve">Reforms </w:t>
      </w:r>
      <w:r w:rsidR="00C92497">
        <w:rPr>
          <w:rFonts w:ascii="Verdana" w:hAnsi="Verdana"/>
          <w:lang w:val="en-HK"/>
        </w:rPr>
        <w:t xml:space="preserve">to </w:t>
      </w:r>
      <w:r w:rsidR="00A869B2">
        <w:rPr>
          <w:rFonts w:ascii="Verdana" w:hAnsi="Verdana"/>
          <w:lang w:val="en-HK"/>
        </w:rPr>
        <w:t>rehabilitation of offenders legislation in Scotland, England and Wales introduced two-part rehabilitation periods, typically made up of the length of an offender’s sentence plus a buffer period.</w:t>
      </w:r>
      <w:r w:rsidR="00472FE1">
        <w:rPr>
          <w:rFonts w:ascii="Verdana" w:hAnsi="Verdana"/>
          <w:lang w:val="en-HK"/>
        </w:rPr>
        <w:t xml:space="preserve"> </w:t>
      </w:r>
    </w:p>
    <w:p w14:paraId="528788A4" w14:textId="77777777" w:rsidR="008B37E0" w:rsidRDefault="008B37E0" w:rsidP="008B37E0">
      <w:pPr>
        <w:pStyle w:val="BasicParagraph"/>
        <w:suppressAutoHyphens/>
        <w:rPr>
          <w:rFonts w:ascii="Verdana" w:hAnsi="Verdana"/>
          <w:lang w:val="en-HK"/>
        </w:rPr>
      </w:pPr>
    </w:p>
    <w:p w14:paraId="3491D6B1" w14:textId="4B7CA76D" w:rsidR="008B37E0" w:rsidRDefault="009554ED" w:rsidP="00E834B0">
      <w:pPr>
        <w:pStyle w:val="BasicParagraph"/>
        <w:suppressAutoHyphens/>
        <w:ind w:left="709" w:hanging="709"/>
        <w:rPr>
          <w:rFonts w:ascii="Verdana" w:hAnsi="Verdana"/>
          <w:lang w:val="en-HK"/>
        </w:rPr>
      </w:pPr>
      <w:r>
        <w:rPr>
          <w:rFonts w:ascii="Verdana" w:hAnsi="Verdana"/>
          <w:lang w:val="en-HK"/>
        </w:rPr>
        <w:t>3.</w:t>
      </w:r>
      <w:r w:rsidR="00514E52">
        <w:rPr>
          <w:rFonts w:ascii="Verdana" w:hAnsi="Verdana"/>
          <w:lang w:val="en-HK"/>
        </w:rPr>
        <w:t>3</w:t>
      </w:r>
      <w:r w:rsidR="007D47FF">
        <w:rPr>
          <w:rFonts w:ascii="Verdana" w:hAnsi="Verdana"/>
          <w:lang w:val="en-HK"/>
        </w:rPr>
        <w:tab/>
      </w:r>
      <w:r w:rsidR="004C1675">
        <w:rPr>
          <w:rFonts w:ascii="Verdana" w:hAnsi="Verdana"/>
          <w:lang w:val="en-HK"/>
        </w:rPr>
        <w:t xml:space="preserve">While </w:t>
      </w:r>
      <w:r w:rsidR="00B9296C">
        <w:rPr>
          <w:rFonts w:ascii="Verdana" w:hAnsi="Verdana"/>
          <w:lang w:val="en-HK"/>
        </w:rPr>
        <w:t>the</w:t>
      </w:r>
      <w:r w:rsidR="000632ED">
        <w:rPr>
          <w:rFonts w:ascii="Verdana" w:hAnsi="Verdana"/>
          <w:lang w:val="en-HK"/>
        </w:rPr>
        <w:t>se</w:t>
      </w:r>
      <w:r w:rsidR="00B9296C">
        <w:rPr>
          <w:rFonts w:ascii="Verdana" w:hAnsi="Verdana"/>
          <w:lang w:val="en-HK"/>
        </w:rPr>
        <w:t xml:space="preserve"> </w:t>
      </w:r>
      <w:r w:rsidR="0079404A">
        <w:rPr>
          <w:rFonts w:ascii="Verdana" w:hAnsi="Verdana"/>
          <w:lang w:val="en-HK"/>
        </w:rPr>
        <w:t>reforms</w:t>
      </w:r>
      <w:r w:rsidR="00B9296C">
        <w:rPr>
          <w:rFonts w:ascii="Verdana" w:hAnsi="Verdana"/>
          <w:lang w:val="en-HK"/>
        </w:rPr>
        <w:t xml:space="preserve"> </w:t>
      </w:r>
      <w:r w:rsidR="000632ED">
        <w:rPr>
          <w:rFonts w:ascii="Verdana" w:hAnsi="Verdana"/>
          <w:lang w:val="en-HK"/>
        </w:rPr>
        <w:t xml:space="preserve">have </w:t>
      </w:r>
      <w:r w:rsidR="007A0158">
        <w:rPr>
          <w:rFonts w:ascii="Verdana" w:hAnsi="Verdana"/>
          <w:lang w:val="en-HK"/>
        </w:rPr>
        <w:t>overall</w:t>
      </w:r>
      <w:r w:rsidR="000632ED">
        <w:rPr>
          <w:rFonts w:ascii="Verdana" w:hAnsi="Verdana"/>
          <w:lang w:val="en-HK"/>
        </w:rPr>
        <w:t xml:space="preserve"> been welcomed as long-overdue</w:t>
      </w:r>
      <w:r w:rsidR="00446916">
        <w:rPr>
          <w:rFonts w:ascii="Verdana" w:hAnsi="Verdana"/>
          <w:lang w:val="en-HK"/>
        </w:rPr>
        <w:t xml:space="preserve">, </w:t>
      </w:r>
      <w:r w:rsidR="0019201A">
        <w:rPr>
          <w:rFonts w:ascii="Verdana" w:hAnsi="Verdana"/>
          <w:lang w:val="en-HK"/>
        </w:rPr>
        <w:t xml:space="preserve">Unlock, an independent charity advocating for the rights of people with criminal records in England and Wales, </w:t>
      </w:r>
      <w:r w:rsidR="00936987">
        <w:rPr>
          <w:rFonts w:ascii="Verdana" w:hAnsi="Verdana"/>
          <w:lang w:val="en-HK"/>
        </w:rPr>
        <w:t>has raise</w:t>
      </w:r>
      <w:r w:rsidR="00D04AD6">
        <w:rPr>
          <w:rFonts w:ascii="Verdana" w:hAnsi="Verdana"/>
          <w:lang w:val="en-HK"/>
        </w:rPr>
        <w:t>d</w:t>
      </w:r>
      <w:r w:rsidR="00936987">
        <w:rPr>
          <w:rFonts w:ascii="Verdana" w:hAnsi="Verdana"/>
          <w:lang w:val="en-HK"/>
        </w:rPr>
        <w:t xml:space="preserve"> </w:t>
      </w:r>
      <w:r w:rsidR="00D04AD6">
        <w:rPr>
          <w:rFonts w:ascii="Verdana" w:hAnsi="Verdana"/>
          <w:lang w:val="en-HK"/>
        </w:rPr>
        <w:t xml:space="preserve">a </w:t>
      </w:r>
      <w:r w:rsidR="00446916">
        <w:rPr>
          <w:rFonts w:ascii="Verdana" w:hAnsi="Verdana"/>
          <w:lang w:val="en-HK"/>
        </w:rPr>
        <w:t xml:space="preserve">concern that </w:t>
      </w:r>
      <w:r w:rsidR="00ED08BB">
        <w:rPr>
          <w:rFonts w:ascii="Verdana" w:hAnsi="Verdana"/>
          <w:lang w:val="en-HK"/>
        </w:rPr>
        <w:t xml:space="preserve">the </w:t>
      </w:r>
      <w:r w:rsidR="00D04AD6">
        <w:rPr>
          <w:rFonts w:ascii="Verdana" w:hAnsi="Verdana"/>
          <w:lang w:val="en-HK"/>
        </w:rPr>
        <w:t xml:space="preserve">designated </w:t>
      </w:r>
      <w:r w:rsidR="00ED08BB">
        <w:rPr>
          <w:rFonts w:ascii="Verdana" w:hAnsi="Verdana"/>
          <w:lang w:val="en-HK"/>
        </w:rPr>
        <w:t>rehabilitation periods are arbitrary and not drawn from evidence</w:t>
      </w:r>
      <w:r w:rsidR="00692A45">
        <w:rPr>
          <w:rFonts w:ascii="Verdana" w:hAnsi="Verdana"/>
          <w:lang w:val="en-HK"/>
        </w:rPr>
        <w:t>.</w:t>
      </w:r>
      <w:r w:rsidR="0019201A">
        <w:rPr>
          <w:rStyle w:val="FootnoteReference"/>
          <w:rFonts w:ascii="Verdana" w:hAnsi="Verdana"/>
          <w:lang w:val="en-HK"/>
        </w:rPr>
        <w:footnoteReference w:id="26"/>
      </w:r>
      <w:r w:rsidR="00ED08BB">
        <w:rPr>
          <w:rFonts w:ascii="Verdana" w:hAnsi="Verdana"/>
          <w:lang w:val="en-HK"/>
        </w:rPr>
        <w:t xml:space="preserve"> </w:t>
      </w:r>
    </w:p>
    <w:p w14:paraId="7EC3F3D0" w14:textId="3E6D7E9B" w:rsidR="007235EB" w:rsidRDefault="007235EB" w:rsidP="00E834B0">
      <w:pPr>
        <w:pStyle w:val="BasicParagraph"/>
        <w:suppressAutoHyphens/>
        <w:ind w:left="709" w:hanging="709"/>
        <w:rPr>
          <w:rFonts w:ascii="Verdana" w:hAnsi="Verdana"/>
          <w:lang w:val="en-HK"/>
        </w:rPr>
      </w:pPr>
    </w:p>
    <w:p w14:paraId="099EC685" w14:textId="7EC153B5" w:rsidR="007235EB" w:rsidRDefault="009E39D9" w:rsidP="00E834B0">
      <w:pPr>
        <w:pStyle w:val="BasicParagraph"/>
        <w:suppressAutoHyphens/>
        <w:ind w:left="709" w:hanging="709"/>
        <w:rPr>
          <w:rFonts w:ascii="Verdana" w:hAnsi="Verdana"/>
          <w:lang w:val="en-HK"/>
        </w:rPr>
      </w:pPr>
      <w:r>
        <w:rPr>
          <w:rFonts w:ascii="Verdana" w:hAnsi="Verdana"/>
          <w:lang w:val="en-HK"/>
        </w:rPr>
        <w:t>3.4</w:t>
      </w:r>
      <w:r>
        <w:rPr>
          <w:rFonts w:ascii="Verdana" w:hAnsi="Verdana"/>
          <w:lang w:val="en-HK"/>
        </w:rPr>
        <w:tab/>
      </w:r>
      <w:r w:rsidR="00B941DF">
        <w:rPr>
          <w:rFonts w:ascii="Verdana" w:hAnsi="Verdana"/>
          <w:lang w:val="en-HK"/>
        </w:rPr>
        <w:t>Moreover</w:t>
      </w:r>
      <w:r w:rsidR="009E407A">
        <w:rPr>
          <w:rFonts w:ascii="Verdana" w:hAnsi="Verdana"/>
          <w:lang w:val="en-HK"/>
        </w:rPr>
        <w:t xml:space="preserve">, </w:t>
      </w:r>
      <w:r w:rsidR="000D13A3">
        <w:rPr>
          <w:rFonts w:ascii="Verdana" w:hAnsi="Verdana"/>
          <w:lang w:val="en-HK"/>
        </w:rPr>
        <w:t xml:space="preserve">in 2020 </w:t>
      </w:r>
      <w:r w:rsidR="009E407A">
        <w:rPr>
          <w:rFonts w:ascii="Verdana" w:hAnsi="Verdana"/>
          <w:lang w:val="en-HK"/>
        </w:rPr>
        <w:t xml:space="preserve">the Ministry of Justice </w:t>
      </w:r>
      <w:r w:rsidR="00540A17">
        <w:rPr>
          <w:rFonts w:ascii="Verdana" w:hAnsi="Verdana"/>
          <w:lang w:val="en-HK"/>
        </w:rPr>
        <w:t>articulated that it is proposing to</w:t>
      </w:r>
      <w:r w:rsidR="009E407A">
        <w:rPr>
          <w:rFonts w:ascii="Verdana" w:hAnsi="Verdana"/>
          <w:lang w:val="en-HK"/>
        </w:rPr>
        <w:t xml:space="preserve"> further limit the number of former offenders who will have to </w:t>
      </w:r>
      <w:r w:rsidR="00BD3D98">
        <w:rPr>
          <w:rFonts w:ascii="Verdana" w:hAnsi="Verdana"/>
          <w:lang w:val="en-HK"/>
        </w:rPr>
        <w:t>disclose prior convictions</w:t>
      </w:r>
      <w:r w:rsidR="00DB7954">
        <w:rPr>
          <w:rFonts w:ascii="Verdana" w:hAnsi="Verdana"/>
          <w:lang w:val="en-HK"/>
        </w:rPr>
        <w:t xml:space="preserve"> as part of basic checks for employment, by</w:t>
      </w:r>
      <w:r w:rsidR="008B26FB">
        <w:rPr>
          <w:rFonts w:ascii="Verdana" w:hAnsi="Verdana"/>
          <w:lang w:val="en-HK"/>
        </w:rPr>
        <w:t xml:space="preserve"> positively</w:t>
      </w:r>
      <w:r w:rsidR="009E407A" w:rsidRPr="009E407A">
        <w:rPr>
          <w:rFonts w:ascii="Verdana" w:hAnsi="Verdana"/>
          <w:lang w:val="en-HK"/>
        </w:rPr>
        <w:t xml:space="preserve"> changing the rehabilitation periods govern</w:t>
      </w:r>
      <w:r w:rsidR="00DB7954">
        <w:rPr>
          <w:rFonts w:ascii="Verdana" w:hAnsi="Verdana"/>
          <w:lang w:val="en-HK"/>
        </w:rPr>
        <w:t>ing</w:t>
      </w:r>
      <w:r w:rsidR="009E407A" w:rsidRPr="009E407A">
        <w:rPr>
          <w:rFonts w:ascii="Verdana" w:hAnsi="Verdana"/>
          <w:lang w:val="en-HK"/>
        </w:rPr>
        <w:t xml:space="preserve"> the length of time before a conviction becomes spent.</w:t>
      </w:r>
      <w:r w:rsidR="00202A64">
        <w:rPr>
          <w:rStyle w:val="FootnoteReference"/>
          <w:rFonts w:ascii="Verdana" w:hAnsi="Verdana"/>
          <w:lang w:val="en-HK"/>
        </w:rPr>
        <w:footnoteReference w:id="27"/>
      </w:r>
    </w:p>
    <w:p w14:paraId="59E61958" w14:textId="77777777" w:rsidR="00DA273E" w:rsidRDefault="00DA273E" w:rsidP="00E834B0">
      <w:pPr>
        <w:pStyle w:val="BasicParagraph"/>
        <w:suppressAutoHyphens/>
        <w:ind w:left="709" w:hanging="709"/>
        <w:rPr>
          <w:rFonts w:ascii="Verdana" w:hAnsi="Verdana"/>
          <w:lang w:val="en-HK"/>
        </w:rPr>
      </w:pPr>
    </w:p>
    <w:p w14:paraId="6B672506" w14:textId="2A7E22A9" w:rsidR="007D47FF" w:rsidRPr="007D47FF" w:rsidRDefault="00DA273E" w:rsidP="00E924DE">
      <w:pPr>
        <w:pStyle w:val="BasicParagraph"/>
        <w:suppressAutoHyphens/>
        <w:ind w:left="709" w:hanging="709"/>
        <w:rPr>
          <w:rFonts w:ascii="Verdana" w:hAnsi="Verdana"/>
          <w:b/>
          <w:bCs/>
          <w:lang w:val="en-HK"/>
        </w:rPr>
      </w:pPr>
      <w:r w:rsidRPr="007D47FF">
        <w:rPr>
          <w:rFonts w:ascii="Verdana" w:hAnsi="Verdana"/>
          <w:b/>
          <w:bCs/>
          <w:lang w:val="en-HK"/>
        </w:rPr>
        <w:t>3.</w:t>
      </w:r>
      <w:r w:rsidR="00F94776">
        <w:rPr>
          <w:rFonts w:ascii="Verdana" w:hAnsi="Verdana"/>
          <w:b/>
          <w:bCs/>
          <w:lang w:val="en-HK"/>
        </w:rPr>
        <w:t>5</w:t>
      </w:r>
      <w:r w:rsidR="007D47FF">
        <w:rPr>
          <w:rFonts w:ascii="Verdana" w:hAnsi="Verdana"/>
          <w:b/>
          <w:bCs/>
          <w:lang w:val="en-HK"/>
        </w:rPr>
        <w:tab/>
      </w:r>
      <w:r w:rsidR="000960E8">
        <w:rPr>
          <w:rFonts w:ascii="Verdana" w:hAnsi="Verdana"/>
          <w:b/>
          <w:bCs/>
          <w:lang w:val="en-HK"/>
        </w:rPr>
        <w:t xml:space="preserve">In light of these considerations, the Commission recommends that the proposed adoption of a </w:t>
      </w:r>
      <w:r w:rsidRPr="007D47FF">
        <w:rPr>
          <w:rFonts w:ascii="Verdana" w:hAnsi="Verdana"/>
          <w:b/>
          <w:bCs/>
          <w:lang w:val="en-HK"/>
        </w:rPr>
        <w:t xml:space="preserve">two-part rehabilitation approach be </w:t>
      </w:r>
      <w:r w:rsidR="000960E8">
        <w:rPr>
          <w:rFonts w:ascii="Verdana" w:hAnsi="Verdana"/>
          <w:b/>
          <w:bCs/>
          <w:lang w:val="en-HK"/>
        </w:rPr>
        <w:t xml:space="preserve">further </w:t>
      </w:r>
      <w:r w:rsidR="00083E11">
        <w:rPr>
          <w:rFonts w:ascii="Verdana" w:hAnsi="Verdana"/>
          <w:b/>
          <w:bCs/>
          <w:lang w:val="en-HK"/>
        </w:rPr>
        <w:t>examined</w:t>
      </w:r>
      <w:r w:rsidR="000960E8">
        <w:rPr>
          <w:rFonts w:ascii="Verdana" w:hAnsi="Verdana"/>
          <w:b/>
          <w:bCs/>
          <w:lang w:val="en-HK"/>
        </w:rPr>
        <w:t xml:space="preserve">, taking </w:t>
      </w:r>
      <w:r w:rsidR="008B26FB">
        <w:rPr>
          <w:rFonts w:ascii="Verdana" w:hAnsi="Verdana"/>
          <w:b/>
          <w:bCs/>
          <w:lang w:val="en-HK"/>
        </w:rPr>
        <w:t xml:space="preserve">into </w:t>
      </w:r>
      <w:r w:rsidR="000960E8">
        <w:rPr>
          <w:rFonts w:ascii="Verdana" w:hAnsi="Verdana"/>
          <w:b/>
          <w:bCs/>
          <w:lang w:val="en-HK"/>
        </w:rPr>
        <w:t xml:space="preserve">account </w:t>
      </w:r>
      <w:r w:rsidR="008B26FB">
        <w:rPr>
          <w:rFonts w:ascii="Verdana" w:hAnsi="Verdana"/>
          <w:b/>
          <w:bCs/>
          <w:lang w:val="en-HK"/>
        </w:rPr>
        <w:t xml:space="preserve">the </w:t>
      </w:r>
      <w:r w:rsidR="00995408">
        <w:rPr>
          <w:rFonts w:ascii="Verdana" w:hAnsi="Verdana"/>
          <w:b/>
          <w:bCs/>
          <w:lang w:val="en-HK"/>
        </w:rPr>
        <w:t>experience in Scotland, England and Wales</w:t>
      </w:r>
      <w:r w:rsidRPr="007D47FF">
        <w:rPr>
          <w:rFonts w:ascii="Verdana" w:hAnsi="Verdana"/>
          <w:b/>
          <w:bCs/>
          <w:lang w:val="en-HK"/>
        </w:rPr>
        <w:t>.</w:t>
      </w:r>
    </w:p>
    <w:p w14:paraId="6F045222" w14:textId="56A58F82" w:rsidR="008B37E0" w:rsidRDefault="008B37E0" w:rsidP="008B37E0">
      <w:pPr>
        <w:pStyle w:val="BasicParagraph"/>
        <w:suppressAutoHyphens/>
        <w:rPr>
          <w:rFonts w:ascii="Verdana" w:hAnsi="Verdana"/>
          <w:lang w:val="en-HK"/>
        </w:rPr>
      </w:pPr>
    </w:p>
    <w:p w14:paraId="13CFE567" w14:textId="77777777" w:rsidR="008B37E0" w:rsidRDefault="007D47FF" w:rsidP="00864384">
      <w:pPr>
        <w:pStyle w:val="BasicParagraph"/>
        <w:suppressAutoHyphens/>
        <w:ind w:left="709" w:hanging="709"/>
        <w:rPr>
          <w:rFonts w:ascii="Verdana" w:hAnsi="Verdana"/>
          <w:b/>
          <w:bCs/>
          <w:lang w:val="en-HK"/>
        </w:rPr>
      </w:pPr>
      <w:r>
        <w:rPr>
          <w:rFonts w:ascii="Verdana" w:hAnsi="Verdana" w:cs="Arial"/>
          <w:b/>
          <w:color w:val="77328A"/>
          <w:sz w:val="30"/>
          <w:szCs w:val="30"/>
        </w:rPr>
        <w:t>4</w:t>
      </w:r>
      <w:r w:rsidR="009554ED" w:rsidRPr="007D47FF">
        <w:rPr>
          <w:rFonts w:ascii="Verdana" w:hAnsi="Verdana" w:cs="Arial"/>
          <w:b/>
          <w:color w:val="77328A"/>
          <w:sz w:val="30"/>
          <w:szCs w:val="30"/>
        </w:rPr>
        <w:t>.</w:t>
      </w:r>
      <w:r>
        <w:rPr>
          <w:rFonts w:ascii="Verdana" w:hAnsi="Verdana" w:cs="Arial"/>
          <w:b/>
          <w:color w:val="77328A"/>
          <w:sz w:val="30"/>
          <w:szCs w:val="30"/>
        </w:rPr>
        <w:t>0</w:t>
      </w:r>
      <w:r w:rsidR="00864384" w:rsidRPr="007D47FF">
        <w:rPr>
          <w:rFonts w:ascii="Verdana" w:hAnsi="Verdana" w:cs="Arial"/>
          <w:b/>
          <w:color w:val="77328A"/>
          <w:sz w:val="30"/>
          <w:szCs w:val="30"/>
        </w:rPr>
        <w:tab/>
      </w:r>
      <w:r w:rsidR="00864384" w:rsidRPr="007D47FF">
        <w:rPr>
          <w:rFonts w:ascii="Verdana" w:hAnsi="Verdana" w:cs="Arial"/>
          <w:b/>
          <w:color w:val="77328A"/>
          <w:sz w:val="30"/>
          <w:szCs w:val="30"/>
        </w:rPr>
        <w:tab/>
      </w:r>
      <w:r w:rsidR="009554ED" w:rsidRPr="007D47FF">
        <w:rPr>
          <w:rFonts w:ascii="Verdana" w:hAnsi="Verdana" w:cs="Arial"/>
          <w:b/>
          <w:color w:val="77328A"/>
          <w:sz w:val="30"/>
          <w:szCs w:val="30"/>
        </w:rPr>
        <w:t>R</w:t>
      </w:r>
      <w:r w:rsidR="008B37E0" w:rsidRPr="007D47FF">
        <w:rPr>
          <w:rFonts w:ascii="Verdana" w:hAnsi="Verdana" w:cs="Arial"/>
          <w:b/>
          <w:color w:val="77328A"/>
          <w:sz w:val="30"/>
          <w:szCs w:val="30"/>
        </w:rPr>
        <w:t xml:space="preserve">eview of </w:t>
      </w:r>
      <w:r>
        <w:rPr>
          <w:rFonts w:ascii="Verdana" w:hAnsi="Verdana" w:cs="Arial"/>
          <w:b/>
          <w:color w:val="77328A"/>
          <w:sz w:val="30"/>
          <w:szCs w:val="30"/>
        </w:rPr>
        <w:t>r</w:t>
      </w:r>
      <w:r w:rsidR="008B37E0" w:rsidRPr="007D47FF">
        <w:rPr>
          <w:rFonts w:ascii="Verdana" w:hAnsi="Verdana" w:cs="Arial"/>
          <w:b/>
          <w:color w:val="77328A"/>
          <w:sz w:val="30"/>
          <w:szCs w:val="30"/>
        </w:rPr>
        <w:t xml:space="preserve">ehabilitation </w:t>
      </w:r>
      <w:r>
        <w:rPr>
          <w:rFonts w:ascii="Verdana" w:hAnsi="Verdana" w:cs="Arial"/>
          <w:b/>
          <w:color w:val="77328A"/>
          <w:sz w:val="30"/>
          <w:szCs w:val="30"/>
        </w:rPr>
        <w:t>p</w:t>
      </w:r>
      <w:r w:rsidR="008B37E0" w:rsidRPr="007D47FF">
        <w:rPr>
          <w:rFonts w:ascii="Verdana" w:hAnsi="Verdana" w:cs="Arial"/>
          <w:b/>
          <w:color w:val="77328A"/>
          <w:sz w:val="30"/>
          <w:szCs w:val="30"/>
        </w:rPr>
        <w:t xml:space="preserve">eriods for </w:t>
      </w:r>
      <w:r>
        <w:rPr>
          <w:rFonts w:ascii="Verdana" w:hAnsi="Verdana" w:cs="Arial"/>
          <w:b/>
          <w:color w:val="77328A"/>
          <w:sz w:val="30"/>
          <w:szCs w:val="30"/>
        </w:rPr>
        <w:t>o</w:t>
      </w:r>
      <w:r w:rsidR="008B37E0" w:rsidRPr="007D47FF">
        <w:rPr>
          <w:rFonts w:ascii="Verdana" w:hAnsi="Verdana" w:cs="Arial"/>
          <w:b/>
          <w:color w:val="77328A"/>
          <w:sz w:val="30"/>
          <w:szCs w:val="30"/>
        </w:rPr>
        <w:t xml:space="preserve">ffences </w:t>
      </w:r>
      <w:r>
        <w:rPr>
          <w:rFonts w:ascii="Verdana" w:hAnsi="Verdana" w:cs="Arial"/>
          <w:b/>
          <w:color w:val="77328A"/>
          <w:sz w:val="30"/>
          <w:szCs w:val="30"/>
        </w:rPr>
        <w:t>n</w:t>
      </w:r>
      <w:r w:rsidR="008B37E0" w:rsidRPr="007D47FF">
        <w:rPr>
          <w:rFonts w:ascii="Verdana" w:hAnsi="Verdana" w:cs="Arial"/>
          <w:b/>
          <w:color w:val="77328A"/>
          <w:sz w:val="30"/>
          <w:szCs w:val="30"/>
        </w:rPr>
        <w:t xml:space="preserve">ot </w:t>
      </w:r>
      <w:r>
        <w:rPr>
          <w:rFonts w:ascii="Verdana" w:hAnsi="Verdana" w:cs="Arial"/>
          <w:b/>
          <w:color w:val="77328A"/>
          <w:sz w:val="30"/>
          <w:szCs w:val="30"/>
        </w:rPr>
        <w:t>c</w:t>
      </w:r>
      <w:r w:rsidR="008B37E0" w:rsidRPr="007D47FF">
        <w:rPr>
          <w:rFonts w:ascii="Verdana" w:hAnsi="Verdana" w:cs="Arial"/>
          <w:b/>
          <w:color w:val="77328A"/>
          <w:sz w:val="30"/>
          <w:szCs w:val="30"/>
        </w:rPr>
        <w:t>overed by t</w:t>
      </w:r>
      <w:r>
        <w:rPr>
          <w:rFonts w:ascii="Verdana" w:hAnsi="Verdana" w:cs="Arial"/>
          <w:b/>
          <w:color w:val="77328A"/>
          <w:sz w:val="30"/>
          <w:szCs w:val="30"/>
        </w:rPr>
        <w:t>he scheme</w:t>
      </w:r>
    </w:p>
    <w:p w14:paraId="29A06E6C" w14:textId="77777777" w:rsidR="008B37E0" w:rsidRDefault="008B37E0" w:rsidP="008B37E0">
      <w:pPr>
        <w:pStyle w:val="BasicParagraph"/>
        <w:suppressAutoHyphens/>
        <w:ind w:left="720"/>
        <w:rPr>
          <w:rFonts w:ascii="Verdana" w:hAnsi="Verdana"/>
          <w:b/>
          <w:bCs/>
          <w:lang w:val="en-HK"/>
        </w:rPr>
      </w:pPr>
    </w:p>
    <w:p w14:paraId="0AB8DC16" w14:textId="77777777" w:rsidR="0026219A" w:rsidRDefault="007D47FF" w:rsidP="002C4A9A">
      <w:pPr>
        <w:pStyle w:val="BasicParagraph"/>
        <w:suppressAutoHyphens/>
        <w:ind w:left="709" w:hanging="709"/>
        <w:rPr>
          <w:rFonts w:ascii="Verdana" w:hAnsi="Verdana"/>
        </w:rPr>
      </w:pPr>
      <w:r>
        <w:rPr>
          <w:rFonts w:ascii="Verdana" w:hAnsi="Verdana"/>
          <w:lang w:val="en-HK"/>
        </w:rPr>
        <w:t>4</w:t>
      </w:r>
      <w:r w:rsidR="00FB5AB4">
        <w:rPr>
          <w:rFonts w:ascii="Verdana" w:hAnsi="Verdana"/>
          <w:lang w:val="en-HK"/>
        </w:rPr>
        <w:t>.1</w:t>
      </w:r>
      <w:r>
        <w:rPr>
          <w:rFonts w:ascii="Verdana" w:hAnsi="Verdana"/>
          <w:lang w:val="en-HK"/>
        </w:rPr>
        <w:tab/>
      </w:r>
      <w:r w:rsidR="008B37E0">
        <w:rPr>
          <w:rFonts w:ascii="Verdana" w:hAnsi="Verdana"/>
          <w:lang w:val="en-HK"/>
        </w:rPr>
        <w:t xml:space="preserve">Presently, </w:t>
      </w:r>
      <w:r w:rsidR="008B37E0">
        <w:rPr>
          <w:rFonts w:ascii="Verdana" w:hAnsi="Verdana"/>
        </w:rPr>
        <w:t>Article 6(1) of the Rehabilitation of Offenders (Northern Ireland) Order 1978 prevents certain previous convictions from ever becoming ‘spent’. Such sentences include imprisonment for life, imprisonment or corrective training for a term exceeding 30 months and preventive detention. Consequently, this provision prevents those that have served sentences identified within this law from ever becoming a rehabilitated person, irrespective of their circumstances.</w:t>
      </w:r>
      <w:r w:rsidR="002C4A9A">
        <w:rPr>
          <w:rFonts w:ascii="Verdana" w:hAnsi="Verdana"/>
        </w:rPr>
        <w:t xml:space="preserve"> </w:t>
      </w:r>
    </w:p>
    <w:p w14:paraId="70DFE9F7" w14:textId="77777777" w:rsidR="008B37E0" w:rsidRDefault="008B37E0" w:rsidP="008B37E0">
      <w:pPr>
        <w:pStyle w:val="BasicParagraph"/>
        <w:suppressAutoHyphens/>
        <w:rPr>
          <w:rFonts w:ascii="Verdana" w:hAnsi="Verdana"/>
        </w:rPr>
      </w:pPr>
    </w:p>
    <w:p w14:paraId="7A53AB95" w14:textId="0AA1369B" w:rsidR="00020EC4" w:rsidRDefault="007D47FF" w:rsidP="00FB5AB4">
      <w:pPr>
        <w:pStyle w:val="BasicParagraph"/>
        <w:suppressAutoHyphens/>
        <w:ind w:left="709" w:hanging="709"/>
        <w:rPr>
          <w:rFonts w:ascii="Verdana" w:hAnsi="Verdana"/>
        </w:rPr>
      </w:pPr>
      <w:r>
        <w:rPr>
          <w:rFonts w:ascii="Verdana" w:hAnsi="Verdana"/>
        </w:rPr>
        <w:t>4</w:t>
      </w:r>
      <w:r w:rsidR="00FB5AB4">
        <w:rPr>
          <w:rFonts w:ascii="Verdana" w:hAnsi="Verdana"/>
        </w:rPr>
        <w:t>.2</w:t>
      </w:r>
      <w:r>
        <w:rPr>
          <w:rFonts w:ascii="Verdana" w:hAnsi="Verdana"/>
        </w:rPr>
        <w:tab/>
      </w:r>
      <w:r w:rsidR="008B37E0">
        <w:rPr>
          <w:rFonts w:ascii="Verdana" w:hAnsi="Verdana"/>
        </w:rPr>
        <w:t>The</w:t>
      </w:r>
      <w:r w:rsidR="00D457AE">
        <w:rPr>
          <w:rFonts w:ascii="Verdana" w:hAnsi="Verdana"/>
        </w:rPr>
        <w:t xml:space="preserve"> consultation paper </w:t>
      </w:r>
      <w:r w:rsidR="004335B9">
        <w:rPr>
          <w:rFonts w:ascii="Verdana" w:hAnsi="Verdana"/>
        </w:rPr>
        <w:t>specifies</w:t>
      </w:r>
      <w:r w:rsidR="008B37E0">
        <w:rPr>
          <w:rFonts w:ascii="Verdana" w:hAnsi="Verdana"/>
        </w:rPr>
        <w:t xml:space="preserve"> that m</w:t>
      </w:r>
      <w:r w:rsidR="008B37E0" w:rsidRPr="00297E17">
        <w:rPr>
          <w:rFonts w:ascii="Verdana" w:hAnsi="Verdana"/>
        </w:rPr>
        <w:t xml:space="preserve">easures </w:t>
      </w:r>
      <w:r w:rsidR="008B37E0">
        <w:rPr>
          <w:rFonts w:ascii="Verdana" w:hAnsi="Verdana"/>
        </w:rPr>
        <w:t>to promote</w:t>
      </w:r>
      <w:r w:rsidR="008B37E0" w:rsidRPr="00297E17">
        <w:rPr>
          <w:rFonts w:ascii="Verdana" w:hAnsi="Verdana"/>
        </w:rPr>
        <w:t xml:space="preserve"> the rehabilitation and reintegration of </w:t>
      </w:r>
      <w:r w:rsidR="008B37E0">
        <w:rPr>
          <w:rFonts w:ascii="Verdana" w:hAnsi="Verdana"/>
        </w:rPr>
        <w:t>former offenders</w:t>
      </w:r>
      <w:r w:rsidR="008B37E0" w:rsidRPr="00297E17">
        <w:rPr>
          <w:rFonts w:ascii="Verdana" w:hAnsi="Verdana"/>
        </w:rPr>
        <w:t xml:space="preserve"> must be balanced against the broader societal interests of public safety and the prevention of </w:t>
      </w:r>
      <w:r w:rsidR="008B37E0" w:rsidRPr="00297E17">
        <w:rPr>
          <w:rFonts w:ascii="Verdana" w:hAnsi="Verdana"/>
        </w:rPr>
        <w:lastRenderedPageBreak/>
        <w:t>disorder and crime</w:t>
      </w:r>
      <w:r w:rsidR="008B37E0">
        <w:rPr>
          <w:rFonts w:ascii="Verdana" w:hAnsi="Verdana"/>
        </w:rPr>
        <w:t xml:space="preserve">. </w:t>
      </w:r>
    </w:p>
    <w:p w14:paraId="194F0D1C" w14:textId="77777777" w:rsidR="00020EC4" w:rsidRDefault="00020EC4" w:rsidP="00FB5AB4">
      <w:pPr>
        <w:pStyle w:val="BasicParagraph"/>
        <w:suppressAutoHyphens/>
        <w:ind w:left="709" w:hanging="709"/>
        <w:rPr>
          <w:rFonts w:ascii="Verdana" w:hAnsi="Verdana"/>
        </w:rPr>
      </w:pPr>
    </w:p>
    <w:p w14:paraId="591FAEDA" w14:textId="7784D258" w:rsidR="008B37E0" w:rsidRDefault="00020EC4" w:rsidP="00020EC4">
      <w:pPr>
        <w:pStyle w:val="BasicParagraph"/>
        <w:suppressAutoHyphens/>
        <w:ind w:left="709" w:hanging="709"/>
        <w:rPr>
          <w:rFonts w:ascii="Verdana" w:hAnsi="Verdana"/>
        </w:rPr>
      </w:pPr>
      <w:r>
        <w:rPr>
          <w:rFonts w:ascii="Verdana" w:hAnsi="Verdana"/>
        </w:rPr>
        <w:t>4.3</w:t>
      </w:r>
      <w:r>
        <w:rPr>
          <w:rFonts w:ascii="Verdana" w:hAnsi="Verdana"/>
        </w:rPr>
        <w:tab/>
      </w:r>
      <w:r w:rsidR="00D457AE">
        <w:rPr>
          <w:rFonts w:ascii="Verdana" w:hAnsi="Verdana"/>
        </w:rPr>
        <w:t xml:space="preserve">In connection with this point, it is worthy to note that the intention behind the rehabilitation of offenders regime at its time of </w:t>
      </w:r>
      <w:r w:rsidR="009C7D08">
        <w:rPr>
          <w:rFonts w:ascii="Verdana" w:hAnsi="Verdana"/>
        </w:rPr>
        <w:t xml:space="preserve">original </w:t>
      </w:r>
      <w:r w:rsidR="00D457AE">
        <w:rPr>
          <w:rFonts w:ascii="Verdana" w:hAnsi="Verdana"/>
        </w:rPr>
        <w:t xml:space="preserve">drafting was </w:t>
      </w:r>
      <w:r w:rsidR="00244659">
        <w:rPr>
          <w:rFonts w:ascii="Verdana" w:hAnsi="Verdana"/>
        </w:rPr>
        <w:t xml:space="preserve">not to address public safety measures </w:t>
      </w:r>
      <w:r w:rsidR="00D457AE">
        <w:rPr>
          <w:rFonts w:ascii="Verdana" w:hAnsi="Verdana"/>
        </w:rPr>
        <w:t xml:space="preserve">but rather </w:t>
      </w:r>
      <w:r w:rsidR="00244659">
        <w:rPr>
          <w:rFonts w:ascii="Verdana" w:hAnsi="Verdana"/>
        </w:rPr>
        <w:t>“</w:t>
      </w:r>
      <w:r w:rsidR="00D457AE">
        <w:rPr>
          <w:rFonts w:ascii="Verdana" w:hAnsi="Verdana"/>
        </w:rPr>
        <w:t xml:space="preserve">to </w:t>
      </w:r>
      <w:r w:rsidR="00244659" w:rsidRPr="00244659">
        <w:rPr>
          <w:rFonts w:ascii="Verdana" w:hAnsi="Verdana"/>
        </w:rPr>
        <w:t>help ex-offenders live down their past</w:t>
      </w:r>
      <w:r w:rsidR="00244659">
        <w:rPr>
          <w:rFonts w:ascii="Verdana" w:hAnsi="Verdana"/>
        </w:rPr>
        <w:t>”</w:t>
      </w:r>
      <w:r w:rsidR="007439B9">
        <w:rPr>
          <w:rFonts w:ascii="Verdana" w:hAnsi="Verdana"/>
        </w:rPr>
        <w:t xml:space="preserve"> by preventing life-long discrimination</w:t>
      </w:r>
      <w:r w:rsidR="00D457AE">
        <w:rPr>
          <w:rFonts w:ascii="Verdana" w:hAnsi="Verdana"/>
        </w:rPr>
        <w:t>.</w:t>
      </w:r>
      <w:r w:rsidR="00D457AE">
        <w:rPr>
          <w:rStyle w:val="FootnoteReference"/>
          <w:rFonts w:ascii="Verdana" w:hAnsi="Verdana"/>
        </w:rPr>
        <w:footnoteReference w:id="28"/>
      </w:r>
      <w:r>
        <w:rPr>
          <w:rFonts w:ascii="Verdana" w:hAnsi="Verdana"/>
        </w:rPr>
        <w:t xml:space="preserve"> Further, the exclusion of longer sentences from the regime w</w:t>
      </w:r>
      <w:r w:rsidR="002F5D30">
        <w:rPr>
          <w:rFonts w:ascii="Verdana" w:hAnsi="Verdana"/>
        </w:rPr>
        <w:t xml:space="preserve">as </w:t>
      </w:r>
      <w:r>
        <w:rPr>
          <w:rFonts w:ascii="Verdana" w:hAnsi="Verdana"/>
        </w:rPr>
        <w:t xml:space="preserve">not a conscious policy decision, but </w:t>
      </w:r>
      <w:r w:rsidR="00F051F1">
        <w:rPr>
          <w:rFonts w:ascii="Verdana" w:hAnsi="Verdana"/>
        </w:rPr>
        <w:t xml:space="preserve">rather </w:t>
      </w:r>
      <w:r w:rsidR="00162EB3">
        <w:rPr>
          <w:rFonts w:ascii="Verdana" w:hAnsi="Verdana"/>
        </w:rPr>
        <w:t>influenced by</w:t>
      </w:r>
      <w:r w:rsidR="00F051F1">
        <w:rPr>
          <w:rFonts w:ascii="Verdana" w:hAnsi="Verdana"/>
        </w:rPr>
        <w:t xml:space="preserve"> what was politically achie</w:t>
      </w:r>
      <w:r w:rsidR="00B13D0E">
        <w:rPr>
          <w:rFonts w:ascii="Verdana" w:hAnsi="Verdana"/>
        </w:rPr>
        <w:t>vable</w:t>
      </w:r>
      <w:r w:rsidR="00F051F1">
        <w:rPr>
          <w:rFonts w:ascii="Verdana" w:hAnsi="Verdana"/>
        </w:rPr>
        <w:t xml:space="preserve"> at </w:t>
      </w:r>
      <w:r w:rsidR="002F5D30">
        <w:rPr>
          <w:rFonts w:ascii="Verdana" w:hAnsi="Verdana"/>
        </w:rPr>
        <w:t>the time</w:t>
      </w:r>
      <w:r w:rsidR="004231DD">
        <w:rPr>
          <w:rFonts w:ascii="Verdana" w:hAnsi="Verdana"/>
        </w:rPr>
        <w:t>.</w:t>
      </w:r>
      <w:r w:rsidR="004231DD">
        <w:rPr>
          <w:rStyle w:val="FootnoteReference"/>
          <w:rFonts w:ascii="Verdana" w:hAnsi="Verdana"/>
        </w:rPr>
        <w:footnoteReference w:id="29"/>
      </w:r>
      <w:r w:rsidR="004231DD">
        <w:rPr>
          <w:rFonts w:ascii="Verdana" w:hAnsi="Verdana"/>
        </w:rPr>
        <w:t xml:space="preserve"> </w:t>
      </w:r>
      <w:r w:rsidR="008B26FB">
        <w:rPr>
          <w:rFonts w:ascii="Verdana" w:hAnsi="Verdana"/>
        </w:rPr>
        <w:t>Moreover, we note that it is more than 40 years since the period of spent convictions has been reviewed and that reform has now taken place in England and Wales and Scotland with further reform being contemplated again in the former.</w:t>
      </w:r>
    </w:p>
    <w:p w14:paraId="2F83C06E" w14:textId="77777777" w:rsidR="008B37E0" w:rsidRDefault="008B37E0" w:rsidP="008B37E0">
      <w:pPr>
        <w:pStyle w:val="BasicParagraph"/>
        <w:suppressAutoHyphens/>
        <w:rPr>
          <w:rFonts w:ascii="Verdana" w:hAnsi="Verdana"/>
        </w:rPr>
      </w:pPr>
    </w:p>
    <w:p w14:paraId="6C7A10A1" w14:textId="5F954EDF" w:rsidR="008B37E0" w:rsidRDefault="007D47FF" w:rsidP="00FB5AB4">
      <w:pPr>
        <w:pStyle w:val="BasicParagraph"/>
        <w:suppressAutoHyphens/>
        <w:ind w:left="709" w:hanging="709"/>
        <w:rPr>
          <w:rFonts w:ascii="Verdana" w:hAnsi="Verdana"/>
        </w:rPr>
      </w:pPr>
      <w:r>
        <w:rPr>
          <w:rFonts w:ascii="Verdana" w:hAnsi="Verdana"/>
        </w:rPr>
        <w:t>4</w:t>
      </w:r>
      <w:r w:rsidR="00FB5AB4">
        <w:rPr>
          <w:rFonts w:ascii="Verdana" w:hAnsi="Verdana"/>
        </w:rPr>
        <w:t>.</w:t>
      </w:r>
      <w:r w:rsidR="00F710ED">
        <w:rPr>
          <w:rFonts w:ascii="Verdana" w:hAnsi="Verdana"/>
        </w:rPr>
        <w:t>4</w:t>
      </w:r>
      <w:r>
        <w:rPr>
          <w:rFonts w:ascii="Verdana" w:hAnsi="Verdana"/>
        </w:rPr>
        <w:tab/>
      </w:r>
      <w:r w:rsidR="00A5102A">
        <w:rPr>
          <w:rFonts w:ascii="Verdana" w:hAnsi="Verdana"/>
        </w:rPr>
        <w:t xml:space="preserve">With respect to the need to disclose sentences exceeding 30 months, </w:t>
      </w:r>
      <w:r w:rsidR="003A3866">
        <w:rPr>
          <w:rFonts w:ascii="Verdana" w:hAnsi="Verdana"/>
        </w:rPr>
        <w:t>Ministry of Justice statistics show that reoffending proportions for those who received longer sentences is the lowest of all categories.</w:t>
      </w:r>
      <w:r w:rsidR="00B0252F">
        <w:rPr>
          <w:rStyle w:val="FootnoteReference"/>
          <w:rFonts w:ascii="Verdana" w:hAnsi="Verdana"/>
        </w:rPr>
        <w:footnoteReference w:id="30"/>
      </w:r>
      <w:r w:rsidR="00B0252F">
        <w:rPr>
          <w:rFonts w:ascii="Verdana" w:hAnsi="Verdana"/>
        </w:rPr>
        <w:t xml:space="preserve"> This seems to counter the need for former offenders with longer sentences to be subjected to lifelong disclosure requirements</w:t>
      </w:r>
      <w:r w:rsidR="00232A5A">
        <w:rPr>
          <w:rFonts w:ascii="Verdana" w:hAnsi="Verdana"/>
        </w:rPr>
        <w:t xml:space="preserve">, based on </w:t>
      </w:r>
      <w:r w:rsidR="008E5081">
        <w:rPr>
          <w:rFonts w:ascii="Verdana" w:hAnsi="Verdana"/>
        </w:rPr>
        <w:t>the argument that the</w:t>
      </w:r>
      <w:r w:rsidR="000873B9">
        <w:rPr>
          <w:rFonts w:ascii="Verdana" w:hAnsi="Verdana"/>
        </w:rPr>
        <w:t>y pose</w:t>
      </w:r>
      <w:r w:rsidR="008E5081">
        <w:rPr>
          <w:rFonts w:ascii="Verdana" w:hAnsi="Verdana"/>
        </w:rPr>
        <w:t xml:space="preserve"> a higher risk of reoffending.</w:t>
      </w:r>
      <w:r w:rsidR="008D62B9">
        <w:rPr>
          <w:rFonts w:ascii="Verdana" w:hAnsi="Verdana"/>
        </w:rPr>
        <w:t xml:space="preserve"> In light of this we would recommend an approach which provides for a significantly enhanced scope for rehabilitation than currently provided alongside provision for review.</w:t>
      </w:r>
    </w:p>
    <w:p w14:paraId="21DCD412" w14:textId="77777777" w:rsidR="00E924DE" w:rsidRDefault="00E924DE" w:rsidP="00FB5AB4">
      <w:pPr>
        <w:pStyle w:val="BasicParagraph"/>
        <w:suppressAutoHyphens/>
        <w:ind w:left="709" w:hanging="709"/>
        <w:rPr>
          <w:rFonts w:ascii="Verdana" w:hAnsi="Verdana"/>
        </w:rPr>
      </w:pPr>
    </w:p>
    <w:p w14:paraId="4BD1F37E" w14:textId="139DF219" w:rsidR="00E924DE" w:rsidRPr="00702F25" w:rsidRDefault="00E924DE" w:rsidP="00702F25">
      <w:pPr>
        <w:pStyle w:val="BasicParagraph"/>
        <w:suppressAutoHyphens/>
        <w:ind w:left="709" w:hanging="709"/>
        <w:rPr>
          <w:rFonts w:ascii="Verdana" w:hAnsi="Verdana"/>
          <w:vertAlign w:val="superscript"/>
          <w:lang w:val="en-HK"/>
        </w:rPr>
      </w:pPr>
      <w:r>
        <w:rPr>
          <w:rFonts w:ascii="Verdana" w:hAnsi="Verdana"/>
        </w:rPr>
        <w:t>4.</w:t>
      </w:r>
      <w:r w:rsidR="00F710ED">
        <w:rPr>
          <w:rFonts w:ascii="Verdana" w:hAnsi="Verdana"/>
        </w:rPr>
        <w:t>5</w:t>
      </w:r>
      <w:r>
        <w:rPr>
          <w:rFonts w:ascii="Verdana" w:hAnsi="Verdana"/>
        </w:rPr>
        <w:tab/>
        <w:t xml:space="preserve">In </w:t>
      </w:r>
      <w:r w:rsidRPr="00E924DE">
        <w:rPr>
          <w:rFonts w:ascii="Verdana" w:hAnsi="Verdana"/>
          <w:i/>
          <w:iCs/>
        </w:rPr>
        <w:t>R (L) v Com</w:t>
      </w:r>
      <w:r w:rsidR="00281BFD">
        <w:rPr>
          <w:rFonts w:ascii="Verdana" w:hAnsi="Verdana"/>
          <w:i/>
          <w:iCs/>
        </w:rPr>
        <w:t>missione</w:t>
      </w:r>
      <w:r w:rsidRPr="00E924DE">
        <w:rPr>
          <w:rFonts w:ascii="Verdana" w:hAnsi="Verdana"/>
          <w:i/>
          <w:iCs/>
        </w:rPr>
        <w:t>r of Police of the Metropolis</w:t>
      </w:r>
      <w:r w:rsidR="008C2776">
        <w:rPr>
          <w:rFonts w:ascii="Verdana" w:hAnsi="Verdana"/>
          <w:i/>
          <w:iCs/>
        </w:rPr>
        <w:t xml:space="preserve">, </w:t>
      </w:r>
      <w:r>
        <w:rPr>
          <w:rFonts w:ascii="Verdana" w:hAnsi="Verdana"/>
        </w:rPr>
        <w:t>L was employed by an agency who provided staff for schools and was required to obtain an enhanced criminal record certificate which showed police intelligence</w:t>
      </w:r>
      <w:r w:rsidR="001073D8">
        <w:rPr>
          <w:rFonts w:ascii="Verdana" w:hAnsi="Verdana"/>
        </w:rPr>
        <w:t xml:space="preserve"> concerning prior issues she had had with her teenage son.</w:t>
      </w:r>
      <w:r>
        <w:rPr>
          <w:rFonts w:ascii="Verdana" w:hAnsi="Verdana"/>
        </w:rPr>
        <w:t xml:space="preserve"> </w:t>
      </w:r>
      <w:r w:rsidR="00770959">
        <w:rPr>
          <w:rFonts w:ascii="Verdana" w:hAnsi="Verdana"/>
        </w:rPr>
        <w:t xml:space="preserve">In assessing </w:t>
      </w:r>
      <w:r w:rsidR="00841C8D">
        <w:rPr>
          <w:rFonts w:ascii="Verdana" w:hAnsi="Verdana"/>
        </w:rPr>
        <w:t>how this i</w:t>
      </w:r>
      <w:r w:rsidR="002F77D3">
        <w:rPr>
          <w:rFonts w:ascii="Verdana" w:hAnsi="Verdana"/>
        </w:rPr>
        <w:t>mpacted</w:t>
      </w:r>
      <w:r w:rsidR="00841C8D">
        <w:rPr>
          <w:rFonts w:ascii="Verdana" w:hAnsi="Verdana"/>
        </w:rPr>
        <w:t xml:space="preserve"> her right to private life under Article 8, the court </w:t>
      </w:r>
      <w:r w:rsidR="005549EA">
        <w:rPr>
          <w:rFonts w:ascii="Verdana" w:hAnsi="Verdana"/>
        </w:rPr>
        <w:t>h</w:t>
      </w:r>
      <w:r w:rsidR="00844327">
        <w:rPr>
          <w:rFonts w:ascii="Verdana" w:hAnsi="Verdana"/>
        </w:rPr>
        <w:t>e</w:t>
      </w:r>
      <w:r w:rsidR="005549EA">
        <w:rPr>
          <w:rFonts w:ascii="Verdana" w:hAnsi="Verdana"/>
        </w:rPr>
        <w:t>l</w:t>
      </w:r>
      <w:r w:rsidR="00844327">
        <w:rPr>
          <w:rFonts w:ascii="Verdana" w:hAnsi="Verdana"/>
        </w:rPr>
        <w:t xml:space="preserve">d that </w:t>
      </w:r>
      <w:r w:rsidR="002F77D3">
        <w:rPr>
          <w:rFonts w:ascii="Verdana" w:hAnsi="Verdana"/>
        </w:rPr>
        <w:t>“</w:t>
      </w:r>
      <w:r w:rsidR="00844327">
        <w:rPr>
          <w:rFonts w:ascii="Verdana" w:hAnsi="Verdana"/>
        </w:rPr>
        <w:t xml:space="preserve">it has been </w:t>
      </w:r>
      <w:r w:rsidR="00841C8D" w:rsidRPr="00841C8D">
        <w:rPr>
          <w:rFonts w:ascii="Verdana" w:hAnsi="Verdana"/>
        </w:rPr>
        <w:t xml:space="preserve">recognised that respect for private life comprises, to a certain degree, the right to establish and develop relationships with other human beings . . . Excluding a person from employment in her chosen </w:t>
      </w:r>
      <w:r w:rsidR="00CB4037">
        <w:rPr>
          <w:rFonts w:ascii="Verdana" w:hAnsi="Verdana"/>
        </w:rPr>
        <w:t>fi</w:t>
      </w:r>
      <w:r w:rsidR="00841C8D" w:rsidRPr="00841C8D">
        <w:rPr>
          <w:rFonts w:ascii="Verdana" w:hAnsi="Verdana"/>
        </w:rPr>
        <w:t>eld is liable to a</w:t>
      </w:r>
      <w:r w:rsidR="00CB4037">
        <w:rPr>
          <w:rFonts w:ascii="Verdana" w:hAnsi="Verdana"/>
        </w:rPr>
        <w:t>ff</w:t>
      </w:r>
      <w:r w:rsidR="00841C8D" w:rsidRPr="00841C8D">
        <w:rPr>
          <w:rFonts w:ascii="Verdana" w:hAnsi="Verdana"/>
        </w:rPr>
        <w:t>ect her ability to develop relationships with others, and the problems that this creates as regards the possibility of earning a living can have serious repercussions on the enjoyment of her private life</w:t>
      </w:r>
      <w:r w:rsidR="00190ECA">
        <w:rPr>
          <w:rFonts w:ascii="Verdana" w:hAnsi="Verdana"/>
        </w:rPr>
        <w:t>.</w:t>
      </w:r>
      <w:r w:rsidR="0058439E">
        <w:rPr>
          <w:rFonts w:ascii="Verdana" w:hAnsi="Verdana"/>
        </w:rPr>
        <w:t>”</w:t>
      </w:r>
      <w:r w:rsidR="00A54603">
        <w:rPr>
          <w:rStyle w:val="FootnoteReference"/>
          <w:rFonts w:ascii="Verdana" w:hAnsi="Verdana"/>
        </w:rPr>
        <w:footnoteReference w:id="31"/>
      </w:r>
      <w:r w:rsidR="003F16C8">
        <w:rPr>
          <w:rFonts w:ascii="Verdana" w:hAnsi="Verdana"/>
        </w:rPr>
        <w:t xml:space="preserve"> The court further recognised that as</w:t>
      </w:r>
      <w:r w:rsidR="003F16C8" w:rsidRPr="003F16C8">
        <w:rPr>
          <w:rFonts w:ascii="Verdana" w:hAnsi="Verdana"/>
        </w:rPr>
        <w:t xml:space="preserve"> </w:t>
      </w:r>
      <w:r w:rsidR="003F16C8" w:rsidRPr="00281BFD">
        <w:rPr>
          <w:rFonts w:ascii="Verdana" w:hAnsi="Verdana"/>
        </w:rPr>
        <w:t>information “recedes into the past, it becomes a part of the person’s private life which must be respected</w:t>
      </w:r>
      <w:r w:rsidR="00F11118" w:rsidRPr="00281BFD">
        <w:rPr>
          <w:rFonts w:ascii="Verdana" w:hAnsi="Verdana"/>
        </w:rPr>
        <w:t>.”</w:t>
      </w:r>
      <w:r w:rsidR="00236C94" w:rsidRPr="00281BFD">
        <w:rPr>
          <w:rStyle w:val="FootnoteReference"/>
          <w:rFonts w:ascii="Verdana" w:hAnsi="Verdana"/>
        </w:rPr>
        <w:footnoteReference w:id="32"/>
      </w:r>
    </w:p>
    <w:p w14:paraId="5076F773" w14:textId="77777777" w:rsidR="00E924DE" w:rsidRDefault="00E924DE" w:rsidP="00FB5AB4">
      <w:pPr>
        <w:pStyle w:val="BasicParagraph"/>
        <w:suppressAutoHyphens/>
        <w:ind w:left="709" w:hanging="709"/>
        <w:rPr>
          <w:rFonts w:ascii="Verdana" w:hAnsi="Verdana"/>
        </w:rPr>
      </w:pPr>
    </w:p>
    <w:p w14:paraId="099694BF" w14:textId="67EA067B" w:rsidR="004335B9" w:rsidRDefault="00E45CFD" w:rsidP="00140896">
      <w:pPr>
        <w:pStyle w:val="BasicParagraph"/>
        <w:suppressAutoHyphens/>
        <w:ind w:left="709" w:hanging="709"/>
        <w:rPr>
          <w:rFonts w:ascii="Verdana" w:hAnsi="Verdana"/>
        </w:rPr>
      </w:pPr>
      <w:r>
        <w:rPr>
          <w:rFonts w:ascii="Verdana" w:hAnsi="Verdana"/>
        </w:rPr>
        <w:t>4.</w:t>
      </w:r>
      <w:r w:rsidR="00F710ED">
        <w:rPr>
          <w:rFonts w:ascii="Verdana" w:hAnsi="Verdana"/>
        </w:rPr>
        <w:t>6</w:t>
      </w:r>
      <w:r>
        <w:rPr>
          <w:rFonts w:ascii="Verdana" w:hAnsi="Verdana"/>
        </w:rPr>
        <w:tab/>
      </w:r>
      <w:r w:rsidR="008B37E0">
        <w:rPr>
          <w:rFonts w:ascii="Verdana" w:hAnsi="Verdana"/>
        </w:rPr>
        <w:t xml:space="preserve">The Commission notes that the consultation document </w:t>
      </w:r>
      <w:r w:rsidR="00990CD4">
        <w:rPr>
          <w:rFonts w:ascii="Verdana" w:hAnsi="Verdana"/>
        </w:rPr>
        <w:t>seeks views on whether</w:t>
      </w:r>
      <w:r w:rsidR="008B37E0">
        <w:rPr>
          <w:rFonts w:ascii="Verdana" w:hAnsi="Verdana"/>
        </w:rPr>
        <w:t xml:space="preserve"> custodial sentences of over 30 months, excluding serious </w:t>
      </w:r>
      <w:r w:rsidR="008B37E0" w:rsidRPr="00521C6B">
        <w:rPr>
          <w:rFonts w:ascii="Verdana" w:hAnsi="Verdana"/>
        </w:rPr>
        <w:t>sexual, violent or terrorist offences</w:t>
      </w:r>
      <w:r w:rsidR="008B37E0">
        <w:rPr>
          <w:rFonts w:ascii="Verdana" w:hAnsi="Verdana"/>
        </w:rPr>
        <w:t xml:space="preserve"> could be spent</w:t>
      </w:r>
      <w:r w:rsidR="00513BDF">
        <w:rPr>
          <w:rFonts w:ascii="Verdana" w:hAnsi="Verdana"/>
        </w:rPr>
        <w:t>,</w:t>
      </w:r>
      <w:r w:rsidR="002C4A9A">
        <w:rPr>
          <w:rFonts w:ascii="Verdana" w:hAnsi="Verdana"/>
        </w:rPr>
        <w:t xml:space="preserve"> but has not made any concrete proposals</w:t>
      </w:r>
      <w:r w:rsidR="008B37E0">
        <w:rPr>
          <w:rStyle w:val="FootnoteReference"/>
          <w:rFonts w:ascii="Verdana" w:hAnsi="Verdana"/>
        </w:rPr>
        <w:footnoteReference w:id="33"/>
      </w:r>
      <w:r w:rsidR="008B37E0">
        <w:rPr>
          <w:rFonts w:ascii="Verdana" w:hAnsi="Verdana"/>
        </w:rPr>
        <w:t xml:space="preserve"> </w:t>
      </w:r>
      <w:r w:rsidR="003A6493">
        <w:rPr>
          <w:rFonts w:ascii="Verdana" w:hAnsi="Verdana"/>
        </w:rPr>
        <w:t>With respect to this suggestion, the Commission considers that the definition of sexual, violent, or terrorist offences necessitates careful consideration. Further, given th</w:t>
      </w:r>
      <w:r w:rsidR="0054010A">
        <w:rPr>
          <w:rFonts w:ascii="Verdana" w:hAnsi="Verdana"/>
        </w:rPr>
        <w:t>e wide scope for differences among cases, the Commission considers that it would be appropriate for a</w:t>
      </w:r>
      <w:r w:rsidR="00AE47F9">
        <w:rPr>
          <w:rFonts w:ascii="Verdana" w:hAnsi="Verdana"/>
        </w:rPr>
        <w:t xml:space="preserve"> review mechanism to be established, enabling an</w:t>
      </w:r>
      <w:r w:rsidR="0054010A">
        <w:rPr>
          <w:rFonts w:ascii="Verdana" w:hAnsi="Verdana"/>
        </w:rPr>
        <w:t xml:space="preserve"> independent reviewer </w:t>
      </w:r>
      <w:r w:rsidR="00AE47F9">
        <w:rPr>
          <w:rFonts w:ascii="Verdana" w:hAnsi="Verdana"/>
        </w:rPr>
        <w:t xml:space="preserve">to </w:t>
      </w:r>
      <w:r w:rsidR="0054010A">
        <w:rPr>
          <w:rFonts w:ascii="Verdana" w:hAnsi="Verdana"/>
        </w:rPr>
        <w:t>assess the potential for a sentence to be spent on a</w:t>
      </w:r>
      <w:r w:rsidR="00D43483">
        <w:rPr>
          <w:rFonts w:ascii="Verdana" w:hAnsi="Verdana"/>
        </w:rPr>
        <w:t>n individualised</w:t>
      </w:r>
      <w:r w:rsidR="0054010A">
        <w:rPr>
          <w:rFonts w:ascii="Verdana" w:hAnsi="Verdana"/>
        </w:rPr>
        <w:t xml:space="preserve"> case-by-case basis. </w:t>
      </w:r>
    </w:p>
    <w:p w14:paraId="355AE16F" w14:textId="77777777" w:rsidR="008035DD" w:rsidRDefault="008035DD" w:rsidP="00E45CFD">
      <w:pPr>
        <w:pStyle w:val="BasicParagraph"/>
        <w:suppressAutoHyphens/>
        <w:ind w:left="709" w:hanging="709"/>
        <w:rPr>
          <w:rFonts w:ascii="Verdana" w:hAnsi="Verdana"/>
        </w:rPr>
      </w:pPr>
    </w:p>
    <w:p w14:paraId="7A874273" w14:textId="560A01D0" w:rsidR="008035DD" w:rsidRDefault="008035DD" w:rsidP="008035DD">
      <w:pPr>
        <w:pStyle w:val="BasicParagraph"/>
        <w:suppressAutoHyphens/>
        <w:ind w:left="709" w:hanging="709"/>
        <w:rPr>
          <w:rFonts w:ascii="Verdana" w:hAnsi="Verdana"/>
          <w:lang w:val="en-HK"/>
        </w:rPr>
      </w:pPr>
      <w:r>
        <w:rPr>
          <w:rFonts w:ascii="Verdana" w:hAnsi="Verdana"/>
          <w:lang w:val="en-HK"/>
        </w:rPr>
        <w:t>4.</w:t>
      </w:r>
      <w:r w:rsidR="00F710ED">
        <w:rPr>
          <w:rFonts w:ascii="Verdana" w:hAnsi="Verdana"/>
          <w:lang w:val="en-HK"/>
        </w:rPr>
        <w:t>7</w:t>
      </w:r>
      <w:r>
        <w:rPr>
          <w:rFonts w:ascii="Verdana" w:hAnsi="Verdana"/>
          <w:lang w:val="en-HK"/>
        </w:rPr>
        <w:tab/>
      </w:r>
      <w:r w:rsidRPr="00923CD4">
        <w:rPr>
          <w:rFonts w:ascii="Verdana" w:hAnsi="Verdana"/>
          <w:i/>
          <w:iCs/>
          <w:lang w:val="en-HK"/>
        </w:rPr>
        <w:t xml:space="preserve">R </w:t>
      </w:r>
      <w:r w:rsidR="001C4C44">
        <w:rPr>
          <w:rFonts w:ascii="Verdana" w:hAnsi="Verdana"/>
          <w:i/>
          <w:iCs/>
          <w:lang w:val="en-HK"/>
        </w:rPr>
        <w:t xml:space="preserve">(JF) </w:t>
      </w:r>
      <w:r w:rsidRPr="00923CD4">
        <w:rPr>
          <w:rFonts w:ascii="Verdana" w:hAnsi="Verdana"/>
          <w:i/>
          <w:iCs/>
          <w:lang w:val="en-HK"/>
        </w:rPr>
        <w:t xml:space="preserve">v Secretary of State </w:t>
      </w:r>
      <w:r>
        <w:rPr>
          <w:rFonts w:ascii="Verdana" w:hAnsi="Verdana"/>
          <w:lang w:val="en-HK"/>
        </w:rPr>
        <w:t>concerned two claimants who had been sentenced to periods of 30 months’ detention and 5 years of imprisonment for sexual offen</w:t>
      </w:r>
      <w:r w:rsidR="00A15DDC">
        <w:rPr>
          <w:rFonts w:ascii="Verdana" w:hAnsi="Verdana"/>
          <w:lang w:val="en-HK"/>
        </w:rPr>
        <w:t>c</w:t>
      </w:r>
      <w:r>
        <w:rPr>
          <w:rFonts w:ascii="Verdana" w:hAnsi="Verdana"/>
          <w:lang w:val="en-HK"/>
        </w:rPr>
        <w:t xml:space="preserve">es </w:t>
      </w:r>
      <w:r w:rsidR="00AB63E3">
        <w:rPr>
          <w:rFonts w:ascii="Verdana" w:hAnsi="Verdana"/>
          <w:lang w:val="en-HK"/>
        </w:rPr>
        <w:t xml:space="preserve">respectively </w:t>
      </w:r>
      <w:r>
        <w:rPr>
          <w:rFonts w:ascii="Verdana" w:hAnsi="Verdana"/>
          <w:lang w:val="en-HK"/>
        </w:rPr>
        <w:t>and resultingly, were subject to notification requirements for an indefinite period without the possibility of review.</w:t>
      </w:r>
      <w:r w:rsidR="004262FF">
        <w:rPr>
          <w:rStyle w:val="FootnoteReference"/>
          <w:rFonts w:ascii="Verdana" w:hAnsi="Verdana"/>
          <w:lang w:val="en-HK"/>
        </w:rPr>
        <w:footnoteReference w:id="34"/>
      </w:r>
      <w:r>
        <w:rPr>
          <w:rFonts w:ascii="Verdana" w:hAnsi="Verdana"/>
          <w:lang w:val="en-HK"/>
        </w:rPr>
        <w:t xml:space="preserve"> The claimants argued that these requirements, without the possibility of review constituted disproportionate interferences with their rights under Article 8 of the ECHR.</w:t>
      </w:r>
    </w:p>
    <w:p w14:paraId="320D41E5" w14:textId="77777777" w:rsidR="008035DD" w:rsidRDefault="008035DD" w:rsidP="008035DD">
      <w:pPr>
        <w:pStyle w:val="BasicParagraph"/>
        <w:suppressAutoHyphens/>
        <w:ind w:left="709" w:hanging="709"/>
        <w:rPr>
          <w:rFonts w:ascii="Verdana" w:hAnsi="Verdana"/>
          <w:lang w:val="en-HK"/>
        </w:rPr>
      </w:pPr>
    </w:p>
    <w:p w14:paraId="41A5BB71" w14:textId="1D51C456" w:rsidR="008035DD" w:rsidRDefault="008035DD" w:rsidP="008035DD">
      <w:pPr>
        <w:pStyle w:val="BasicParagraph"/>
        <w:suppressAutoHyphens/>
        <w:ind w:left="709" w:hanging="709"/>
        <w:rPr>
          <w:rFonts w:ascii="Verdana" w:hAnsi="Verdana"/>
          <w:lang w:val="en-HK"/>
        </w:rPr>
      </w:pPr>
      <w:r>
        <w:rPr>
          <w:rFonts w:ascii="Verdana" w:hAnsi="Verdana"/>
          <w:lang w:val="en-HK"/>
        </w:rPr>
        <w:t>4.</w:t>
      </w:r>
      <w:r w:rsidR="00F710ED">
        <w:rPr>
          <w:rFonts w:ascii="Verdana" w:hAnsi="Verdana"/>
          <w:lang w:val="en-HK"/>
        </w:rPr>
        <w:t>8</w:t>
      </w:r>
      <w:r>
        <w:rPr>
          <w:rFonts w:ascii="Verdana" w:hAnsi="Verdana"/>
          <w:lang w:val="en-HK"/>
        </w:rPr>
        <w:tab/>
        <w:t>In its judgment, the</w:t>
      </w:r>
      <w:r w:rsidR="002F0EB4">
        <w:rPr>
          <w:rFonts w:ascii="Verdana" w:hAnsi="Verdana"/>
          <w:lang w:val="en-HK"/>
        </w:rPr>
        <w:t xml:space="preserve"> UK</w:t>
      </w:r>
      <w:r>
        <w:rPr>
          <w:rFonts w:ascii="Verdana" w:hAnsi="Verdana"/>
          <w:lang w:val="en-HK"/>
        </w:rPr>
        <w:t xml:space="preserve"> </w:t>
      </w:r>
      <w:r w:rsidR="002F0EB4">
        <w:rPr>
          <w:rFonts w:ascii="Verdana" w:hAnsi="Verdana"/>
          <w:lang w:val="en-HK"/>
        </w:rPr>
        <w:t>Supreme Court</w:t>
      </w:r>
      <w:r>
        <w:rPr>
          <w:rFonts w:ascii="Verdana" w:hAnsi="Verdana"/>
          <w:lang w:val="en-HK"/>
        </w:rPr>
        <w:t xml:space="preserve"> had regard to whether the </w:t>
      </w:r>
      <w:r w:rsidRPr="00C46ABD">
        <w:rPr>
          <w:rFonts w:ascii="Verdana" w:hAnsi="Verdana"/>
          <w:lang w:val="en-HK"/>
        </w:rPr>
        <w:t>imposition of indefinite notification requirements</w:t>
      </w:r>
      <w:r w:rsidR="002F0EB4">
        <w:rPr>
          <w:rFonts w:ascii="Verdana" w:hAnsi="Verdana"/>
          <w:lang w:val="en-HK"/>
        </w:rPr>
        <w:t xml:space="preserve">, </w:t>
      </w:r>
      <w:r w:rsidRPr="00C46ABD">
        <w:rPr>
          <w:rFonts w:ascii="Verdana" w:hAnsi="Verdana"/>
          <w:lang w:val="en-HK"/>
        </w:rPr>
        <w:t>without the possibility of review</w:t>
      </w:r>
      <w:r w:rsidR="002F0EB4">
        <w:rPr>
          <w:rFonts w:ascii="Verdana" w:hAnsi="Verdana"/>
          <w:lang w:val="en-HK"/>
        </w:rPr>
        <w:t>,</w:t>
      </w:r>
      <w:r w:rsidRPr="00C46ABD">
        <w:rPr>
          <w:rFonts w:ascii="Verdana" w:hAnsi="Verdana"/>
          <w:lang w:val="en-HK"/>
        </w:rPr>
        <w:t xml:space="preserve"> </w:t>
      </w:r>
      <w:r>
        <w:rPr>
          <w:rFonts w:ascii="Verdana" w:hAnsi="Verdana"/>
          <w:lang w:val="en-HK"/>
        </w:rPr>
        <w:t>wa</w:t>
      </w:r>
      <w:r w:rsidRPr="00C46ABD">
        <w:rPr>
          <w:rFonts w:ascii="Verdana" w:hAnsi="Verdana"/>
          <w:lang w:val="en-HK"/>
        </w:rPr>
        <w:t xml:space="preserve">s a </w:t>
      </w:r>
      <w:r w:rsidR="002F0EB4">
        <w:rPr>
          <w:rFonts w:ascii="Verdana" w:hAnsi="Verdana"/>
          <w:lang w:val="en-HK"/>
        </w:rPr>
        <w:t>proportionate interference with the former offender’s article 8 rights</w:t>
      </w:r>
      <w:r w:rsidRPr="00C46ABD">
        <w:rPr>
          <w:rFonts w:ascii="Verdana" w:hAnsi="Verdana"/>
          <w:lang w:val="en-HK"/>
        </w:rPr>
        <w:t>.</w:t>
      </w:r>
      <w:r w:rsidR="002F0EB4">
        <w:rPr>
          <w:rStyle w:val="FootnoteReference"/>
          <w:rFonts w:ascii="Verdana" w:hAnsi="Verdana"/>
          <w:lang w:val="en-HK"/>
        </w:rPr>
        <w:footnoteReference w:id="35"/>
      </w:r>
      <w:r>
        <w:rPr>
          <w:rFonts w:ascii="Verdana" w:hAnsi="Verdana"/>
          <w:lang w:val="en-HK"/>
        </w:rPr>
        <w:t xml:space="preserve"> The court found that the aim of the notification requirements regime, namely, </w:t>
      </w:r>
      <w:r w:rsidRPr="004A7B91">
        <w:rPr>
          <w:rFonts w:ascii="Verdana" w:hAnsi="Verdana"/>
          <w:lang w:val="en-HK"/>
        </w:rPr>
        <w:t>to assist in the prevention and detection of sexual offences</w:t>
      </w:r>
      <w:r>
        <w:rPr>
          <w:rFonts w:ascii="Verdana" w:hAnsi="Verdana"/>
          <w:lang w:val="en-HK"/>
        </w:rPr>
        <w:t xml:space="preserve">, did not necessitate notification </w:t>
      </w:r>
      <w:r w:rsidRPr="004A7B91">
        <w:rPr>
          <w:rFonts w:ascii="Verdana" w:hAnsi="Verdana"/>
          <w:lang w:val="en-HK"/>
        </w:rPr>
        <w:t xml:space="preserve">where it </w:t>
      </w:r>
      <w:r>
        <w:rPr>
          <w:rFonts w:ascii="Verdana" w:hAnsi="Verdana"/>
          <w:lang w:val="en-HK"/>
        </w:rPr>
        <w:t>was</w:t>
      </w:r>
      <w:r w:rsidRPr="004A7B91">
        <w:rPr>
          <w:rFonts w:ascii="Verdana" w:hAnsi="Verdana"/>
          <w:lang w:val="en-HK"/>
        </w:rPr>
        <w:t xml:space="preserve"> clear that there is no </w:t>
      </w:r>
      <w:r w:rsidR="001840B9">
        <w:rPr>
          <w:rFonts w:ascii="Verdana" w:hAnsi="Verdana"/>
          <w:lang w:val="en-HK"/>
        </w:rPr>
        <w:t>significant</w:t>
      </w:r>
      <w:r w:rsidRPr="004A7B91">
        <w:rPr>
          <w:rFonts w:ascii="Verdana" w:hAnsi="Verdana"/>
          <w:lang w:val="en-HK"/>
        </w:rPr>
        <w:t xml:space="preserve"> risk that the sexual offender will re-offend.</w:t>
      </w:r>
      <w:r w:rsidR="001840B9">
        <w:rPr>
          <w:rStyle w:val="FootnoteReference"/>
          <w:rFonts w:ascii="Verdana" w:hAnsi="Verdana"/>
          <w:lang w:val="en-HK"/>
        </w:rPr>
        <w:footnoteReference w:id="36"/>
      </w:r>
    </w:p>
    <w:p w14:paraId="0E14C24F" w14:textId="77777777" w:rsidR="008035DD" w:rsidRDefault="008035DD" w:rsidP="008035DD">
      <w:pPr>
        <w:pStyle w:val="BasicParagraph"/>
        <w:suppressAutoHyphens/>
        <w:ind w:left="709" w:hanging="709"/>
        <w:rPr>
          <w:rFonts w:ascii="Verdana" w:hAnsi="Verdana"/>
          <w:lang w:val="en-HK"/>
        </w:rPr>
      </w:pPr>
    </w:p>
    <w:p w14:paraId="4D6F0586" w14:textId="5E6B08D8" w:rsidR="008035DD" w:rsidRDefault="008035DD" w:rsidP="008035DD">
      <w:pPr>
        <w:pStyle w:val="BasicParagraph"/>
        <w:suppressAutoHyphens/>
        <w:ind w:left="709" w:hanging="709"/>
        <w:rPr>
          <w:rFonts w:ascii="Verdana" w:hAnsi="Verdana"/>
          <w:lang w:val="en-HK"/>
        </w:rPr>
      </w:pPr>
      <w:r>
        <w:rPr>
          <w:rFonts w:ascii="Verdana" w:hAnsi="Verdana"/>
          <w:lang w:val="en-HK"/>
        </w:rPr>
        <w:t>4.</w:t>
      </w:r>
      <w:r w:rsidR="00F710ED">
        <w:rPr>
          <w:rFonts w:ascii="Verdana" w:hAnsi="Verdana"/>
          <w:lang w:val="en-HK"/>
        </w:rPr>
        <w:t>9</w:t>
      </w:r>
      <w:r>
        <w:rPr>
          <w:rFonts w:ascii="Verdana" w:hAnsi="Verdana"/>
          <w:lang w:val="en-HK"/>
        </w:rPr>
        <w:tab/>
      </w:r>
      <w:r w:rsidR="00C6688A">
        <w:rPr>
          <w:rFonts w:ascii="Verdana" w:hAnsi="Verdana"/>
          <w:lang w:val="en-HK"/>
        </w:rPr>
        <w:t>In respect of the same proceedings, t</w:t>
      </w:r>
      <w:r>
        <w:rPr>
          <w:rFonts w:ascii="Verdana" w:hAnsi="Verdana"/>
          <w:lang w:val="en-HK"/>
        </w:rPr>
        <w:t>he Court</w:t>
      </w:r>
      <w:r w:rsidR="00C6688A">
        <w:rPr>
          <w:rFonts w:ascii="Verdana" w:hAnsi="Verdana"/>
          <w:lang w:val="en-HK"/>
        </w:rPr>
        <w:t xml:space="preserve"> of Appeal’s judgment (</w:t>
      </w:r>
      <w:r w:rsidR="00CE02FE">
        <w:rPr>
          <w:rFonts w:ascii="Verdana" w:hAnsi="Verdana"/>
          <w:lang w:val="en-HK"/>
        </w:rPr>
        <w:t xml:space="preserve">which was </w:t>
      </w:r>
      <w:r w:rsidR="00C6688A">
        <w:rPr>
          <w:rFonts w:ascii="Verdana" w:hAnsi="Verdana"/>
          <w:lang w:val="en-HK"/>
        </w:rPr>
        <w:t>upheld by the UK Supreme Court)</w:t>
      </w:r>
      <w:r>
        <w:rPr>
          <w:rFonts w:ascii="Verdana" w:hAnsi="Verdana"/>
          <w:lang w:val="en-HK"/>
        </w:rPr>
        <w:t xml:space="preserve"> considered the viability of a review mechanism </w:t>
      </w:r>
      <w:r w:rsidR="003E3C67">
        <w:rPr>
          <w:rFonts w:ascii="Verdana" w:hAnsi="Verdana"/>
          <w:lang w:val="en-HK"/>
        </w:rPr>
        <w:t xml:space="preserve">with respect to the notification requirements </w:t>
      </w:r>
      <w:r>
        <w:rPr>
          <w:rFonts w:ascii="Verdana" w:hAnsi="Verdana"/>
          <w:lang w:val="en-HK"/>
        </w:rPr>
        <w:t xml:space="preserve">and held that </w:t>
      </w:r>
      <w:r w:rsidR="006A616E">
        <w:rPr>
          <w:rFonts w:ascii="Verdana" w:hAnsi="Verdana"/>
          <w:lang w:val="en-HK"/>
        </w:rPr>
        <w:t>“</w:t>
      </w:r>
      <w:r>
        <w:rPr>
          <w:rFonts w:ascii="Verdana" w:hAnsi="Verdana"/>
          <w:lang w:val="en-HK"/>
        </w:rPr>
        <w:t>i</w:t>
      </w:r>
      <w:r w:rsidRPr="00CF2299">
        <w:rPr>
          <w:rFonts w:ascii="Verdana" w:hAnsi="Verdana"/>
          <w:lang w:val="en-HK"/>
        </w:rPr>
        <w:t>t is by no means uncommon for Parliament to give offenders or others the right to have a review of orders which impose restrictions or prohibitions on them</w:t>
      </w:r>
      <w:r w:rsidR="006A616E">
        <w:rPr>
          <w:rFonts w:ascii="Verdana" w:hAnsi="Verdana"/>
          <w:lang w:val="en-HK"/>
        </w:rPr>
        <w:t>”</w:t>
      </w:r>
      <w:r w:rsidRPr="00CF2299">
        <w:rPr>
          <w:rFonts w:ascii="Verdana" w:hAnsi="Verdana"/>
          <w:lang w:val="en-HK"/>
        </w:rPr>
        <w:t>.</w:t>
      </w:r>
      <w:r w:rsidR="003E3C67" w:rsidRPr="003E3C67">
        <w:rPr>
          <w:rStyle w:val="FootnoteReference"/>
          <w:rFonts w:ascii="Verdana" w:hAnsi="Verdana"/>
          <w:lang w:val="en-HK"/>
        </w:rPr>
        <w:t xml:space="preserve"> </w:t>
      </w:r>
      <w:r w:rsidR="003E3C67">
        <w:rPr>
          <w:rStyle w:val="FootnoteReference"/>
          <w:rFonts w:ascii="Verdana" w:hAnsi="Verdana"/>
          <w:lang w:val="en-HK"/>
        </w:rPr>
        <w:footnoteReference w:id="37"/>
      </w:r>
      <w:r w:rsidR="005A35AC">
        <w:rPr>
          <w:rFonts w:ascii="Verdana" w:hAnsi="Verdana"/>
          <w:lang w:val="en-HK"/>
        </w:rPr>
        <w:t xml:space="preserve"> </w:t>
      </w:r>
      <w:r w:rsidR="00F27EB0">
        <w:rPr>
          <w:rFonts w:ascii="Verdana" w:hAnsi="Verdana"/>
          <w:lang w:val="en-HK"/>
        </w:rPr>
        <w:t xml:space="preserve">This </w:t>
      </w:r>
      <w:r w:rsidR="005A19A1">
        <w:rPr>
          <w:rFonts w:ascii="Verdana" w:hAnsi="Verdana"/>
          <w:lang w:val="en-HK"/>
        </w:rPr>
        <w:t>lends</w:t>
      </w:r>
      <w:r w:rsidR="00F27EB0">
        <w:rPr>
          <w:rFonts w:ascii="Verdana" w:hAnsi="Verdana"/>
          <w:lang w:val="en-HK"/>
        </w:rPr>
        <w:t xml:space="preserve"> support to the idea of a review mechanism </w:t>
      </w:r>
      <w:r w:rsidR="00403E43">
        <w:rPr>
          <w:rFonts w:ascii="Verdana" w:hAnsi="Verdana"/>
          <w:lang w:val="en-HK"/>
        </w:rPr>
        <w:t>to address offences that cannot ordinarily be spent under the legislation.</w:t>
      </w:r>
      <w:r w:rsidR="003E3C67">
        <w:rPr>
          <w:rFonts w:ascii="Verdana" w:hAnsi="Verdana"/>
          <w:lang w:val="en-HK"/>
        </w:rPr>
        <w:t xml:space="preserve"> </w:t>
      </w:r>
    </w:p>
    <w:p w14:paraId="3733C1B1" w14:textId="77777777" w:rsidR="00E01978" w:rsidRDefault="00E01978" w:rsidP="008B37E0">
      <w:pPr>
        <w:pStyle w:val="BasicParagraph"/>
        <w:suppressAutoHyphens/>
        <w:rPr>
          <w:rFonts w:ascii="Verdana" w:hAnsi="Verdana"/>
        </w:rPr>
      </w:pPr>
    </w:p>
    <w:p w14:paraId="579A7F3D" w14:textId="702FB246" w:rsidR="00923CD4" w:rsidRDefault="007D47FF" w:rsidP="006823A7">
      <w:pPr>
        <w:pStyle w:val="BasicParagraph"/>
        <w:suppressAutoHyphens/>
        <w:ind w:left="709" w:hanging="709"/>
        <w:rPr>
          <w:rFonts w:ascii="Verdana" w:hAnsi="Verdana"/>
          <w:lang w:val="en-HK"/>
        </w:rPr>
      </w:pPr>
      <w:r>
        <w:rPr>
          <w:rFonts w:ascii="Verdana" w:hAnsi="Verdana"/>
        </w:rPr>
        <w:lastRenderedPageBreak/>
        <w:t>4</w:t>
      </w:r>
      <w:r w:rsidR="00FB5AB4">
        <w:rPr>
          <w:rFonts w:ascii="Verdana" w:hAnsi="Verdana"/>
        </w:rPr>
        <w:t>.</w:t>
      </w:r>
      <w:r w:rsidR="00F710ED">
        <w:rPr>
          <w:rFonts w:ascii="Verdana" w:hAnsi="Verdana"/>
        </w:rPr>
        <w:t>10</w:t>
      </w:r>
      <w:r>
        <w:rPr>
          <w:rFonts w:ascii="Verdana" w:hAnsi="Verdana"/>
        </w:rPr>
        <w:tab/>
      </w:r>
      <w:r w:rsidR="00E01978">
        <w:rPr>
          <w:rFonts w:ascii="Verdana" w:hAnsi="Verdana"/>
        </w:rPr>
        <w:t>Such a review mechanism</w:t>
      </w:r>
      <w:r w:rsidR="008B37E0">
        <w:rPr>
          <w:rFonts w:ascii="Verdana" w:hAnsi="Verdana"/>
        </w:rPr>
        <w:t xml:space="preserve"> could operate with an individual submitting their request to an independent board to have their conviction spent, after a specified period of time proportionate to their sentence. </w:t>
      </w:r>
      <w:r w:rsidR="008B37E0">
        <w:rPr>
          <w:rFonts w:ascii="Verdana" w:hAnsi="Verdana"/>
          <w:lang w:val="en-HK"/>
        </w:rPr>
        <w:t xml:space="preserve">The independent board would then undertake an individualised risk assessment to ascertain whether an individual’s conviction can be spent. This mechanism could address more serious offences and still work towards ensuring that a proper balance is struck between the right of a person to rehabilitation and reintegration, and the protection of public safety and order. </w:t>
      </w:r>
    </w:p>
    <w:p w14:paraId="5D101C21" w14:textId="77777777" w:rsidR="002C4A9A" w:rsidRDefault="002C4A9A" w:rsidP="006823A7">
      <w:pPr>
        <w:pStyle w:val="BasicParagraph"/>
        <w:suppressAutoHyphens/>
        <w:ind w:left="709" w:hanging="709"/>
        <w:rPr>
          <w:rFonts w:ascii="Verdana" w:hAnsi="Verdana"/>
        </w:rPr>
      </w:pPr>
    </w:p>
    <w:p w14:paraId="4E13F714" w14:textId="051BD170" w:rsidR="002C4A9A" w:rsidRDefault="0052588D" w:rsidP="0052588D">
      <w:pPr>
        <w:pStyle w:val="BasicParagraph"/>
        <w:suppressAutoHyphens/>
        <w:ind w:left="709" w:hanging="709"/>
        <w:rPr>
          <w:rFonts w:ascii="Verdana" w:hAnsi="Verdana"/>
        </w:rPr>
      </w:pPr>
      <w:r>
        <w:rPr>
          <w:rFonts w:ascii="Verdana" w:hAnsi="Verdana"/>
        </w:rPr>
        <w:t>4.1</w:t>
      </w:r>
      <w:r w:rsidR="00F710ED">
        <w:rPr>
          <w:rFonts w:ascii="Verdana" w:hAnsi="Verdana"/>
        </w:rPr>
        <w:t>1</w:t>
      </w:r>
      <w:r>
        <w:rPr>
          <w:rFonts w:ascii="Verdana" w:hAnsi="Verdana"/>
        </w:rPr>
        <w:tab/>
      </w:r>
      <w:r w:rsidR="002C4A9A">
        <w:rPr>
          <w:rFonts w:ascii="Verdana" w:hAnsi="Verdana"/>
        </w:rPr>
        <w:t xml:space="preserve">In light of the rehabilitative aims of the legislation, and evidence supporting better outcomes at a societal and individual level following successful resettlement, the Commission suggests the </w:t>
      </w:r>
      <w:r w:rsidR="006B299F">
        <w:rPr>
          <w:rFonts w:ascii="Verdana" w:hAnsi="Verdana"/>
        </w:rPr>
        <w:t xml:space="preserve">Department explore the </w:t>
      </w:r>
      <w:r w:rsidR="002C4A9A">
        <w:rPr>
          <w:rFonts w:ascii="Verdana" w:hAnsi="Verdana"/>
        </w:rPr>
        <w:t>adoption of a review mechanism to examine sentences that cannot ordinarily be spent under the legislation.</w:t>
      </w:r>
    </w:p>
    <w:p w14:paraId="6EFA92FA" w14:textId="77777777" w:rsidR="006B299F" w:rsidRDefault="006B299F" w:rsidP="00B86F97">
      <w:pPr>
        <w:pStyle w:val="BasicParagraph"/>
        <w:suppressAutoHyphens/>
        <w:ind w:left="709"/>
        <w:rPr>
          <w:rFonts w:ascii="Verdana" w:hAnsi="Verdana"/>
        </w:rPr>
      </w:pPr>
    </w:p>
    <w:p w14:paraId="1DE5836C" w14:textId="510D39A7" w:rsidR="006B299F" w:rsidRDefault="0052588D" w:rsidP="0052588D">
      <w:pPr>
        <w:pStyle w:val="BasicParagraph"/>
        <w:suppressAutoHyphens/>
        <w:ind w:left="709" w:hanging="709"/>
        <w:rPr>
          <w:rFonts w:ascii="Verdana" w:hAnsi="Verdana"/>
          <w:lang w:val="en-HK"/>
        </w:rPr>
      </w:pPr>
      <w:r>
        <w:rPr>
          <w:rFonts w:ascii="Verdana" w:hAnsi="Verdana"/>
        </w:rPr>
        <w:t>4.1</w:t>
      </w:r>
      <w:r w:rsidR="00F710ED">
        <w:rPr>
          <w:rFonts w:ascii="Verdana" w:hAnsi="Verdana"/>
        </w:rPr>
        <w:t>2</w:t>
      </w:r>
      <w:r>
        <w:rPr>
          <w:rFonts w:ascii="Verdana" w:hAnsi="Verdana"/>
        </w:rPr>
        <w:tab/>
      </w:r>
      <w:r w:rsidR="006B299F">
        <w:rPr>
          <w:rFonts w:ascii="Verdana" w:hAnsi="Verdana"/>
        </w:rPr>
        <w:t xml:space="preserve">The Commission notes that the compliance of Article 6(1) with Article 8 ECHR is currently subject to ongoing judicial review proceedings. </w:t>
      </w:r>
    </w:p>
    <w:p w14:paraId="08EF90CB" w14:textId="77777777" w:rsidR="00990CD4" w:rsidRDefault="00990CD4" w:rsidP="006B299F">
      <w:pPr>
        <w:pStyle w:val="BasicParagraph"/>
        <w:suppressAutoHyphens/>
        <w:rPr>
          <w:rFonts w:ascii="Verdana" w:hAnsi="Verdana"/>
          <w:lang w:val="en-HK"/>
        </w:rPr>
      </w:pPr>
    </w:p>
    <w:p w14:paraId="699264F4" w14:textId="6C4136DB" w:rsidR="00990CD4" w:rsidRPr="00BE2CB5" w:rsidRDefault="00990CD4" w:rsidP="00990CD4">
      <w:pPr>
        <w:pStyle w:val="BasicParagraph"/>
        <w:suppressAutoHyphens/>
        <w:ind w:left="709" w:hanging="709"/>
        <w:rPr>
          <w:rFonts w:ascii="Verdana" w:hAnsi="Verdana"/>
          <w:b/>
          <w:bCs/>
          <w:lang w:val="en-HK"/>
        </w:rPr>
      </w:pPr>
      <w:r w:rsidRPr="00BE2CB5">
        <w:rPr>
          <w:rFonts w:ascii="Verdana" w:hAnsi="Verdana"/>
          <w:b/>
          <w:bCs/>
          <w:lang w:val="en-HK"/>
        </w:rPr>
        <w:t>4.1</w:t>
      </w:r>
      <w:r w:rsidR="00F710ED">
        <w:rPr>
          <w:rFonts w:ascii="Verdana" w:hAnsi="Verdana"/>
          <w:b/>
          <w:bCs/>
          <w:lang w:val="en-HK"/>
        </w:rPr>
        <w:t>3</w:t>
      </w:r>
      <w:r w:rsidRPr="00BE2CB5">
        <w:rPr>
          <w:rFonts w:ascii="Verdana" w:hAnsi="Verdana"/>
          <w:b/>
          <w:bCs/>
          <w:lang w:val="en-HK"/>
        </w:rPr>
        <w:tab/>
        <w:t xml:space="preserve">The Commission recommends </w:t>
      </w:r>
      <w:r w:rsidR="00B86F97">
        <w:rPr>
          <w:rFonts w:ascii="Verdana" w:hAnsi="Verdana"/>
          <w:b/>
          <w:bCs/>
          <w:lang w:val="en-HK"/>
        </w:rPr>
        <w:t>the development of</w:t>
      </w:r>
      <w:r w:rsidR="008D62B9">
        <w:rPr>
          <w:rFonts w:ascii="Verdana" w:hAnsi="Verdana"/>
          <w:b/>
          <w:bCs/>
          <w:lang w:val="en-HK"/>
        </w:rPr>
        <w:t xml:space="preserve"> significantly enhanced scope for rehabilitation alongside</w:t>
      </w:r>
      <w:r w:rsidR="00B86F97">
        <w:rPr>
          <w:rFonts w:ascii="Verdana" w:hAnsi="Verdana"/>
          <w:b/>
          <w:bCs/>
          <w:lang w:val="en-HK"/>
        </w:rPr>
        <w:t xml:space="preserve"> </w:t>
      </w:r>
      <w:r w:rsidRPr="00BE2CB5">
        <w:rPr>
          <w:rFonts w:ascii="Verdana" w:hAnsi="Verdana"/>
          <w:b/>
          <w:bCs/>
          <w:lang w:val="en-HK"/>
        </w:rPr>
        <w:t xml:space="preserve">a review mechanism to </w:t>
      </w:r>
      <w:r w:rsidR="00B86F97">
        <w:rPr>
          <w:rFonts w:ascii="Verdana" w:hAnsi="Verdana"/>
          <w:b/>
          <w:bCs/>
          <w:lang w:val="en-HK"/>
        </w:rPr>
        <w:t>ensure compliance with Article 8 ECHR.</w:t>
      </w:r>
    </w:p>
    <w:p w14:paraId="6AC34A9B" w14:textId="77777777" w:rsidR="0035142B" w:rsidRDefault="0035142B" w:rsidP="00283F53">
      <w:pPr>
        <w:pStyle w:val="BasicParagraph"/>
        <w:suppressAutoHyphens/>
        <w:rPr>
          <w:rFonts w:ascii="Verdana" w:hAnsi="Verdana"/>
          <w:lang w:val="en-HK"/>
        </w:rPr>
      </w:pPr>
    </w:p>
    <w:p w14:paraId="611203EF" w14:textId="76CA527C" w:rsidR="00923CD4" w:rsidRPr="00942548" w:rsidRDefault="005C1B2A" w:rsidP="00FB5AB4">
      <w:pPr>
        <w:pStyle w:val="BasicParagraph"/>
        <w:suppressAutoHyphens/>
        <w:ind w:left="709" w:hanging="709"/>
        <w:rPr>
          <w:rFonts w:ascii="Verdana" w:hAnsi="Verdana"/>
          <w:i/>
          <w:iCs/>
          <w:lang w:val="en-HK"/>
        </w:rPr>
      </w:pPr>
      <w:r w:rsidRPr="00942548">
        <w:rPr>
          <w:rFonts w:ascii="Verdana" w:hAnsi="Verdana"/>
          <w:i/>
          <w:iCs/>
          <w:lang w:val="en-HK"/>
        </w:rPr>
        <w:t>Conflict related offences</w:t>
      </w:r>
    </w:p>
    <w:p w14:paraId="4ACB45B3" w14:textId="77777777" w:rsidR="0052588D" w:rsidRDefault="0052588D" w:rsidP="00FB5AB4">
      <w:pPr>
        <w:pStyle w:val="BasicParagraph"/>
        <w:suppressAutoHyphens/>
        <w:ind w:left="709" w:hanging="709"/>
        <w:rPr>
          <w:rFonts w:ascii="Verdana" w:hAnsi="Verdana"/>
          <w:lang w:val="en-HK"/>
        </w:rPr>
      </w:pPr>
    </w:p>
    <w:p w14:paraId="0B2DC9AF" w14:textId="790D6546" w:rsidR="0035142B" w:rsidRDefault="007D47FF" w:rsidP="0035142B">
      <w:pPr>
        <w:pStyle w:val="BasicParagraph"/>
        <w:suppressAutoHyphens/>
        <w:ind w:left="709" w:hanging="709"/>
        <w:rPr>
          <w:rFonts w:ascii="Verdana" w:hAnsi="Verdana"/>
          <w:lang w:val="en-HK"/>
        </w:rPr>
      </w:pPr>
      <w:r>
        <w:rPr>
          <w:rFonts w:ascii="Verdana" w:hAnsi="Verdana"/>
          <w:lang w:val="en-HK"/>
        </w:rPr>
        <w:t>4.</w:t>
      </w:r>
      <w:r w:rsidR="00494D43">
        <w:rPr>
          <w:rFonts w:ascii="Verdana" w:hAnsi="Verdana"/>
          <w:lang w:val="en-HK"/>
        </w:rPr>
        <w:t>1</w:t>
      </w:r>
      <w:r w:rsidR="00F710ED">
        <w:rPr>
          <w:rFonts w:ascii="Verdana" w:hAnsi="Verdana"/>
          <w:lang w:val="en-HK"/>
        </w:rPr>
        <w:t>4</w:t>
      </w:r>
      <w:r>
        <w:rPr>
          <w:rFonts w:ascii="Verdana" w:hAnsi="Verdana"/>
          <w:lang w:val="en-HK"/>
        </w:rPr>
        <w:tab/>
      </w:r>
      <w:r w:rsidR="005C1B2A">
        <w:rPr>
          <w:rFonts w:ascii="Verdana" w:hAnsi="Verdana"/>
          <w:lang w:val="en-HK"/>
        </w:rPr>
        <w:t xml:space="preserve">The Commission notes that there is no reference to conflict related offences in the consultation document save for the exclusion of terrorist offences from proposals to increase the limit under which convictions can become spent. </w:t>
      </w:r>
      <w:r w:rsidR="001C3000">
        <w:rPr>
          <w:rFonts w:ascii="Verdana" w:hAnsi="Verdana"/>
        </w:rPr>
        <w:t xml:space="preserve"> According to NIACRO,</w:t>
      </w:r>
      <w:r w:rsidR="001C3000" w:rsidRPr="001C3000">
        <w:rPr>
          <w:rFonts w:ascii="Verdana" w:hAnsi="Verdana"/>
          <w:lang w:val="en-HK"/>
        </w:rPr>
        <w:t xml:space="preserve"> </w:t>
      </w:r>
      <w:r w:rsidR="00AE5DB2">
        <w:rPr>
          <w:rFonts w:ascii="Verdana" w:hAnsi="Verdana"/>
          <w:lang w:val="en-HK"/>
        </w:rPr>
        <w:t xml:space="preserve">it </w:t>
      </w:r>
      <w:r w:rsidR="001C3000" w:rsidRPr="001C3000">
        <w:rPr>
          <w:rFonts w:ascii="Verdana" w:hAnsi="Verdana"/>
          <w:lang w:val="en-HK"/>
        </w:rPr>
        <w:t>is estimated that over 30,000 individuals have conflict related offences, mostly young men serving long sentences subject to the same disclosure arrangements as any other offences under the Rehabilitation Order 1978.</w:t>
      </w:r>
      <w:r w:rsidR="00FD2B4D">
        <w:rPr>
          <w:rStyle w:val="FootnoteReference"/>
          <w:rFonts w:ascii="Verdana" w:hAnsi="Verdana"/>
          <w:lang w:val="en-HK"/>
        </w:rPr>
        <w:footnoteReference w:id="38"/>
      </w:r>
      <w:r w:rsidR="001C3000" w:rsidRPr="001C3000">
        <w:rPr>
          <w:rFonts w:ascii="Verdana" w:hAnsi="Verdana"/>
          <w:lang w:val="en-HK"/>
        </w:rPr>
        <w:t xml:space="preserve"> </w:t>
      </w:r>
      <w:r w:rsidR="005C1B2A">
        <w:rPr>
          <w:rFonts w:ascii="Verdana" w:hAnsi="Verdana"/>
          <w:lang w:val="en-HK"/>
        </w:rPr>
        <w:t>Giv</w:t>
      </w:r>
      <w:r w:rsidR="008B26FB">
        <w:rPr>
          <w:rFonts w:ascii="Verdana" w:hAnsi="Verdana"/>
          <w:lang w:val="en-HK"/>
        </w:rPr>
        <w:t>en</w:t>
      </w:r>
      <w:r w:rsidR="005C1B2A">
        <w:rPr>
          <w:rFonts w:ascii="Verdana" w:hAnsi="Verdana"/>
          <w:lang w:val="en-HK"/>
        </w:rPr>
        <w:t xml:space="preserve"> the </w:t>
      </w:r>
      <w:r w:rsidR="0035142B">
        <w:rPr>
          <w:rFonts w:ascii="Verdana" w:hAnsi="Verdana"/>
          <w:lang w:val="en-HK"/>
        </w:rPr>
        <w:t xml:space="preserve">prevalence of conflict related offences in Northern Ireland, and the continuing work on the reintegration of ex-offenders, this </w:t>
      </w:r>
      <w:r w:rsidR="005C1B2A">
        <w:rPr>
          <w:rFonts w:ascii="Verdana" w:hAnsi="Verdana"/>
          <w:lang w:val="en-HK"/>
        </w:rPr>
        <w:t>should be an issue that</w:t>
      </w:r>
      <w:r w:rsidR="0035142B">
        <w:rPr>
          <w:rFonts w:ascii="Verdana" w:hAnsi="Verdana"/>
          <w:lang w:val="en-HK"/>
        </w:rPr>
        <w:t xml:space="preserve"> is addressed by</w:t>
      </w:r>
      <w:r w:rsidR="005C1B2A">
        <w:rPr>
          <w:rFonts w:ascii="Verdana" w:hAnsi="Verdana"/>
          <w:lang w:val="en-HK"/>
        </w:rPr>
        <w:t xml:space="preserve"> the Department</w:t>
      </w:r>
      <w:r w:rsidR="0035142B">
        <w:rPr>
          <w:rFonts w:ascii="Verdana" w:hAnsi="Verdana"/>
          <w:lang w:val="en-HK"/>
        </w:rPr>
        <w:t>.</w:t>
      </w:r>
      <w:r w:rsidR="005C1B2A">
        <w:rPr>
          <w:rFonts w:ascii="Verdana" w:hAnsi="Verdana"/>
          <w:lang w:val="en-HK"/>
        </w:rPr>
        <w:t xml:space="preserve"> </w:t>
      </w:r>
    </w:p>
    <w:p w14:paraId="769EFA97" w14:textId="77777777" w:rsidR="0035142B" w:rsidRDefault="0035142B" w:rsidP="0035142B">
      <w:pPr>
        <w:pStyle w:val="BasicParagraph"/>
        <w:suppressAutoHyphens/>
        <w:ind w:left="709" w:hanging="709"/>
        <w:rPr>
          <w:rFonts w:ascii="Verdana" w:hAnsi="Verdana"/>
        </w:rPr>
      </w:pPr>
    </w:p>
    <w:p w14:paraId="3E5CC755" w14:textId="1F8356CF" w:rsidR="006B0354" w:rsidRDefault="0035142B" w:rsidP="006B0354">
      <w:pPr>
        <w:pStyle w:val="BasicParagraph"/>
        <w:suppressAutoHyphens/>
        <w:ind w:left="709" w:hanging="709"/>
        <w:rPr>
          <w:rFonts w:ascii="Verdana" w:hAnsi="Verdana"/>
          <w:lang w:val="en-HK"/>
        </w:rPr>
      </w:pPr>
      <w:r>
        <w:rPr>
          <w:rFonts w:ascii="Verdana" w:hAnsi="Verdana"/>
        </w:rPr>
        <w:t>4.1</w:t>
      </w:r>
      <w:r w:rsidR="00F710ED">
        <w:rPr>
          <w:rFonts w:ascii="Verdana" w:hAnsi="Verdana"/>
        </w:rPr>
        <w:t>5</w:t>
      </w:r>
      <w:r>
        <w:rPr>
          <w:rFonts w:ascii="Verdana" w:hAnsi="Verdana"/>
        </w:rPr>
        <w:t xml:space="preserve"> </w:t>
      </w:r>
      <w:r w:rsidR="00283F53">
        <w:rPr>
          <w:rFonts w:ascii="Verdana" w:hAnsi="Verdana"/>
        </w:rPr>
        <w:t xml:space="preserve"> </w:t>
      </w:r>
      <w:r>
        <w:rPr>
          <w:rFonts w:ascii="Verdana" w:hAnsi="Verdana"/>
        </w:rPr>
        <w:t xml:space="preserve">The Fresh Start Agreement commits to “the </w:t>
      </w:r>
      <w:r w:rsidRPr="001B5499">
        <w:rPr>
          <w:rFonts w:ascii="Verdana" w:hAnsi="Verdana"/>
        </w:rPr>
        <w:t>reintegrat</w:t>
      </w:r>
      <w:r>
        <w:rPr>
          <w:rFonts w:ascii="Verdana" w:hAnsi="Verdana"/>
        </w:rPr>
        <w:t>ion</w:t>
      </w:r>
      <w:r w:rsidRPr="001B5499">
        <w:rPr>
          <w:rFonts w:ascii="Verdana" w:hAnsi="Verdana"/>
        </w:rPr>
        <w:t xml:space="preserve"> </w:t>
      </w:r>
      <w:r w:rsidR="00AF01A8">
        <w:rPr>
          <w:rFonts w:ascii="Verdana" w:hAnsi="Verdana"/>
        </w:rPr>
        <w:t xml:space="preserve">of </w:t>
      </w:r>
      <w:r w:rsidRPr="001B5499">
        <w:rPr>
          <w:rFonts w:ascii="Verdana" w:hAnsi="Verdana"/>
        </w:rPr>
        <w:t>people previously involved in the Troubles taking into</w:t>
      </w:r>
      <w:r>
        <w:rPr>
          <w:rFonts w:ascii="Verdana" w:hAnsi="Verdana"/>
        </w:rPr>
        <w:t xml:space="preserve"> </w:t>
      </w:r>
      <w:r w:rsidRPr="001B5499">
        <w:rPr>
          <w:rFonts w:ascii="Verdana" w:hAnsi="Verdana"/>
        </w:rPr>
        <w:t xml:space="preserve">account the report of the </w:t>
      </w:r>
      <w:r w:rsidRPr="001B5499">
        <w:rPr>
          <w:rFonts w:ascii="Verdana" w:hAnsi="Verdana"/>
        </w:rPr>
        <w:lastRenderedPageBreak/>
        <w:t>Review Panel on employers’ guidance on recruiting</w:t>
      </w:r>
      <w:r>
        <w:rPr>
          <w:rFonts w:ascii="Verdana" w:hAnsi="Verdana"/>
        </w:rPr>
        <w:t>”</w:t>
      </w:r>
      <w:r w:rsidRPr="001B5499">
        <w:rPr>
          <w:rFonts w:ascii="Verdana" w:hAnsi="Verdana"/>
        </w:rPr>
        <w:t>.</w:t>
      </w:r>
      <w:r>
        <w:rPr>
          <w:rStyle w:val="FootnoteReference"/>
          <w:rFonts w:ascii="Verdana" w:hAnsi="Verdana"/>
        </w:rPr>
        <w:footnoteReference w:id="39"/>
      </w:r>
      <w:r>
        <w:rPr>
          <w:rFonts w:ascii="Verdana" w:hAnsi="Verdana"/>
        </w:rPr>
        <w:t xml:space="preserve"> In turn, the </w:t>
      </w:r>
      <w:r w:rsidRPr="009C187E">
        <w:rPr>
          <w:rFonts w:ascii="Verdana" w:hAnsi="Verdana"/>
        </w:rPr>
        <w:t xml:space="preserve">guidance </w:t>
      </w:r>
      <w:r>
        <w:rPr>
          <w:rFonts w:ascii="Verdana" w:hAnsi="Verdana"/>
        </w:rPr>
        <w:t xml:space="preserve">document </w:t>
      </w:r>
      <w:r w:rsidRPr="009C187E">
        <w:rPr>
          <w:rFonts w:ascii="Verdana" w:hAnsi="Verdana"/>
        </w:rPr>
        <w:t xml:space="preserve">advises </w:t>
      </w:r>
      <w:r>
        <w:rPr>
          <w:rFonts w:ascii="Verdana" w:hAnsi="Verdana"/>
        </w:rPr>
        <w:t xml:space="preserve">that any conviction for a conflict-related offence that pre-dates the Good Friday Agreement (April 1998) should not be taken into account by an employer </w:t>
      </w:r>
      <w:r w:rsidRPr="009C187E">
        <w:rPr>
          <w:rFonts w:ascii="Verdana" w:hAnsi="Verdana"/>
        </w:rPr>
        <w:t>unless it is materially relevant to the post.</w:t>
      </w:r>
      <w:r>
        <w:rPr>
          <w:rStyle w:val="FootnoteReference"/>
          <w:rFonts w:ascii="Verdana" w:hAnsi="Verdana"/>
        </w:rPr>
        <w:footnoteReference w:id="40"/>
      </w:r>
      <w:r>
        <w:rPr>
          <w:rFonts w:ascii="Verdana" w:hAnsi="Verdana"/>
        </w:rPr>
        <w:t xml:space="preserve"> Furthermore, in its second report, the Review Panel on the Guidance points to evidence inferring that the majority of former conflict-related offenders are capable, dependable and reliable employees who pose no risk to their colleagues, clients or the business for whom they work, when they are employed.</w:t>
      </w:r>
      <w:r>
        <w:rPr>
          <w:rStyle w:val="FootnoteReference"/>
          <w:rFonts w:ascii="Verdana" w:hAnsi="Verdana"/>
        </w:rPr>
        <w:footnoteReference w:id="41"/>
      </w:r>
    </w:p>
    <w:p w14:paraId="2E1C45C9" w14:textId="77777777" w:rsidR="006B0354" w:rsidRDefault="006B0354" w:rsidP="006B0354">
      <w:pPr>
        <w:pStyle w:val="BasicParagraph"/>
        <w:suppressAutoHyphens/>
        <w:ind w:left="709" w:hanging="709"/>
        <w:rPr>
          <w:rFonts w:ascii="Verdana" w:hAnsi="Verdana"/>
          <w:lang w:val="en-HK"/>
        </w:rPr>
      </w:pPr>
    </w:p>
    <w:p w14:paraId="6914D4F8" w14:textId="11F31D2D" w:rsidR="007766A5" w:rsidRDefault="006B0354" w:rsidP="006B0354">
      <w:pPr>
        <w:pStyle w:val="BasicParagraph"/>
        <w:suppressAutoHyphens/>
        <w:ind w:left="709" w:hanging="709"/>
        <w:rPr>
          <w:rFonts w:ascii="Verdana" w:hAnsi="Verdana"/>
          <w:lang w:val="en-HK"/>
        </w:rPr>
      </w:pPr>
      <w:r>
        <w:rPr>
          <w:rFonts w:ascii="Verdana" w:hAnsi="Verdana"/>
          <w:lang w:val="en-HK"/>
        </w:rPr>
        <w:t>4.1</w:t>
      </w:r>
      <w:r w:rsidR="00F710ED">
        <w:rPr>
          <w:rFonts w:ascii="Verdana" w:hAnsi="Verdana"/>
          <w:lang w:val="en-HK"/>
        </w:rPr>
        <w:t>6</w:t>
      </w:r>
      <w:r>
        <w:rPr>
          <w:rFonts w:ascii="Verdana" w:hAnsi="Verdana"/>
          <w:lang w:val="en-HK"/>
        </w:rPr>
        <w:tab/>
      </w:r>
      <w:r w:rsidR="0035142B">
        <w:rPr>
          <w:rFonts w:ascii="Verdana" w:hAnsi="Verdana"/>
          <w:lang w:val="en-HK"/>
        </w:rPr>
        <w:t>T</w:t>
      </w:r>
      <w:r w:rsidR="00672897">
        <w:rPr>
          <w:rFonts w:ascii="Verdana" w:hAnsi="Verdana"/>
          <w:lang w:val="en-HK"/>
        </w:rPr>
        <w:t xml:space="preserve">he Department of Justice </w:t>
      </w:r>
      <w:r w:rsidR="0035142B">
        <w:rPr>
          <w:rFonts w:ascii="Verdana" w:hAnsi="Verdana"/>
          <w:lang w:val="en-HK"/>
        </w:rPr>
        <w:t xml:space="preserve">may wish to </w:t>
      </w:r>
      <w:r w:rsidR="00672897">
        <w:rPr>
          <w:rFonts w:ascii="Verdana" w:hAnsi="Verdana"/>
          <w:lang w:val="en-HK"/>
        </w:rPr>
        <w:t xml:space="preserve">liaise with the </w:t>
      </w:r>
      <w:r w:rsidR="0035142B">
        <w:rPr>
          <w:rFonts w:ascii="Verdana" w:hAnsi="Verdana"/>
          <w:lang w:val="en-HK"/>
        </w:rPr>
        <w:t>Review Panel</w:t>
      </w:r>
      <w:r w:rsidR="008D62B9">
        <w:rPr>
          <w:rFonts w:ascii="Verdana" w:hAnsi="Verdana"/>
          <w:lang w:val="en-HK"/>
        </w:rPr>
        <w:t>,</w:t>
      </w:r>
      <w:r w:rsidR="0035142B">
        <w:rPr>
          <w:rFonts w:ascii="Verdana" w:hAnsi="Verdana"/>
          <w:lang w:val="en-HK"/>
        </w:rPr>
        <w:t xml:space="preserve"> the Ex-prisoners </w:t>
      </w:r>
      <w:r w:rsidR="00672897">
        <w:rPr>
          <w:rFonts w:ascii="Verdana" w:hAnsi="Verdana"/>
          <w:lang w:val="en-HK"/>
        </w:rPr>
        <w:t>working group</w:t>
      </w:r>
      <w:r w:rsidR="008D62B9">
        <w:rPr>
          <w:rFonts w:ascii="Verdana" w:hAnsi="Verdana"/>
          <w:lang w:val="en-HK"/>
        </w:rPr>
        <w:t xml:space="preserve"> and other relevant stakeholders</w:t>
      </w:r>
      <w:r w:rsidR="00672897">
        <w:rPr>
          <w:rFonts w:ascii="Verdana" w:hAnsi="Verdana"/>
          <w:lang w:val="en-HK"/>
        </w:rPr>
        <w:t xml:space="preserve"> </w:t>
      </w:r>
      <w:r w:rsidR="00C50A13">
        <w:rPr>
          <w:rFonts w:ascii="Verdana" w:hAnsi="Verdana"/>
          <w:lang w:val="en-HK"/>
        </w:rPr>
        <w:t>with respect to fu</w:t>
      </w:r>
      <w:r w:rsidR="00BC5856">
        <w:rPr>
          <w:rFonts w:ascii="Verdana" w:hAnsi="Verdana"/>
          <w:lang w:val="en-HK"/>
        </w:rPr>
        <w:t>ture</w:t>
      </w:r>
      <w:r w:rsidR="00C50A13">
        <w:rPr>
          <w:rFonts w:ascii="Verdana" w:hAnsi="Verdana"/>
          <w:lang w:val="en-HK"/>
        </w:rPr>
        <w:t xml:space="preserve"> developments </w:t>
      </w:r>
      <w:r w:rsidR="00220956">
        <w:rPr>
          <w:rFonts w:ascii="Verdana" w:hAnsi="Verdana"/>
          <w:lang w:val="en-HK"/>
        </w:rPr>
        <w:t xml:space="preserve">relating to the reform of </w:t>
      </w:r>
      <w:r w:rsidR="003B5E19">
        <w:rPr>
          <w:rFonts w:ascii="Verdana" w:hAnsi="Verdana"/>
          <w:lang w:val="en-HK"/>
        </w:rPr>
        <w:t xml:space="preserve">legislative </w:t>
      </w:r>
      <w:r w:rsidR="00923765">
        <w:rPr>
          <w:rFonts w:ascii="Verdana" w:hAnsi="Verdana"/>
          <w:lang w:val="en-HK"/>
        </w:rPr>
        <w:t xml:space="preserve">and policy </w:t>
      </w:r>
      <w:r w:rsidR="003B5E19">
        <w:rPr>
          <w:rFonts w:ascii="Verdana" w:hAnsi="Verdana"/>
          <w:lang w:val="en-HK"/>
        </w:rPr>
        <w:t xml:space="preserve">measures </w:t>
      </w:r>
      <w:r w:rsidR="00F85E12">
        <w:rPr>
          <w:rFonts w:ascii="Verdana" w:hAnsi="Verdana"/>
          <w:lang w:val="en-HK"/>
        </w:rPr>
        <w:t>on</w:t>
      </w:r>
      <w:r w:rsidR="003B5E19">
        <w:rPr>
          <w:rFonts w:ascii="Verdana" w:hAnsi="Verdana"/>
          <w:lang w:val="en-HK"/>
        </w:rPr>
        <w:t xml:space="preserve"> the </w:t>
      </w:r>
      <w:r w:rsidR="00220956">
        <w:rPr>
          <w:rFonts w:ascii="Verdana" w:hAnsi="Verdana"/>
          <w:lang w:val="en-HK"/>
        </w:rPr>
        <w:t>rehabilitation of offenders</w:t>
      </w:r>
      <w:r w:rsidR="00BC5856">
        <w:rPr>
          <w:rFonts w:ascii="Verdana" w:hAnsi="Verdana"/>
          <w:lang w:val="en-HK"/>
        </w:rPr>
        <w:t>.</w:t>
      </w:r>
    </w:p>
    <w:p w14:paraId="5201CD1F" w14:textId="2B25E01C" w:rsidR="00356F3E" w:rsidRDefault="00356F3E" w:rsidP="004335B9">
      <w:pPr>
        <w:pStyle w:val="BasicParagraph"/>
        <w:suppressAutoHyphens/>
        <w:rPr>
          <w:rFonts w:ascii="Verdana" w:hAnsi="Verdana"/>
          <w:lang w:val="en-HK"/>
        </w:rPr>
      </w:pPr>
    </w:p>
    <w:p w14:paraId="671359A7" w14:textId="77777777" w:rsidR="004335B9" w:rsidRPr="00BE2CB5" w:rsidRDefault="004335B9" w:rsidP="004335B9">
      <w:pPr>
        <w:pStyle w:val="BasicParagraph"/>
        <w:suppressAutoHyphens/>
        <w:rPr>
          <w:rFonts w:ascii="Verdana" w:hAnsi="Verdana"/>
          <w:b/>
          <w:bCs/>
          <w:lang w:val="en-HK"/>
        </w:rPr>
      </w:pPr>
    </w:p>
    <w:p w14:paraId="2A270CC8" w14:textId="1AFC18D0" w:rsidR="00356F3E" w:rsidRPr="00BE2CB5" w:rsidRDefault="00356F3E" w:rsidP="00FB5AB4">
      <w:pPr>
        <w:pStyle w:val="BasicParagraph"/>
        <w:suppressAutoHyphens/>
        <w:ind w:left="709" w:hanging="709"/>
        <w:rPr>
          <w:rFonts w:ascii="Verdana" w:hAnsi="Verdana"/>
          <w:b/>
          <w:bCs/>
        </w:rPr>
      </w:pPr>
      <w:r w:rsidRPr="00BE2CB5">
        <w:rPr>
          <w:rFonts w:ascii="Verdana" w:hAnsi="Verdana"/>
          <w:b/>
          <w:bCs/>
          <w:lang w:val="en-HK"/>
        </w:rPr>
        <w:t>4.1</w:t>
      </w:r>
      <w:r w:rsidR="00F710ED">
        <w:rPr>
          <w:rFonts w:ascii="Verdana" w:hAnsi="Verdana"/>
          <w:b/>
          <w:bCs/>
          <w:lang w:val="en-HK"/>
        </w:rPr>
        <w:t>7</w:t>
      </w:r>
      <w:r w:rsidRPr="00BE2CB5">
        <w:rPr>
          <w:rFonts w:ascii="Verdana" w:hAnsi="Verdana"/>
          <w:b/>
          <w:bCs/>
          <w:lang w:val="en-HK"/>
        </w:rPr>
        <w:tab/>
        <w:t xml:space="preserve">The Commission recommends </w:t>
      </w:r>
      <w:r w:rsidR="00607EFC" w:rsidRPr="00BE2CB5">
        <w:rPr>
          <w:rFonts w:ascii="Verdana" w:hAnsi="Verdana"/>
          <w:b/>
          <w:bCs/>
          <w:lang w:val="en-HK"/>
        </w:rPr>
        <w:t>that</w:t>
      </w:r>
      <w:r w:rsidR="00CF4715" w:rsidRPr="00BE2CB5">
        <w:rPr>
          <w:rFonts w:ascii="Verdana" w:hAnsi="Verdana"/>
          <w:b/>
          <w:bCs/>
          <w:lang w:val="en-HK"/>
        </w:rPr>
        <w:t xml:space="preserve"> there is additional consideration </w:t>
      </w:r>
      <w:r w:rsidR="003A5FFB" w:rsidRPr="00BE2CB5">
        <w:rPr>
          <w:rFonts w:ascii="Verdana" w:hAnsi="Verdana"/>
          <w:b/>
          <w:bCs/>
          <w:lang w:val="en-HK"/>
        </w:rPr>
        <w:t>regarding the spending of con</w:t>
      </w:r>
      <w:r w:rsidR="003D57A2" w:rsidRPr="00BE2CB5">
        <w:rPr>
          <w:rFonts w:ascii="Verdana" w:hAnsi="Verdana"/>
          <w:b/>
          <w:bCs/>
          <w:lang w:val="en-HK"/>
        </w:rPr>
        <w:t xml:space="preserve">flict-related convictions that pre-date </w:t>
      </w:r>
      <w:r w:rsidR="001E5C57" w:rsidRPr="00BE2CB5">
        <w:rPr>
          <w:rFonts w:ascii="Verdana" w:hAnsi="Verdana"/>
          <w:b/>
          <w:bCs/>
        </w:rPr>
        <w:t>the Good Friday Agreement (April 1998)</w:t>
      </w:r>
      <w:r w:rsidR="00E83EA4" w:rsidRPr="00BE2CB5">
        <w:rPr>
          <w:rFonts w:ascii="Verdana" w:hAnsi="Verdana"/>
          <w:b/>
          <w:bCs/>
        </w:rPr>
        <w:t>.</w:t>
      </w:r>
    </w:p>
    <w:p w14:paraId="37222B6D" w14:textId="77777777" w:rsidR="00E90716" w:rsidRPr="00BE2CB5" w:rsidRDefault="00E90716" w:rsidP="00FB5AB4">
      <w:pPr>
        <w:pStyle w:val="BasicParagraph"/>
        <w:suppressAutoHyphens/>
        <w:ind w:left="709" w:hanging="709"/>
        <w:rPr>
          <w:rFonts w:ascii="Verdana" w:hAnsi="Verdana"/>
          <w:b/>
          <w:bCs/>
        </w:rPr>
      </w:pPr>
    </w:p>
    <w:p w14:paraId="34E8B51D" w14:textId="118068E9" w:rsidR="00E90716" w:rsidRPr="00BE2CB5" w:rsidRDefault="00E90716" w:rsidP="00FB5AB4">
      <w:pPr>
        <w:pStyle w:val="BasicParagraph"/>
        <w:suppressAutoHyphens/>
        <w:ind w:left="709" w:hanging="709"/>
        <w:rPr>
          <w:rFonts w:ascii="Verdana" w:hAnsi="Verdana"/>
          <w:b/>
          <w:bCs/>
          <w:lang w:val="en-HK"/>
        </w:rPr>
      </w:pPr>
      <w:r w:rsidRPr="00BE2CB5">
        <w:rPr>
          <w:rFonts w:ascii="Verdana" w:hAnsi="Verdana"/>
          <w:b/>
          <w:bCs/>
        </w:rPr>
        <w:t>4.1</w:t>
      </w:r>
      <w:r w:rsidR="00F710ED">
        <w:rPr>
          <w:rFonts w:ascii="Verdana" w:hAnsi="Verdana"/>
          <w:b/>
          <w:bCs/>
        </w:rPr>
        <w:t>8</w:t>
      </w:r>
      <w:r w:rsidRPr="00BE2CB5">
        <w:rPr>
          <w:rFonts w:ascii="Verdana" w:hAnsi="Verdana"/>
          <w:b/>
          <w:bCs/>
        </w:rPr>
        <w:tab/>
        <w:t>The Commission recommends that the Department of Justice liaise with the ex-prisoners working group</w:t>
      </w:r>
      <w:r w:rsidR="008D62B9">
        <w:rPr>
          <w:rFonts w:ascii="Verdana" w:hAnsi="Verdana"/>
          <w:b/>
          <w:bCs/>
        </w:rPr>
        <w:t>, the Review Panel and other relevant stakeholders</w:t>
      </w:r>
      <w:r w:rsidRPr="00BE2CB5">
        <w:rPr>
          <w:rFonts w:ascii="Verdana" w:hAnsi="Verdana"/>
          <w:b/>
          <w:bCs/>
        </w:rPr>
        <w:t xml:space="preserve"> in respect of future developments </w:t>
      </w:r>
      <w:r w:rsidR="003E1BA2" w:rsidRPr="00BE2CB5">
        <w:rPr>
          <w:rFonts w:ascii="Verdana" w:hAnsi="Verdana"/>
          <w:b/>
          <w:bCs/>
        </w:rPr>
        <w:t>on this legislation.</w:t>
      </w:r>
    </w:p>
    <w:p w14:paraId="5E78DC12" w14:textId="77777777" w:rsidR="008B37E0" w:rsidRPr="000E7CAC" w:rsidRDefault="008B37E0" w:rsidP="008B37E0">
      <w:pPr>
        <w:pStyle w:val="BasicParagraph"/>
        <w:suppressAutoHyphens/>
        <w:rPr>
          <w:rFonts w:ascii="Verdana" w:hAnsi="Verdana"/>
          <w:lang w:val="en-HK"/>
        </w:rPr>
      </w:pPr>
    </w:p>
    <w:p w14:paraId="5D9F83C4" w14:textId="77777777" w:rsidR="008B37E0" w:rsidRPr="00EA0ADF" w:rsidRDefault="008B37E0" w:rsidP="008B37E0">
      <w:pPr>
        <w:pStyle w:val="BasicParagraph"/>
        <w:suppressAutoHyphens/>
        <w:rPr>
          <w:rFonts w:ascii="Verdana" w:hAnsi="Verdana"/>
          <w:lang w:val="en-HK"/>
        </w:rPr>
      </w:pPr>
      <w:r>
        <w:rPr>
          <w:rFonts w:ascii="Verdana" w:hAnsi="Verdana"/>
        </w:rPr>
        <w:t xml:space="preserve">The Commission will provide further advice once more detail becomes available from the Department in respect of its plans to take this work forward. </w:t>
      </w:r>
    </w:p>
    <w:p w14:paraId="4B8EDF41" w14:textId="77777777" w:rsidR="008B37E0" w:rsidRPr="00EA0ADF" w:rsidRDefault="008B37E0" w:rsidP="008B37E0">
      <w:pPr>
        <w:pStyle w:val="BasicParagraph"/>
        <w:suppressAutoHyphens/>
        <w:rPr>
          <w:rFonts w:ascii="Verdana" w:hAnsi="Verdana"/>
          <w:lang w:val="en-HK"/>
        </w:rPr>
      </w:pPr>
    </w:p>
    <w:p w14:paraId="43178D6A" w14:textId="77777777" w:rsidR="008B37E0" w:rsidRPr="00C2520D" w:rsidRDefault="008B37E0" w:rsidP="00331C61">
      <w:pPr>
        <w:pStyle w:val="BasicParagraph"/>
        <w:suppressAutoHyphens/>
        <w:rPr>
          <w:rFonts w:ascii="Verdana" w:hAnsi="Verdana" w:cs="Arial"/>
          <w:color w:val="232120"/>
          <w:lang w:val="en-HK"/>
        </w:rPr>
      </w:pPr>
    </w:p>
    <w:p w14:paraId="7998FC50" w14:textId="77777777" w:rsidR="003B7D0E" w:rsidRPr="00331C61" w:rsidRDefault="003B7D0E" w:rsidP="00331C61">
      <w:pPr>
        <w:pStyle w:val="BasicParagraph"/>
        <w:suppressAutoHyphens/>
        <w:rPr>
          <w:rFonts w:ascii="Verdana" w:hAnsi="Verdana" w:cs="Arial"/>
          <w:color w:val="232120"/>
          <w:sz w:val="20"/>
          <w:szCs w:val="20"/>
        </w:rPr>
      </w:pPr>
    </w:p>
    <w:p w14:paraId="7D147CF9" w14:textId="77777777" w:rsidR="003B7D0E" w:rsidRDefault="003B7D0E" w:rsidP="003B7D0E">
      <w:pPr>
        <w:pStyle w:val="BasicParagraph"/>
        <w:suppressAutoHyphens/>
        <w:jc w:val="center"/>
        <w:rPr>
          <w:rFonts w:ascii="Verdana" w:hAnsi="Verdana" w:cs="Arial"/>
          <w:color w:val="3C3C3B"/>
          <w:sz w:val="20"/>
          <w:szCs w:val="20"/>
        </w:rPr>
      </w:pPr>
    </w:p>
    <w:p w14:paraId="160B5CAA" w14:textId="77777777" w:rsidR="003B7D0E" w:rsidRDefault="003B7D0E" w:rsidP="003B7D0E">
      <w:pPr>
        <w:pStyle w:val="BasicParagraph"/>
        <w:suppressAutoHyphens/>
        <w:jc w:val="center"/>
        <w:rPr>
          <w:rFonts w:ascii="Verdana" w:hAnsi="Verdana" w:cs="Arial"/>
          <w:color w:val="3C3C3B"/>
          <w:sz w:val="20"/>
          <w:szCs w:val="20"/>
        </w:rPr>
      </w:pPr>
    </w:p>
    <w:p w14:paraId="4CEE9124" w14:textId="77777777" w:rsidR="003B7D0E" w:rsidRDefault="003B7D0E" w:rsidP="003B7D0E">
      <w:pPr>
        <w:pStyle w:val="BasicParagraph"/>
        <w:suppressAutoHyphens/>
        <w:jc w:val="center"/>
        <w:rPr>
          <w:rFonts w:ascii="Verdana" w:hAnsi="Verdana" w:cs="Arial"/>
          <w:color w:val="3C3C3B"/>
          <w:sz w:val="20"/>
          <w:szCs w:val="20"/>
        </w:rPr>
      </w:pPr>
    </w:p>
    <w:p w14:paraId="7742F26F" w14:textId="77777777" w:rsidR="003B7D0E" w:rsidRDefault="003B7D0E" w:rsidP="003B7D0E">
      <w:pPr>
        <w:pStyle w:val="BasicParagraph"/>
        <w:suppressAutoHyphens/>
        <w:jc w:val="center"/>
        <w:rPr>
          <w:rFonts w:ascii="Verdana" w:hAnsi="Verdana" w:cs="Arial"/>
          <w:color w:val="3C3C3B"/>
          <w:sz w:val="20"/>
          <w:szCs w:val="20"/>
        </w:rPr>
      </w:pPr>
    </w:p>
    <w:p w14:paraId="5E5B7CCA" w14:textId="77777777" w:rsidR="003B7D0E" w:rsidRDefault="003B7D0E" w:rsidP="003B7D0E">
      <w:pPr>
        <w:pStyle w:val="BasicParagraph"/>
        <w:suppressAutoHyphens/>
        <w:jc w:val="center"/>
        <w:rPr>
          <w:rFonts w:ascii="Verdana" w:hAnsi="Verdana" w:cs="Arial"/>
          <w:color w:val="3C3C3B"/>
          <w:sz w:val="20"/>
          <w:szCs w:val="20"/>
        </w:rPr>
      </w:pPr>
    </w:p>
    <w:p w14:paraId="76CF43F2" w14:textId="77777777" w:rsidR="00311233" w:rsidRDefault="00311233" w:rsidP="003B7D0E">
      <w:pPr>
        <w:pStyle w:val="BasicParagraph"/>
        <w:suppressAutoHyphens/>
        <w:jc w:val="center"/>
        <w:rPr>
          <w:rFonts w:ascii="Verdana" w:hAnsi="Verdana" w:cs="Arial"/>
          <w:color w:val="3C3C3B"/>
          <w:sz w:val="20"/>
          <w:szCs w:val="20"/>
        </w:rPr>
      </w:pPr>
    </w:p>
    <w:p w14:paraId="0E57FEA1" w14:textId="0C7BD3F8" w:rsidR="00775D94" w:rsidRDefault="00775D94">
      <w:pPr>
        <w:rPr>
          <w:rFonts w:ascii="Verdana" w:hAnsi="Verdana" w:cs="Arial"/>
          <w:color w:val="3C3C3B"/>
          <w:sz w:val="20"/>
          <w:szCs w:val="20"/>
        </w:rPr>
      </w:pPr>
    </w:p>
    <w:p w14:paraId="4EE41E47" w14:textId="206A6A14" w:rsidR="003B7D0E" w:rsidRDefault="003B7D0E" w:rsidP="003B7D0E">
      <w:pPr>
        <w:pStyle w:val="BasicParagraph"/>
        <w:suppressAutoHyphens/>
        <w:jc w:val="center"/>
        <w:rPr>
          <w:rFonts w:ascii="Verdana" w:hAnsi="Verdana" w:cs="Arial"/>
          <w:color w:val="3C3C3B"/>
          <w:sz w:val="20"/>
          <w:szCs w:val="20"/>
        </w:rPr>
      </w:pPr>
    </w:p>
    <w:p w14:paraId="2D744467" w14:textId="6070F3AA" w:rsidR="00775D94" w:rsidRDefault="00775D94" w:rsidP="003B7D0E">
      <w:pPr>
        <w:pStyle w:val="BasicParagraph"/>
        <w:suppressAutoHyphens/>
        <w:jc w:val="center"/>
        <w:rPr>
          <w:rFonts w:ascii="Verdana" w:hAnsi="Verdana" w:cs="Arial"/>
          <w:color w:val="3C3C3B"/>
          <w:sz w:val="20"/>
          <w:szCs w:val="20"/>
        </w:rPr>
      </w:pPr>
    </w:p>
    <w:p w14:paraId="6840AF33" w14:textId="148E2DB1" w:rsidR="00775D94" w:rsidRDefault="00775D94" w:rsidP="003B7D0E">
      <w:pPr>
        <w:pStyle w:val="BasicParagraph"/>
        <w:suppressAutoHyphens/>
        <w:jc w:val="center"/>
        <w:rPr>
          <w:rFonts w:ascii="Verdana" w:hAnsi="Verdana" w:cs="Arial"/>
          <w:color w:val="3C3C3B"/>
          <w:sz w:val="20"/>
          <w:szCs w:val="20"/>
        </w:rPr>
      </w:pPr>
    </w:p>
    <w:p w14:paraId="2D7BA3F0" w14:textId="7B4CF059" w:rsidR="00775D94" w:rsidRDefault="00775D94" w:rsidP="003B7D0E">
      <w:pPr>
        <w:pStyle w:val="BasicParagraph"/>
        <w:suppressAutoHyphens/>
        <w:jc w:val="center"/>
        <w:rPr>
          <w:rFonts w:ascii="Verdana" w:hAnsi="Verdana" w:cs="Arial"/>
          <w:color w:val="3C3C3B"/>
          <w:sz w:val="20"/>
          <w:szCs w:val="20"/>
        </w:rPr>
      </w:pPr>
    </w:p>
    <w:p w14:paraId="51AD6F15" w14:textId="058B5013" w:rsidR="00775D94" w:rsidRDefault="00775D94" w:rsidP="003B7D0E">
      <w:pPr>
        <w:pStyle w:val="BasicParagraph"/>
        <w:suppressAutoHyphens/>
        <w:jc w:val="center"/>
        <w:rPr>
          <w:rFonts w:ascii="Verdana" w:hAnsi="Verdana" w:cs="Arial"/>
          <w:color w:val="3C3C3B"/>
          <w:sz w:val="20"/>
          <w:szCs w:val="20"/>
        </w:rPr>
      </w:pPr>
    </w:p>
    <w:p w14:paraId="4C8B9B67" w14:textId="22D5A898" w:rsidR="00775D94" w:rsidRDefault="00775D94" w:rsidP="003B7D0E">
      <w:pPr>
        <w:pStyle w:val="BasicParagraph"/>
        <w:suppressAutoHyphens/>
        <w:jc w:val="center"/>
        <w:rPr>
          <w:rFonts w:ascii="Verdana" w:hAnsi="Verdana" w:cs="Arial"/>
          <w:color w:val="3C3C3B"/>
          <w:sz w:val="20"/>
          <w:szCs w:val="20"/>
        </w:rPr>
      </w:pPr>
    </w:p>
    <w:p w14:paraId="446F014C" w14:textId="4694AE15" w:rsidR="00775D94" w:rsidRDefault="00775D94" w:rsidP="005A14A7">
      <w:pPr>
        <w:pStyle w:val="BasicParagraph"/>
        <w:suppressAutoHyphens/>
        <w:rPr>
          <w:rFonts w:ascii="Verdana" w:hAnsi="Verdana" w:cs="Arial"/>
          <w:color w:val="3C3C3B"/>
          <w:sz w:val="20"/>
          <w:szCs w:val="20"/>
        </w:rPr>
      </w:pPr>
    </w:p>
    <w:p w14:paraId="50E74248" w14:textId="52E69826" w:rsidR="005A14A7" w:rsidRDefault="005A14A7" w:rsidP="005A14A7">
      <w:pPr>
        <w:pStyle w:val="BasicParagraph"/>
        <w:suppressAutoHyphens/>
        <w:rPr>
          <w:rFonts w:ascii="Verdana" w:hAnsi="Verdana" w:cs="Arial"/>
          <w:color w:val="3C3C3B"/>
          <w:sz w:val="20"/>
          <w:szCs w:val="20"/>
        </w:rPr>
      </w:pPr>
    </w:p>
    <w:p w14:paraId="7367DB65" w14:textId="77777777" w:rsidR="005A14A7" w:rsidRDefault="005A14A7" w:rsidP="005A14A7">
      <w:pPr>
        <w:pStyle w:val="BasicParagraph"/>
        <w:suppressAutoHyphens/>
        <w:rPr>
          <w:rFonts w:ascii="Verdana" w:hAnsi="Verdana" w:cs="Arial"/>
          <w:color w:val="3C3C3B"/>
          <w:sz w:val="20"/>
          <w:szCs w:val="20"/>
        </w:rPr>
      </w:pPr>
    </w:p>
    <w:p w14:paraId="78B40CE5" w14:textId="77777777" w:rsidR="00775D94" w:rsidRDefault="00775D94" w:rsidP="003B7D0E">
      <w:pPr>
        <w:pStyle w:val="BasicParagraph"/>
        <w:suppressAutoHyphens/>
        <w:jc w:val="center"/>
        <w:rPr>
          <w:rFonts w:ascii="Verdana" w:hAnsi="Verdana" w:cs="Arial"/>
          <w:color w:val="3C3C3B"/>
          <w:sz w:val="20"/>
          <w:szCs w:val="20"/>
        </w:rPr>
      </w:pPr>
    </w:p>
    <w:p w14:paraId="60D02700" w14:textId="77777777" w:rsidR="003B7D0E" w:rsidRDefault="003B7D0E" w:rsidP="003B7D0E">
      <w:pPr>
        <w:pStyle w:val="BasicParagraph"/>
        <w:suppressAutoHyphens/>
        <w:jc w:val="center"/>
        <w:rPr>
          <w:rFonts w:ascii="Verdana" w:hAnsi="Verdana" w:cs="Arial"/>
          <w:color w:val="3C3C3B"/>
          <w:sz w:val="20"/>
          <w:szCs w:val="20"/>
        </w:rPr>
      </w:pPr>
    </w:p>
    <w:p w14:paraId="2C7513E7" w14:textId="77777777" w:rsidR="003B7D0E" w:rsidRDefault="003B7D0E" w:rsidP="003B7D0E">
      <w:pPr>
        <w:pStyle w:val="BasicParagraph"/>
        <w:suppressAutoHyphens/>
        <w:jc w:val="center"/>
        <w:rPr>
          <w:rFonts w:ascii="Verdana" w:hAnsi="Verdana" w:cs="Arial"/>
          <w:color w:val="3C3C3B"/>
          <w:sz w:val="20"/>
          <w:szCs w:val="20"/>
        </w:rPr>
      </w:pPr>
    </w:p>
    <w:p w14:paraId="228943C9"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06FA38B6" w14:textId="77777777" w:rsidR="00331C61" w:rsidRPr="00331C61" w:rsidRDefault="00331C61" w:rsidP="00331C61">
      <w:pPr>
        <w:pStyle w:val="BasicParagraph"/>
        <w:suppressAutoHyphens/>
        <w:jc w:val="center"/>
        <w:rPr>
          <w:rFonts w:ascii="Verdana" w:hAnsi="Verdana" w:cs="Arial"/>
          <w:b/>
          <w:color w:val="77328A"/>
          <w:sz w:val="36"/>
          <w:szCs w:val="36"/>
        </w:rPr>
      </w:pPr>
    </w:p>
    <w:p w14:paraId="485E448E" w14:textId="77777777" w:rsidR="00331C61" w:rsidRPr="00331C61" w:rsidRDefault="00331C61" w:rsidP="003B7D0E">
      <w:pPr>
        <w:spacing w:line="288" w:lineRule="auto"/>
        <w:jc w:val="center"/>
        <w:rPr>
          <w:rFonts w:ascii="Verdana" w:hAnsi="Verdana" w:cs="Arial"/>
          <w:b/>
          <w:color w:val="232120"/>
          <w:sz w:val="30"/>
          <w:szCs w:val="30"/>
        </w:rPr>
      </w:pPr>
    </w:p>
    <w:p w14:paraId="6378DC64" w14:textId="77777777" w:rsidR="00331C61" w:rsidRPr="00331C61" w:rsidRDefault="00331C61" w:rsidP="003B7D0E">
      <w:pPr>
        <w:spacing w:line="288" w:lineRule="auto"/>
        <w:jc w:val="center"/>
        <w:rPr>
          <w:rFonts w:ascii="Verdana" w:hAnsi="Verdana" w:cs="Arial"/>
          <w:b/>
          <w:color w:val="232120"/>
          <w:sz w:val="30"/>
          <w:szCs w:val="30"/>
        </w:rPr>
      </w:pPr>
    </w:p>
    <w:p w14:paraId="2EABDC3E" w14:textId="77777777" w:rsidR="00331C61" w:rsidRPr="00331C61" w:rsidRDefault="008641EF" w:rsidP="00331C61">
      <w:pPr>
        <w:spacing w:line="288" w:lineRule="auto"/>
        <w:jc w:val="center"/>
        <w:rPr>
          <w:rFonts w:ascii="Verdana" w:hAnsi="Verdana" w:cs="Arial"/>
          <w:color w:val="232120"/>
          <w:sz w:val="28"/>
          <w:szCs w:val="28"/>
        </w:rPr>
      </w:pPr>
      <w:hyperlink r:id="rId12"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3"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122D104A"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65D6B196" w14:textId="77777777" w:rsidR="00F56C78" w:rsidRPr="00331C61" w:rsidRDefault="00F56C78" w:rsidP="003B7D0E">
      <w:pPr>
        <w:spacing w:line="288" w:lineRule="auto"/>
        <w:jc w:val="center"/>
        <w:rPr>
          <w:rFonts w:ascii="Verdana" w:hAnsi="Verdana" w:cs="Arial"/>
          <w:b/>
          <w:color w:val="232120"/>
          <w:sz w:val="28"/>
          <w:szCs w:val="28"/>
        </w:rPr>
      </w:pPr>
    </w:p>
    <w:p w14:paraId="7867A500" w14:textId="77777777" w:rsidR="00F56C78" w:rsidRPr="00331C61" w:rsidRDefault="00F56C78" w:rsidP="003B7D0E">
      <w:pPr>
        <w:spacing w:line="288" w:lineRule="auto"/>
        <w:jc w:val="center"/>
        <w:rPr>
          <w:rFonts w:ascii="Verdana" w:hAnsi="Verdana" w:cs="Arial"/>
          <w:color w:val="232120"/>
          <w:sz w:val="20"/>
          <w:szCs w:val="20"/>
        </w:rPr>
      </w:pPr>
    </w:p>
    <w:p w14:paraId="3B31E537"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F07DB11" wp14:editId="0B6BDB51">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C051" w14:textId="77777777" w:rsidR="00121385" w:rsidRDefault="00121385" w:rsidP="00962B2B">
      <w:r>
        <w:separator/>
      </w:r>
    </w:p>
  </w:endnote>
  <w:endnote w:type="continuationSeparator" w:id="0">
    <w:p w14:paraId="76922057" w14:textId="77777777" w:rsidR="00121385" w:rsidRDefault="00121385"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782A" w14:textId="77777777" w:rsidR="00942548" w:rsidRDefault="00942548" w:rsidP="00656ECD">
    <w:pPr>
      <w:pStyle w:val="Footer"/>
      <w:jc w:val="right"/>
      <w:rPr>
        <w:rStyle w:val="PageNumber"/>
        <w:rFonts w:ascii="Arial" w:hAnsi="Arial" w:cs="Arial"/>
        <w:b/>
        <w:sz w:val="16"/>
        <w:szCs w:val="16"/>
      </w:rPr>
    </w:pPr>
  </w:p>
  <w:p w14:paraId="414B9084" w14:textId="41ABFC35" w:rsidR="00942548" w:rsidRPr="007569C1" w:rsidRDefault="00942548"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641EF">
      <w:rPr>
        <w:rStyle w:val="PageNumber"/>
        <w:rFonts w:ascii="Arial" w:hAnsi="Arial" w:cs="Arial"/>
        <w:b/>
        <w:noProof/>
        <w:color w:val="77328A"/>
        <w:sz w:val="16"/>
        <w:szCs w:val="16"/>
      </w:rPr>
      <w:t>14</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5D8F" w14:textId="77777777" w:rsidR="00942548" w:rsidRDefault="00942548" w:rsidP="00046705">
    <w:pPr>
      <w:pStyle w:val="Footer"/>
      <w:jc w:val="right"/>
      <w:rPr>
        <w:rStyle w:val="PageNumber"/>
        <w:rFonts w:ascii="Arial" w:hAnsi="Arial" w:cs="Arial"/>
        <w:b/>
        <w:sz w:val="16"/>
        <w:szCs w:val="16"/>
      </w:rPr>
    </w:pPr>
  </w:p>
  <w:p w14:paraId="25A00C72" w14:textId="77777777" w:rsidR="00942548" w:rsidRPr="00D12EF8" w:rsidRDefault="00942548"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20871" w14:textId="77777777" w:rsidR="00121385" w:rsidRDefault="00121385" w:rsidP="00B96D34">
      <w:r>
        <w:continuationSeparator/>
      </w:r>
    </w:p>
    <w:p w14:paraId="556A832F" w14:textId="77777777" w:rsidR="00121385" w:rsidRPr="00B96D34" w:rsidRDefault="00121385" w:rsidP="00B96D34">
      <w:pPr>
        <w:pStyle w:val="Footer"/>
      </w:pPr>
    </w:p>
  </w:footnote>
  <w:footnote w:type="continuationSeparator" w:id="0">
    <w:p w14:paraId="55857295" w14:textId="77777777" w:rsidR="00121385" w:rsidRDefault="00121385" w:rsidP="00962B2B">
      <w:r>
        <w:continuationSeparator/>
      </w:r>
    </w:p>
  </w:footnote>
  <w:footnote w:type="continuationNotice" w:id="1">
    <w:p w14:paraId="6CDC259F" w14:textId="77777777" w:rsidR="00121385" w:rsidRDefault="00121385"/>
  </w:footnote>
  <w:footnote w:id="2">
    <w:p w14:paraId="2E9F33C9" w14:textId="77777777" w:rsidR="00942548" w:rsidRPr="00C200B5" w:rsidRDefault="00942548">
      <w:pPr>
        <w:pStyle w:val="FootnoteText"/>
        <w:rPr>
          <w:lang w:val="en-HK"/>
        </w:rPr>
      </w:pPr>
      <w:r w:rsidRPr="00C200B5">
        <w:rPr>
          <w:rStyle w:val="FootnoteReference"/>
          <w:rFonts w:ascii="Verdana" w:hAnsi="Verdana" w:cs="Arial"/>
          <w:color w:val="77328A"/>
          <w:sz w:val="16"/>
          <w:szCs w:val="16"/>
        </w:rPr>
        <w:footnoteRef/>
      </w:r>
      <w:r>
        <w:rPr>
          <w:rStyle w:val="FootnoteReference"/>
          <w:rFonts w:ascii="Verdana" w:hAnsi="Verdana" w:cs="Arial"/>
          <w:color w:val="77328A"/>
          <w:sz w:val="16"/>
          <w:szCs w:val="16"/>
        </w:rPr>
        <w:t xml:space="preserve"> </w:t>
      </w:r>
      <w:r w:rsidRPr="00C200B5">
        <w:rPr>
          <w:rFonts w:ascii="Verdana" w:hAnsi="Verdana" w:cs="Arial"/>
          <w:color w:val="77328A"/>
          <w:sz w:val="16"/>
          <w:szCs w:val="16"/>
        </w:rPr>
        <w:t>Ratified by the UK in 1951. Further guidance is also taken from the body of case law from the European Court of Human Rights (ECtHR).</w:t>
      </w:r>
    </w:p>
  </w:footnote>
  <w:footnote w:id="3">
    <w:p w14:paraId="2C927E36" w14:textId="77777777" w:rsidR="00942548" w:rsidRPr="00C200B5" w:rsidRDefault="00942548">
      <w:pPr>
        <w:pStyle w:val="FootnoteText"/>
        <w:rPr>
          <w:lang w:val="en-HK"/>
        </w:rPr>
      </w:pPr>
      <w:r w:rsidRPr="00C200B5">
        <w:rPr>
          <w:rStyle w:val="FootnoteReference"/>
          <w:rFonts w:ascii="Verdana" w:hAnsi="Verdana" w:cs="Arial"/>
          <w:color w:val="77328A"/>
          <w:sz w:val="16"/>
          <w:szCs w:val="16"/>
        </w:rPr>
        <w:footnoteRef/>
      </w:r>
      <w:r w:rsidRPr="00C200B5">
        <w:rPr>
          <w:rStyle w:val="FootnoteReference"/>
          <w:rFonts w:ascii="Verdana" w:hAnsi="Verdana" w:cs="Arial"/>
          <w:color w:val="77328A"/>
          <w:sz w:val="16"/>
          <w:szCs w:val="16"/>
        </w:rPr>
        <w:t xml:space="preserve"> </w:t>
      </w:r>
      <w:r w:rsidRPr="00C200B5">
        <w:rPr>
          <w:rStyle w:val="FootnoteReference"/>
          <w:rFonts w:ascii="Verdana" w:hAnsi="Verdana" w:cs="Arial"/>
          <w:color w:val="77328A"/>
          <w:sz w:val="16"/>
          <w:szCs w:val="16"/>
          <w:vertAlign w:val="baseline"/>
        </w:rPr>
        <w:t>Ratified by the UK in 1966.</w:t>
      </w:r>
    </w:p>
  </w:footnote>
  <w:footnote w:id="4">
    <w:p w14:paraId="0B00AF71" w14:textId="77777777" w:rsidR="00942548" w:rsidRPr="00C200B5" w:rsidRDefault="00942548">
      <w:pPr>
        <w:pStyle w:val="FootnoteText"/>
        <w:rPr>
          <w:lang w:val="en-US"/>
        </w:rPr>
      </w:pPr>
      <w:r w:rsidRPr="00D457AE">
        <w:rPr>
          <w:rStyle w:val="FootnoteReference"/>
          <w:rFonts w:ascii="Verdana" w:hAnsi="Verdana" w:cs="Arial"/>
          <w:color w:val="77328A"/>
          <w:sz w:val="16"/>
          <w:szCs w:val="16"/>
        </w:rPr>
        <w:footnoteRef/>
      </w:r>
      <w:r>
        <w:t xml:space="preserve"> </w:t>
      </w:r>
      <w:r w:rsidRPr="00C200B5">
        <w:rPr>
          <w:rStyle w:val="FootnoteReference"/>
          <w:rFonts w:ascii="Verdana" w:hAnsi="Verdana" w:cs="Arial"/>
          <w:color w:val="77328A"/>
          <w:sz w:val="16"/>
          <w:szCs w:val="16"/>
          <w:vertAlign w:val="baseline"/>
        </w:rPr>
        <w:t>Ratified by the UK in 1966.</w:t>
      </w:r>
    </w:p>
  </w:footnote>
  <w:footnote w:id="5">
    <w:p w14:paraId="17FB3A51" w14:textId="6AF7D308" w:rsidR="00281BFD" w:rsidRPr="00281BFD" w:rsidRDefault="00281BFD">
      <w:pPr>
        <w:pStyle w:val="FootnoteText"/>
      </w:pPr>
      <w:r w:rsidRPr="00B20DFF">
        <w:rPr>
          <w:rStyle w:val="FootnoteReference"/>
          <w:rFonts w:ascii="Verdana" w:hAnsi="Verdana" w:cs="Arial"/>
          <w:color w:val="77328A"/>
          <w:sz w:val="16"/>
          <w:szCs w:val="16"/>
        </w:rPr>
        <w:footnoteRef/>
      </w:r>
      <w:r w:rsidRPr="00B20DFF">
        <w:rPr>
          <w:rStyle w:val="FootnoteReference"/>
          <w:rFonts w:ascii="Verdana" w:hAnsi="Verdana" w:cs="Arial"/>
          <w:color w:val="77328A"/>
          <w:sz w:val="16"/>
          <w:szCs w:val="16"/>
          <w:vertAlign w:val="baseline"/>
        </w:rPr>
        <w:t xml:space="preserve"> A/RES/70/175</w:t>
      </w:r>
      <w:r>
        <w:rPr>
          <w:rFonts w:ascii="Verdana" w:hAnsi="Verdana" w:cs="Arial"/>
          <w:color w:val="77328A"/>
          <w:sz w:val="16"/>
          <w:szCs w:val="16"/>
        </w:rPr>
        <w:t xml:space="preserve"> ‘</w:t>
      </w:r>
      <w:r w:rsidRPr="00281BFD">
        <w:rPr>
          <w:rFonts w:ascii="Verdana" w:hAnsi="Verdana" w:cs="Arial"/>
          <w:color w:val="77328A"/>
          <w:sz w:val="16"/>
          <w:szCs w:val="16"/>
        </w:rPr>
        <w:t>United Nations Standard Minimum Rules for the Treatment of Prisoners</w:t>
      </w:r>
      <w:r>
        <w:rPr>
          <w:rFonts w:ascii="Verdana" w:hAnsi="Verdana" w:cs="Arial"/>
          <w:color w:val="77328A"/>
          <w:sz w:val="16"/>
          <w:szCs w:val="16"/>
        </w:rPr>
        <w:t>’</w:t>
      </w:r>
      <w:r w:rsidR="00EA3D32">
        <w:rPr>
          <w:rFonts w:ascii="Verdana" w:hAnsi="Verdana" w:cs="Arial"/>
          <w:color w:val="77328A"/>
          <w:sz w:val="16"/>
          <w:szCs w:val="16"/>
        </w:rPr>
        <w:t xml:space="preserve">, </w:t>
      </w:r>
      <w:r w:rsidRPr="00281BFD">
        <w:rPr>
          <w:rFonts w:ascii="Verdana" w:hAnsi="Verdana" w:cs="Arial"/>
          <w:color w:val="77328A"/>
          <w:sz w:val="16"/>
          <w:szCs w:val="16"/>
        </w:rPr>
        <w:t>8 January 2016</w:t>
      </w:r>
      <w:r w:rsidR="00EA3D32">
        <w:rPr>
          <w:rFonts w:ascii="Verdana" w:hAnsi="Verdana" w:cs="Arial"/>
          <w:color w:val="77328A"/>
          <w:sz w:val="16"/>
          <w:szCs w:val="16"/>
        </w:rPr>
        <w:t>.</w:t>
      </w:r>
    </w:p>
  </w:footnote>
  <w:footnote w:id="6">
    <w:p w14:paraId="67786056" w14:textId="753B1F87" w:rsidR="00EA3D32" w:rsidRPr="00B20DFF" w:rsidRDefault="00EA3D32">
      <w:pPr>
        <w:pStyle w:val="FootnoteText"/>
        <w:rPr>
          <w:lang w:val="en-HK"/>
        </w:rPr>
      </w:pPr>
      <w:r w:rsidRPr="00B20DFF">
        <w:rPr>
          <w:rStyle w:val="FootnoteReference"/>
          <w:rFonts w:ascii="Verdana" w:hAnsi="Verdana" w:cs="Arial"/>
          <w:color w:val="77328A"/>
          <w:sz w:val="16"/>
          <w:szCs w:val="16"/>
        </w:rPr>
        <w:footnoteRef/>
      </w:r>
      <w:r w:rsidRPr="00B20DFF">
        <w:rPr>
          <w:rStyle w:val="FootnoteReference"/>
          <w:rFonts w:ascii="Verdana" w:hAnsi="Verdana" w:cs="Arial"/>
          <w:color w:val="77328A"/>
          <w:sz w:val="16"/>
          <w:szCs w:val="16"/>
        </w:rPr>
        <w:t xml:space="preserve"> </w:t>
      </w:r>
      <w:r w:rsidRPr="00B20DFF">
        <w:rPr>
          <w:rStyle w:val="FootnoteReference"/>
          <w:rFonts w:ascii="Verdana" w:hAnsi="Verdana" w:cs="Arial"/>
          <w:color w:val="77328A"/>
          <w:sz w:val="16"/>
          <w:szCs w:val="16"/>
          <w:vertAlign w:val="baseline"/>
        </w:rPr>
        <w:t xml:space="preserve">UN Human Rights Committee </w:t>
      </w:r>
      <w:r>
        <w:rPr>
          <w:rStyle w:val="FootnoteReference"/>
          <w:rFonts w:ascii="Verdana" w:hAnsi="Verdana" w:cs="Arial"/>
          <w:color w:val="77328A"/>
          <w:sz w:val="16"/>
          <w:szCs w:val="16"/>
          <w:vertAlign w:val="baseline"/>
        </w:rPr>
        <w:t>‘</w:t>
      </w:r>
      <w:r w:rsidRPr="00B20DFF">
        <w:rPr>
          <w:rStyle w:val="FootnoteReference"/>
          <w:rFonts w:ascii="Verdana" w:hAnsi="Verdana" w:cs="Arial"/>
          <w:color w:val="77328A"/>
          <w:sz w:val="16"/>
          <w:szCs w:val="16"/>
          <w:vertAlign w:val="baseline"/>
        </w:rPr>
        <w:t>General Comment No. 21: Article 10 (Humane Treatment of Persons Deprived of Their Liberty)’, 10 April 1992</w:t>
      </w:r>
      <w:r>
        <w:rPr>
          <w:rFonts w:ascii="Verdana" w:hAnsi="Verdana" w:cs="Arial"/>
          <w:color w:val="77328A"/>
          <w:sz w:val="16"/>
          <w:szCs w:val="16"/>
        </w:rPr>
        <w:t>.</w:t>
      </w:r>
    </w:p>
  </w:footnote>
  <w:footnote w:id="7">
    <w:p w14:paraId="474F8D9B" w14:textId="7B118A69" w:rsidR="00942548" w:rsidRPr="00A63D5F" w:rsidRDefault="00942548">
      <w:pPr>
        <w:pStyle w:val="FootnoteText"/>
      </w:pPr>
      <w:r w:rsidRPr="00A63D5F">
        <w:rPr>
          <w:rStyle w:val="FootnoteReference"/>
          <w:rFonts w:ascii="Verdana" w:hAnsi="Verdana" w:cs="Arial"/>
          <w:color w:val="77328A"/>
          <w:sz w:val="16"/>
          <w:szCs w:val="16"/>
        </w:rPr>
        <w:footnoteRef/>
      </w:r>
      <w:r w:rsidRPr="00A63D5F">
        <w:rPr>
          <w:rStyle w:val="FootnoteReference"/>
          <w:rFonts w:ascii="Verdana" w:hAnsi="Verdana" w:cs="Arial"/>
          <w:color w:val="77328A"/>
        </w:rPr>
        <w:t xml:space="preserve"> </w:t>
      </w:r>
      <w:r w:rsidRPr="00A63D5F">
        <w:rPr>
          <w:rFonts w:ascii="Verdana" w:hAnsi="Verdana"/>
          <w:color w:val="7030A0"/>
          <w:sz w:val="16"/>
          <w:szCs w:val="16"/>
        </w:rPr>
        <w:t>C</w:t>
      </w:r>
      <w:r w:rsidRPr="00184322">
        <w:rPr>
          <w:rFonts w:ascii="Verdana" w:hAnsi="Verdana"/>
          <w:color w:val="7030A0"/>
          <w:sz w:val="16"/>
          <w:szCs w:val="16"/>
        </w:rPr>
        <w:t xml:space="preserve">ouncil of Europe, </w:t>
      </w:r>
      <w:r>
        <w:rPr>
          <w:rFonts w:ascii="Verdana" w:hAnsi="Verdana"/>
          <w:color w:val="7030A0"/>
          <w:sz w:val="16"/>
          <w:szCs w:val="16"/>
        </w:rPr>
        <w:t>‘</w:t>
      </w:r>
      <w:r w:rsidRPr="00184322">
        <w:rPr>
          <w:rFonts w:ascii="Verdana" w:hAnsi="Verdana"/>
          <w:color w:val="7030A0"/>
          <w:sz w:val="16"/>
          <w:szCs w:val="16"/>
        </w:rPr>
        <w:t>Recommendation No</w:t>
      </w:r>
      <w:r>
        <w:rPr>
          <w:rFonts w:ascii="Verdana" w:hAnsi="Verdana"/>
          <w:color w:val="7030A0"/>
          <w:sz w:val="16"/>
          <w:szCs w:val="16"/>
        </w:rPr>
        <w:t>.</w:t>
      </w:r>
      <w:r w:rsidRPr="00184322">
        <w:rPr>
          <w:rFonts w:ascii="Verdana" w:hAnsi="Verdana"/>
          <w:color w:val="7030A0"/>
          <w:sz w:val="16"/>
          <w:szCs w:val="16"/>
        </w:rPr>
        <w:t xml:space="preserve"> R(84) 10 of the Committee of ministers to member states on the criminal record and rehabilitation of convicted persons</w:t>
      </w:r>
      <w:r>
        <w:rPr>
          <w:rFonts w:ascii="Verdana" w:hAnsi="Verdana"/>
          <w:color w:val="7030A0"/>
          <w:sz w:val="16"/>
          <w:szCs w:val="16"/>
        </w:rPr>
        <w:t>’</w:t>
      </w:r>
      <w:r w:rsidR="00EA3D32">
        <w:rPr>
          <w:rFonts w:ascii="Verdana" w:hAnsi="Verdana"/>
          <w:color w:val="7030A0"/>
          <w:sz w:val="16"/>
          <w:szCs w:val="16"/>
        </w:rPr>
        <w:t>,</w:t>
      </w:r>
      <w:r w:rsidRPr="00184322">
        <w:rPr>
          <w:rFonts w:ascii="Verdana" w:hAnsi="Verdana"/>
          <w:color w:val="7030A0"/>
          <w:sz w:val="16"/>
          <w:szCs w:val="16"/>
        </w:rPr>
        <w:t xml:space="preserve"> June 1984.</w:t>
      </w:r>
    </w:p>
  </w:footnote>
  <w:footnote w:id="8">
    <w:p w14:paraId="34574304" w14:textId="77777777" w:rsidR="00942548" w:rsidRPr="00D961A1" w:rsidRDefault="00942548" w:rsidP="00B92EA6">
      <w:pPr>
        <w:pStyle w:val="FootnoteText"/>
        <w:rPr>
          <w:rFonts w:ascii="Verdana" w:hAnsi="Verdana"/>
          <w:color w:val="7030A0"/>
          <w:sz w:val="16"/>
          <w:szCs w:val="16"/>
        </w:rPr>
      </w:pPr>
      <w:r w:rsidRPr="00D961A1">
        <w:rPr>
          <w:rFonts w:ascii="Verdana" w:hAnsi="Verdana"/>
          <w:color w:val="7030A0"/>
          <w:sz w:val="16"/>
          <w:szCs w:val="16"/>
          <w:vertAlign w:val="superscript"/>
        </w:rPr>
        <w:footnoteRef/>
      </w:r>
      <w:r w:rsidRPr="00D961A1">
        <w:rPr>
          <w:rFonts w:ascii="Verdana" w:hAnsi="Verdana"/>
          <w:color w:val="7030A0"/>
          <w:sz w:val="16"/>
          <w:szCs w:val="16"/>
          <w:vertAlign w:val="superscript"/>
        </w:rPr>
        <w:t xml:space="preserve"> </w:t>
      </w:r>
      <w:r w:rsidRPr="00D961A1">
        <w:rPr>
          <w:rFonts w:ascii="Verdana" w:hAnsi="Verdana"/>
          <w:color w:val="7030A0"/>
          <w:sz w:val="16"/>
          <w:szCs w:val="16"/>
        </w:rPr>
        <w:t>Department of Justice, ‘Rehabilitation of Offenders – A consultation on proposals to reform rehabilitation periods in Northern Ireland’ (January 2021), at para 7.</w:t>
      </w:r>
    </w:p>
  </w:footnote>
  <w:footnote w:id="9">
    <w:p w14:paraId="12B2B670" w14:textId="77777777" w:rsidR="00942548" w:rsidRPr="00D961A1" w:rsidRDefault="00942548" w:rsidP="00B92EA6">
      <w:pPr>
        <w:pStyle w:val="FootnoteText"/>
        <w:rPr>
          <w:rFonts w:ascii="Verdana" w:hAnsi="Verdana"/>
          <w:color w:val="7030A0"/>
          <w:sz w:val="16"/>
          <w:szCs w:val="16"/>
        </w:rPr>
      </w:pPr>
      <w:r w:rsidRPr="00D961A1">
        <w:rPr>
          <w:rFonts w:ascii="Verdana" w:hAnsi="Verdana"/>
          <w:color w:val="7030A0"/>
          <w:sz w:val="16"/>
          <w:szCs w:val="16"/>
          <w:vertAlign w:val="superscript"/>
        </w:rPr>
        <w:footnoteRef/>
      </w:r>
      <w:r w:rsidRPr="00D961A1">
        <w:rPr>
          <w:rFonts w:ascii="Verdana" w:hAnsi="Verdana"/>
          <w:color w:val="7030A0"/>
          <w:sz w:val="16"/>
          <w:szCs w:val="16"/>
          <w:vertAlign w:val="superscript"/>
        </w:rPr>
        <w:t xml:space="preserve"> </w:t>
      </w:r>
      <w:r w:rsidRPr="00D961A1">
        <w:rPr>
          <w:rFonts w:ascii="Verdana" w:hAnsi="Verdana"/>
          <w:color w:val="7030A0"/>
          <w:sz w:val="16"/>
          <w:szCs w:val="16"/>
        </w:rPr>
        <w:t>UN Human Rights Committee, ‘General Comment No. 21 on Article 10 (Human Treatment of Persons Deprived of Their Liberty)’, 10 April 1992.</w:t>
      </w:r>
    </w:p>
  </w:footnote>
  <w:footnote w:id="10">
    <w:p w14:paraId="6D0DB330" w14:textId="77777777" w:rsidR="00942548" w:rsidRPr="00D961A1" w:rsidRDefault="00942548">
      <w:pPr>
        <w:pStyle w:val="FootnoteText"/>
        <w:rPr>
          <w:rFonts w:ascii="Verdana" w:hAnsi="Verdana"/>
          <w:color w:val="7030A0"/>
          <w:sz w:val="16"/>
          <w:szCs w:val="16"/>
        </w:rPr>
      </w:pPr>
      <w:r w:rsidRPr="00D961A1">
        <w:rPr>
          <w:rFonts w:ascii="Verdana" w:hAnsi="Verdana"/>
          <w:color w:val="7030A0"/>
          <w:sz w:val="16"/>
          <w:szCs w:val="16"/>
          <w:vertAlign w:val="superscript"/>
        </w:rPr>
        <w:footnoteRef/>
      </w:r>
      <w:r w:rsidRPr="00D961A1">
        <w:rPr>
          <w:rFonts w:ascii="Verdana" w:hAnsi="Verdana"/>
          <w:color w:val="7030A0"/>
          <w:sz w:val="16"/>
          <w:szCs w:val="16"/>
        </w:rPr>
        <w:t xml:space="preserve"> </w:t>
      </w:r>
      <w:r w:rsidRPr="00D961A1">
        <w:rPr>
          <w:rFonts w:ascii="Verdana" w:hAnsi="Verdana"/>
          <w:i/>
          <w:iCs/>
          <w:color w:val="7030A0"/>
          <w:sz w:val="16"/>
          <w:szCs w:val="16"/>
        </w:rPr>
        <w:t>Murray v The Netherlands</w:t>
      </w:r>
      <w:r w:rsidRPr="00D961A1">
        <w:rPr>
          <w:rFonts w:ascii="Verdana" w:hAnsi="Verdana"/>
          <w:color w:val="7030A0"/>
          <w:sz w:val="16"/>
          <w:szCs w:val="16"/>
        </w:rPr>
        <w:t xml:space="preserve"> (2016) ECHR 408, at para 102.</w:t>
      </w:r>
    </w:p>
  </w:footnote>
  <w:footnote w:id="11">
    <w:p w14:paraId="41A023BC" w14:textId="77777777" w:rsidR="00942548" w:rsidRPr="00D961A1" w:rsidRDefault="00942548">
      <w:pPr>
        <w:pStyle w:val="FootnoteText"/>
        <w:rPr>
          <w:rFonts w:ascii="Verdana" w:hAnsi="Verdana"/>
          <w:color w:val="7030A0"/>
          <w:sz w:val="16"/>
          <w:szCs w:val="16"/>
        </w:rPr>
      </w:pPr>
      <w:r w:rsidRPr="00D961A1">
        <w:rPr>
          <w:rFonts w:ascii="Verdana" w:hAnsi="Verdana"/>
          <w:color w:val="7030A0"/>
          <w:sz w:val="16"/>
          <w:szCs w:val="16"/>
          <w:vertAlign w:val="superscript"/>
        </w:rPr>
        <w:footnoteRef/>
      </w:r>
      <w:r w:rsidRPr="00D961A1">
        <w:rPr>
          <w:rFonts w:ascii="Verdana" w:hAnsi="Verdana"/>
          <w:color w:val="7030A0"/>
          <w:sz w:val="16"/>
          <w:szCs w:val="16"/>
        </w:rPr>
        <w:t xml:space="preserve"> </w:t>
      </w:r>
      <w:r w:rsidRPr="00D961A1">
        <w:rPr>
          <w:rFonts w:ascii="Verdana" w:hAnsi="Verdana"/>
          <w:i/>
          <w:iCs/>
          <w:color w:val="7030A0"/>
          <w:sz w:val="16"/>
          <w:szCs w:val="16"/>
        </w:rPr>
        <w:t xml:space="preserve">Dickson v United Kingdom </w:t>
      </w:r>
      <w:r w:rsidRPr="00D961A1">
        <w:rPr>
          <w:rFonts w:ascii="Verdana" w:hAnsi="Verdana"/>
          <w:color w:val="7030A0"/>
          <w:sz w:val="16"/>
          <w:szCs w:val="16"/>
        </w:rPr>
        <w:t>(2007) ECHR 1050, at para 70.</w:t>
      </w:r>
    </w:p>
  </w:footnote>
  <w:footnote w:id="12">
    <w:p w14:paraId="3787C155" w14:textId="550CE714" w:rsidR="00942548" w:rsidRPr="00DA273E" w:rsidRDefault="00942548">
      <w:pPr>
        <w:pStyle w:val="FootnoteText"/>
        <w:rPr>
          <w:lang w:val="en-US"/>
        </w:rPr>
      </w:pPr>
      <w:r w:rsidRPr="00D961A1">
        <w:rPr>
          <w:rFonts w:ascii="Verdana" w:hAnsi="Verdana"/>
          <w:color w:val="7030A0"/>
          <w:sz w:val="16"/>
          <w:szCs w:val="16"/>
          <w:vertAlign w:val="superscript"/>
        </w:rPr>
        <w:footnoteRef/>
      </w:r>
      <w:r w:rsidRPr="00D961A1">
        <w:rPr>
          <w:rFonts w:ascii="Verdana" w:hAnsi="Verdana"/>
          <w:color w:val="7030A0"/>
          <w:sz w:val="16"/>
          <w:szCs w:val="16"/>
        </w:rPr>
        <w:t xml:space="preserve"> </w:t>
      </w:r>
      <w:r w:rsidRPr="00D961A1">
        <w:rPr>
          <w:rFonts w:ascii="Verdana" w:hAnsi="Verdana"/>
          <w:i/>
          <w:iCs/>
          <w:color w:val="7030A0"/>
          <w:sz w:val="16"/>
          <w:szCs w:val="16"/>
        </w:rPr>
        <w:t>Vinter v United Kingdom</w:t>
      </w:r>
      <w:r w:rsidRPr="00D961A1">
        <w:rPr>
          <w:rFonts w:ascii="Verdana" w:hAnsi="Verdana"/>
          <w:color w:val="7030A0"/>
          <w:sz w:val="16"/>
          <w:szCs w:val="16"/>
        </w:rPr>
        <w:t xml:space="preserve"> (2013) ECHR 645, at para 114.</w:t>
      </w:r>
    </w:p>
  </w:footnote>
  <w:footnote w:id="13">
    <w:p w14:paraId="6E10B224" w14:textId="77777777" w:rsidR="00942548" w:rsidRPr="00D961A1" w:rsidRDefault="00942548">
      <w:pPr>
        <w:pStyle w:val="FootnoteText"/>
        <w:rPr>
          <w:rFonts w:ascii="Verdana" w:hAnsi="Verdana"/>
        </w:rPr>
      </w:pPr>
      <w:r w:rsidRPr="00D961A1">
        <w:rPr>
          <w:rFonts w:ascii="Verdana" w:hAnsi="Verdana"/>
          <w:color w:val="7030A0"/>
          <w:sz w:val="16"/>
          <w:szCs w:val="16"/>
          <w:vertAlign w:val="superscript"/>
        </w:rPr>
        <w:footnoteRef/>
      </w:r>
      <w:r w:rsidRPr="00D961A1">
        <w:rPr>
          <w:rFonts w:ascii="Verdana" w:hAnsi="Verdana"/>
          <w:color w:val="7030A0"/>
          <w:sz w:val="16"/>
          <w:szCs w:val="16"/>
        </w:rPr>
        <w:t xml:space="preserve"> </w:t>
      </w:r>
      <w:r w:rsidRPr="00D961A1">
        <w:rPr>
          <w:rFonts w:ascii="Verdana" w:hAnsi="Verdana"/>
          <w:i/>
          <w:iCs/>
          <w:color w:val="7030A0"/>
          <w:sz w:val="16"/>
          <w:szCs w:val="16"/>
        </w:rPr>
        <w:t xml:space="preserve">Khoroshenko v Russia </w:t>
      </w:r>
      <w:r w:rsidRPr="00D961A1">
        <w:rPr>
          <w:rFonts w:ascii="Verdana" w:hAnsi="Verdana"/>
          <w:color w:val="7030A0"/>
          <w:sz w:val="16"/>
          <w:szCs w:val="16"/>
        </w:rPr>
        <w:t>(2015) ECHR 637, at para 121.</w:t>
      </w:r>
    </w:p>
  </w:footnote>
  <w:footnote w:id="14">
    <w:p w14:paraId="6F9B32A9" w14:textId="45F9ACC2" w:rsidR="00942548" w:rsidRPr="00184322" w:rsidRDefault="00942548">
      <w:pPr>
        <w:pStyle w:val="FootnoteText"/>
        <w:rPr>
          <w:lang w:val="en-HK"/>
        </w:rPr>
      </w:pPr>
      <w:r w:rsidRPr="00184322">
        <w:rPr>
          <w:rFonts w:ascii="Verdana" w:hAnsi="Verdana"/>
          <w:color w:val="7030A0"/>
          <w:sz w:val="16"/>
          <w:szCs w:val="16"/>
          <w:vertAlign w:val="superscript"/>
        </w:rPr>
        <w:footnoteRef/>
      </w:r>
      <w:r w:rsidRPr="00184322">
        <w:rPr>
          <w:rFonts w:ascii="Verdana" w:hAnsi="Verdana"/>
          <w:color w:val="7030A0"/>
          <w:sz w:val="16"/>
          <w:szCs w:val="16"/>
        </w:rPr>
        <w:t xml:space="preserve"> Council of Europe, </w:t>
      </w:r>
      <w:r>
        <w:rPr>
          <w:rFonts w:ascii="Verdana" w:hAnsi="Verdana"/>
          <w:color w:val="7030A0"/>
          <w:sz w:val="16"/>
          <w:szCs w:val="16"/>
        </w:rPr>
        <w:t>‘</w:t>
      </w:r>
      <w:r w:rsidRPr="00184322">
        <w:rPr>
          <w:rFonts w:ascii="Verdana" w:hAnsi="Verdana"/>
          <w:color w:val="7030A0"/>
          <w:sz w:val="16"/>
          <w:szCs w:val="16"/>
        </w:rPr>
        <w:t>Recommendation No</w:t>
      </w:r>
      <w:r>
        <w:rPr>
          <w:rFonts w:ascii="Verdana" w:hAnsi="Verdana"/>
          <w:color w:val="7030A0"/>
          <w:sz w:val="16"/>
          <w:szCs w:val="16"/>
        </w:rPr>
        <w:t>.</w:t>
      </w:r>
      <w:r w:rsidRPr="00184322">
        <w:rPr>
          <w:rFonts w:ascii="Verdana" w:hAnsi="Verdana"/>
          <w:color w:val="7030A0"/>
          <w:sz w:val="16"/>
          <w:szCs w:val="16"/>
        </w:rPr>
        <w:t xml:space="preserve"> R(84) 10 of the Committee of ministers to member states on the criminal record and rehabilitation of convicted persons</w:t>
      </w:r>
      <w:r>
        <w:rPr>
          <w:rFonts w:ascii="Verdana" w:hAnsi="Verdana"/>
          <w:color w:val="7030A0"/>
          <w:sz w:val="16"/>
          <w:szCs w:val="16"/>
        </w:rPr>
        <w:t>’</w:t>
      </w:r>
      <w:r w:rsidRPr="00184322">
        <w:rPr>
          <w:rFonts w:ascii="Verdana" w:hAnsi="Verdana"/>
          <w:color w:val="7030A0"/>
          <w:sz w:val="16"/>
          <w:szCs w:val="16"/>
        </w:rPr>
        <w:t xml:space="preserve"> (June 1984), at para 13.</w:t>
      </w:r>
    </w:p>
  </w:footnote>
  <w:footnote w:id="15">
    <w:p w14:paraId="118F0E3C" w14:textId="77777777" w:rsidR="00942548" w:rsidRPr="00D961A1" w:rsidRDefault="00942548" w:rsidP="00B92EA6">
      <w:pPr>
        <w:pStyle w:val="FootnoteText"/>
        <w:rPr>
          <w:rFonts w:ascii="Verdana" w:hAnsi="Verdana"/>
          <w:color w:val="7030A0"/>
          <w:sz w:val="16"/>
          <w:szCs w:val="16"/>
        </w:rPr>
      </w:pPr>
      <w:r w:rsidRPr="00D961A1">
        <w:rPr>
          <w:rFonts w:ascii="Verdana" w:hAnsi="Verdana"/>
          <w:color w:val="7030A0"/>
          <w:sz w:val="16"/>
          <w:szCs w:val="16"/>
          <w:vertAlign w:val="superscript"/>
        </w:rPr>
        <w:footnoteRef/>
      </w:r>
      <w:r w:rsidRPr="00D961A1">
        <w:rPr>
          <w:rFonts w:ascii="Verdana" w:hAnsi="Verdana"/>
          <w:color w:val="7030A0"/>
          <w:sz w:val="16"/>
          <w:szCs w:val="16"/>
          <w:vertAlign w:val="superscript"/>
        </w:rPr>
        <w:t xml:space="preserve"> </w:t>
      </w:r>
      <w:r w:rsidRPr="00D961A1">
        <w:rPr>
          <w:rFonts w:ascii="Verdana" w:hAnsi="Verdana"/>
          <w:color w:val="7030A0"/>
          <w:sz w:val="16"/>
          <w:szCs w:val="16"/>
        </w:rPr>
        <w:t>Review Panel on the Employers’ Guidance on Recruiting People with Conflict Related Convictions ‘2nd Report of the Review Panel on the Employers’ Guidance on Recruiting People with Conflict Related Convictions’ (May 2016), at para 7.3.</w:t>
      </w:r>
    </w:p>
  </w:footnote>
  <w:footnote w:id="16">
    <w:p w14:paraId="284E6037" w14:textId="3641383C" w:rsidR="00942548" w:rsidRPr="00F03875" w:rsidRDefault="00942548">
      <w:pPr>
        <w:pStyle w:val="FootnoteText"/>
      </w:pPr>
      <w:r w:rsidRPr="006538B2">
        <w:rPr>
          <w:rFonts w:ascii="Verdana" w:hAnsi="Verdana"/>
          <w:color w:val="7030A0"/>
          <w:sz w:val="16"/>
          <w:szCs w:val="16"/>
          <w:vertAlign w:val="superscript"/>
        </w:rPr>
        <w:footnoteRef/>
      </w:r>
      <w:r w:rsidRPr="006538B2">
        <w:rPr>
          <w:rFonts w:ascii="Verdana" w:hAnsi="Verdana"/>
          <w:color w:val="7030A0"/>
          <w:sz w:val="16"/>
          <w:szCs w:val="16"/>
        </w:rPr>
        <w:t xml:space="preserve"> Ministry of Justice, ‘Breaking the Cycle: Effective Punishment, Rehabilitation and Sentencing of Offenders (December 2010) at 32.</w:t>
      </w:r>
    </w:p>
  </w:footnote>
  <w:footnote w:id="17">
    <w:p w14:paraId="6E39B32A" w14:textId="228697EC" w:rsidR="00942548" w:rsidRPr="005C7E78" w:rsidRDefault="00942548">
      <w:pPr>
        <w:pStyle w:val="FootnoteText"/>
      </w:pPr>
      <w:r w:rsidRPr="00B02E29">
        <w:rPr>
          <w:rFonts w:ascii="Verdana" w:hAnsi="Verdana"/>
          <w:color w:val="7030A0"/>
          <w:sz w:val="16"/>
          <w:szCs w:val="16"/>
          <w:vertAlign w:val="superscript"/>
        </w:rPr>
        <w:footnoteRef/>
      </w:r>
      <w:r w:rsidRPr="00B02E29">
        <w:rPr>
          <w:rFonts w:ascii="Verdana" w:hAnsi="Verdana"/>
          <w:color w:val="7030A0"/>
          <w:sz w:val="16"/>
          <w:szCs w:val="16"/>
        </w:rPr>
        <w:t xml:space="preserve"> Ministry of Justice ‘Analysis of the impact of employment on re-offending following release from custody, using Propensity Score Matching’ (March 2013) at ii.</w:t>
      </w:r>
      <w:r w:rsidRPr="005C7E78">
        <w:rPr>
          <w:rFonts w:ascii="Verdana" w:hAnsi="Verdana"/>
          <w:color w:val="7030A0"/>
          <w:sz w:val="16"/>
          <w:szCs w:val="16"/>
        </w:rPr>
        <w:t xml:space="preserve"> </w:t>
      </w:r>
    </w:p>
  </w:footnote>
  <w:footnote w:id="18">
    <w:p w14:paraId="7B93C146" w14:textId="77777777" w:rsidR="00D46A13" w:rsidRPr="009805F9" w:rsidRDefault="00D46A13" w:rsidP="00D46A13">
      <w:pPr>
        <w:pStyle w:val="FootnoteText"/>
        <w:rPr>
          <w:color w:val="7030A0"/>
          <w:sz w:val="16"/>
          <w:szCs w:val="16"/>
        </w:rPr>
      </w:pPr>
      <w:r w:rsidRPr="00021059">
        <w:rPr>
          <w:rFonts w:ascii="Verdana" w:hAnsi="Verdana"/>
          <w:color w:val="7030A0"/>
          <w:sz w:val="16"/>
          <w:szCs w:val="16"/>
          <w:vertAlign w:val="superscript"/>
        </w:rPr>
        <w:footnoteRef/>
      </w:r>
      <w:r w:rsidRPr="00021059">
        <w:rPr>
          <w:rFonts w:ascii="Verdana" w:hAnsi="Verdana"/>
          <w:color w:val="7030A0"/>
          <w:sz w:val="16"/>
          <w:szCs w:val="16"/>
        </w:rPr>
        <w:t xml:space="preserve"> Northern Ireland Statistics and Research Agency, ‘Reoffending Analysis for a Sample of Offenders who Completed the NIACRO Jobtrack Programme During 2010/11’, (May 2015).</w:t>
      </w:r>
    </w:p>
  </w:footnote>
  <w:footnote w:id="19">
    <w:p w14:paraId="3821D0B7" w14:textId="4F680A41" w:rsidR="00942548" w:rsidRPr="00D961A1" w:rsidRDefault="00942548" w:rsidP="00D32D69">
      <w:pPr>
        <w:pStyle w:val="FootnoteText"/>
        <w:rPr>
          <w:rFonts w:ascii="Verdana" w:hAnsi="Verdana"/>
        </w:rPr>
      </w:pPr>
      <w:r w:rsidRPr="00D961A1">
        <w:rPr>
          <w:rStyle w:val="FootnoteReference"/>
          <w:rFonts w:ascii="Verdana" w:hAnsi="Verdana"/>
          <w:color w:val="7030A0"/>
          <w:sz w:val="16"/>
          <w:szCs w:val="16"/>
        </w:rPr>
        <w:footnoteRef/>
      </w:r>
      <w:r w:rsidRPr="00D961A1">
        <w:rPr>
          <w:rFonts w:ascii="Verdana" w:hAnsi="Verdana"/>
        </w:rPr>
        <w:t xml:space="preserve"> </w:t>
      </w:r>
      <w:r w:rsidRPr="00D961A1">
        <w:rPr>
          <w:rFonts w:ascii="Verdana" w:hAnsi="Verdana"/>
          <w:i/>
          <w:iCs/>
          <w:color w:val="7030A0"/>
          <w:sz w:val="16"/>
          <w:szCs w:val="16"/>
        </w:rPr>
        <w:t>In the matter of an application by Lorraine Gallagher for Judicial Review (Northern Ireland)</w:t>
      </w:r>
      <w:r>
        <w:rPr>
          <w:rFonts w:ascii="Verdana" w:hAnsi="Verdana"/>
          <w:i/>
          <w:iCs/>
          <w:color w:val="7030A0"/>
          <w:sz w:val="16"/>
          <w:szCs w:val="16"/>
        </w:rPr>
        <w:t>;</w:t>
      </w:r>
      <w:r w:rsidRPr="00D961A1">
        <w:rPr>
          <w:rFonts w:ascii="Verdana" w:hAnsi="Verdana"/>
          <w:i/>
          <w:iCs/>
          <w:color w:val="7030A0"/>
          <w:sz w:val="16"/>
          <w:szCs w:val="16"/>
        </w:rPr>
        <w:t xml:space="preserve"> R (on the application of P, G and W) (Respondents) v Secretary of State for the Home Department and another (Appellants) R (on the application of P) (Appellant) v Secretary of State for the Home Department and others (Respondents)</w:t>
      </w:r>
      <w:r w:rsidR="00AF01A8">
        <w:rPr>
          <w:rFonts w:ascii="Verdana" w:hAnsi="Verdana"/>
          <w:i/>
          <w:iCs/>
          <w:color w:val="7030A0"/>
          <w:sz w:val="16"/>
          <w:szCs w:val="16"/>
        </w:rPr>
        <w:t xml:space="preserve"> </w:t>
      </w:r>
      <w:r w:rsidR="00AF01A8">
        <w:rPr>
          <w:rFonts w:ascii="Verdana" w:hAnsi="Verdana"/>
          <w:color w:val="7030A0"/>
          <w:sz w:val="16"/>
          <w:szCs w:val="16"/>
        </w:rPr>
        <w:t>[2019] UKSC 3</w:t>
      </w:r>
      <w:r w:rsidRPr="00D961A1">
        <w:rPr>
          <w:rFonts w:ascii="Verdana" w:hAnsi="Verdana"/>
          <w:i/>
          <w:iCs/>
          <w:color w:val="7030A0"/>
          <w:sz w:val="16"/>
          <w:szCs w:val="16"/>
        </w:rPr>
        <w:t>,</w:t>
      </w:r>
      <w:r w:rsidRPr="00D961A1">
        <w:rPr>
          <w:rFonts w:ascii="Verdana" w:hAnsi="Verdana"/>
          <w:color w:val="7030A0"/>
          <w:sz w:val="16"/>
          <w:szCs w:val="16"/>
        </w:rPr>
        <w:t xml:space="preserve"> at para 12.</w:t>
      </w:r>
    </w:p>
  </w:footnote>
  <w:footnote w:id="20">
    <w:p w14:paraId="0450C9CF" w14:textId="77777777" w:rsidR="00942548" w:rsidRPr="00AA173E" w:rsidRDefault="00942548" w:rsidP="00B92EA6">
      <w:pPr>
        <w:pStyle w:val="FootnoteText"/>
      </w:pPr>
      <w:r w:rsidRPr="00D961A1">
        <w:rPr>
          <w:rFonts w:ascii="Verdana" w:hAnsi="Verdana"/>
          <w:color w:val="7030A0"/>
          <w:sz w:val="16"/>
          <w:szCs w:val="16"/>
          <w:vertAlign w:val="superscript"/>
        </w:rPr>
        <w:footnoteRef/>
      </w:r>
      <w:r w:rsidRPr="00D961A1">
        <w:rPr>
          <w:rFonts w:ascii="Verdana" w:hAnsi="Verdana"/>
          <w:color w:val="7030A0"/>
          <w:sz w:val="16"/>
          <w:szCs w:val="16"/>
          <w:vertAlign w:val="superscript"/>
        </w:rPr>
        <w:t xml:space="preserve"> </w:t>
      </w:r>
      <w:r w:rsidRPr="00D961A1">
        <w:rPr>
          <w:rFonts w:ascii="Verdana" w:hAnsi="Verdana"/>
          <w:i/>
          <w:iCs/>
          <w:color w:val="7030A0"/>
          <w:sz w:val="16"/>
          <w:szCs w:val="16"/>
        </w:rPr>
        <w:t>R v Chief Constable ex p AB</w:t>
      </w:r>
      <w:r w:rsidRPr="00D961A1">
        <w:rPr>
          <w:rFonts w:ascii="Verdana" w:hAnsi="Verdana"/>
          <w:color w:val="7030A0"/>
          <w:sz w:val="16"/>
          <w:szCs w:val="16"/>
        </w:rPr>
        <w:t xml:space="preserve"> [1999] QB 396 at 416; </w:t>
      </w:r>
      <w:r w:rsidRPr="00D961A1">
        <w:rPr>
          <w:rFonts w:ascii="Verdana" w:hAnsi="Verdana"/>
          <w:i/>
          <w:iCs/>
          <w:color w:val="7030A0"/>
          <w:sz w:val="16"/>
          <w:szCs w:val="16"/>
        </w:rPr>
        <w:t>R (L) v Commissioner of Police of the Metropolis</w:t>
      </w:r>
      <w:r w:rsidRPr="00D961A1">
        <w:rPr>
          <w:rFonts w:ascii="Verdana" w:hAnsi="Verdana"/>
          <w:color w:val="7030A0"/>
          <w:sz w:val="16"/>
          <w:szCs w:val="16"/>
        </w:rPr>
        <w:t xml:space="preserve"> [2010] 1 AC 410 at para 25; </w:t>
      </w:r>
      <w:r w:rsidRPr="00D961A1">
        <w:rPr>
          <w:rFonts w:ascii="Verdana" w:hAnsi="Verdana"/>
          <w:i/>
          <w:iCs/>
          <w:color w:val="7030A0"/>
          <w:sz w:val="16"/>
          <w:szCs w:val="16"/>
        </w:rPr>
        <w:t xml:space="preserve">R (T) v Chief Constable of Manchester </w:t>
      </w:r>
      <w:r w:rsidRPr="00D961A1">
        <w:rPr>
          <w:rFonts w:ascii="Verdana" w:hAnsi="Verdana"/>
          <w:color w:val="7030A0"/>
          <w:sz w:val="16"/>
          <w:szCs w:val="16"/>
        </w:rPr>
        <w:t>[2015] AC 49, at para 27.</w:t>
      </w:r>
    </w:p>
  </w:footnote>
  <w:footnote w:id="21">
    <w:p w14:paraId="2A5ACF0F" w14:textId="77777777" w:rsidR="00942548" w:rsidRPr="00092AD9" w:rsidRDefault="00942548">
      <w:pPr>
        <w:pStyle w:val="FootnoteText"/>
        <w:rPr>
          <w:rFonts w:ascii="Verdana" w:hAnsi="Verdana"/>
          <w:color w:val="7030A0"/>
          <w:sz w:val="16"/>
          <w:szCs w:val="16"/>
        </w:rPr>
      </w:pPr>
      <w:r w:rsidRPr="00092AD9">
        <w:rPr>
          <w:rFonts w:ascii="Verdana" w:hAnsi="Verdana"/>
          <w:color w:val="7030A0"/>
          <w:sz w:val="16"/>
          <w:szCs w:val="16"/>
          <w:vertAlign w:val="superscript"/>
        </w:rPr>
        <w:footnoteRef/>
      </w:r>
      <w:r w:rsidRPr="00092AD9">
        <w:rPr>
          <w:rFonts w:ascii="Verdana" w:hAnsi="Verdana"/>
          <w:color w:val="7030A0"/>
          <w:sz w:val="16"/>
          <w:szCs w:val="16"/>
          <w:vertAlign w:val="superscript"/>
        </w:rPr>
        <w:t xml:space="preserve"> </w:t>
      </w:r>
      <w:r w:rsidRPr="00092AD9">
        <w:rPr>
          <w:rFonts w:ascii="Verdana" w:hAnsi="Verdana"/>
          <w:i/>
          <w:iCs/>
          <w:color w:val="7030A0"/>
          <w:sz w:val="16"/>
          <w:szCs w:val="16"/>
        </w:rPr>
        <w:t>The Sunday Times v United Kingdom</w:t>
      </w:r>
      <w:r w:rsidRPr="00092AD9">
        <w:rPr>
          <w:rFonts w:ascii="Verdana" w:hAnsi="Verdana"/>
          <w:color w:val="7030A0"/>
          <w:sz w:val="16"/>
          <w:szCs w:val="16"/>
        </w:rPr>
        <w:t xml:space="preserve"> (1979) 2 ECHR 245</w:t>
      </w:r>
    </w:p>
  </w:footnote>
  <w:footnote w:id="22">
    <w:p w14:paraId="78C64983" w14:textId="45B89C63" w:rsidR="00942548" w:rsidRPr="00092AD9" w:rsidRDefault="00942548">
      <w:pPr>
        <w:pStyle w:val="FootnoteText"/>
      </w:pPr>
      <w:r w:rsidRPr="00092AD9">
        <w:rPr>
          <w:rStyle w:val="FootnoteReference"/>
          <w:rFonts w:ascii="Verdana" w:hAnsi="Verdana"/>
          <w:color w:val="7030A0"/>
          <w:sz w:val="16"/>
          <w:szCs w:val="16"/>
        </w:rPr>
        <w:footnoteRef/>
      </w:r>
      <w:r w:rsidRPr="00092AD9">
        <w:rPr>
          <w:rFonts w:ascii="Verdana" w:hAnsi="Verdana"/>
          <w:color w:val="7030A0"/>
        </w:rPr>
        <w:t xml:space="preserve"> </w:t>
      </w:r>
      <w:r w:rsidRPr="00092AD9">
        <w:rPr>
          <w:rFonts w:ascii="Verdana" w:hAnsi="Verdana"/>
          <w:i/>
          <w:iCs/>
          <w:color w:val="7030A0"/>
          <w:sz w:val="16"/>
          <w:szCs w:val="16"/>
        </w:rPr>
        <w:t>R (T) v Chief Constable of Manchester</w:t>
      </w:r>
      <w:r>
        <w:rPr>
          <w:rFonts w:ascii="Verdana" w:hAnsi="Verdana"/>
          <w:i/>
          <w:iCs/>
          <w:color w:val="7030A0"/>
          <w:sz w:val="16"/>
          <w:szCs w:val="16"/>
        </w:rPr>
        <w:t xml:space="preserve"> </w:t>
      </w:r>
      <w:r>
        <w:rPr>
          <w:rFonts w:ascii="Verdana" w:hAnsi="Verdana"/>
          <w:color w:val="7030A0"/>
          <w:sz w:val="16"/>
          <w:szCs w:val="16"/>
        </w:rPr>
        <w:t>[</w:t>
      </w:r>
      <w:r w:rsidRPr="00DE583C">
        <w:rPr>
          <w:rFonts w:ascii="Verdana" w:hAnsi="Verdana"/>
          <w:color w:val="7030A0"/>
          <w:sz w:val="16"/>
          <w:szCs w:val="16"/>
        </w:rPr>
        <w:t>2014</w:t>
      </w:r>
      <w:r>
        <w:rPr>
          <w:rFonts w:ascii="Verdana" w:hAnsi="Verdana"/>
          <w:color w:val="7030A0"/>
          <w:sz w:val="16"/>
          <w:szCs w:val="16"/>
        </w:rPr>
        <w:t>]</w:t>
      </w:r>
      <w:r w:rsidRPr="00DE583C">
        <w:rPr>
          <w:rFonts w:ascii="Verdana" w:hAnsi="Verdana"/>
          <w:color w:val="7030A0"/>
          <w:sz w:val="16"/>
          <w:szCs w:val="16"/>
        </w:rPr>
        <w:t xml:space="preserve"> UKSC 35</w:t>
      </w:r>
      <w:r>
        <w:rPr>
          <w:rFonts w:ascii="Verdana" w:hAnsi="Verdana"/>
          <w:i/>
          <w:iCs/>
          <w:color w:val="7030A0"/>
          <w:sz w:val="16"/>
          <w:szCs w:val="16"/>
        </w:rPr>
        <w:t xml:space="preserve">, </w:t>
      </w:r>
      <w:r>
        <w:rPr>
          <w:rFonts w:ascii="Verdana" w:hAnsi="Verdana"/>
          <w:color w:val="7030A0"/>
          <w:sz w:val="16"/>
          <w:szCs w:val="16"/>
        </w:rPr>
        <w:t>at para 41.</w:t>
      </w:r>
    </w:p>
  </w:footnote>
  <w:footnote w:id="23">
    <w:p w14:paraId="7B055BAE" w14:textId="4F1E5B76" w:rsidR="00942548" w:rsidRPr="00780F29" w:rsidRDefault="00942548">
      <w:pPr>
        <w:pStyle w:val="FootnoteText"/>
      </w:pPr>
      <w:r w:rsidRPr="00BF03D5">
        <w:rPr>
          <w:rFonts w:ascii="Verdana" w:hAnsi="Verdana"/>
          <w:color w:val="7030A0"/>
          <w:sz w:val="16"/>
          <w:szCs w:val="16"/>
          <w:vertAlign w:val="superscript"/>
        </w:rPr>
        <w:footnoteRef/>
      </w:r>
      <w:r w:rsidRPr="00BF03D5">
        <w:rPr>
          <w:rFonts w:ascii="Verdana" w:hAnsi="Verdana"/>
          <w:color w:val="7030A0"/>
          <w:sz w:val="16"/>
          <w:szCs w:val="16"/>
        </w:rPr>
        <w:t xml:space="preserve"> </w:t>
      </w:r>
      <w:r w:rsidRPr="00780F29">
        <w:rPr>
          <w:rFonts w:ascii="Verdana" w:hAnsi="Verdana"/>
          <w:i/>
          <w:iCs/>
          <w:color w:val="7030A0"/>
          <w:sz w:val="16"/>
          <w:szCs w:val="16"/>
        </w:rPr>
        <w:t>MM v The United Kingdom</w:t>
      </w:r>
      <w:r>
        <w:t xml:space="preserve"> </w:t>
      </w:r>
      <w:r w:rsidRPr="0023672C">
        <w:rPr>
          <w:rFonts w:ascii="Verdana" w:hAnsi="Verdana"/>
          <w:color w:val="7030A0"/>
          <w:sz w:val="16"/>
          <w:szCs w:val="16"/>
        </w:rPr>
        <w:t>(2012) ECHR 1906, at para 200.</w:t>
      </w:r>
    </w:p>
  </w:footnote>
  <w:footnote w:id="24">
    <w:p w14:paraId="10D587F7" w14:textId="15E9ACD9" w:rsidR="00942548" w:rsidRPr="00780F29" w:rsidRDefault="00942548">
      <w:pPr>
        <w:pStyle w:val="FootnoteText"/>
      </w:pPr>
      <w:r w:rsidRPr="00BF03D5">
        <w:rPr>
          <w:rFonts w:ascii="Verdana" w:hAnsi="Verdana"/>
          <w:color w:val="7030A0"/>
          <w:sz w:val="16"/>
          <w:szCs w:val="16"/>
          <w:vertAlign w:val="superscript"/>
        </w:rPr>
        <w:footnoteRef/>
      </w:r>
      <w:r w:rsidRPr="00BF03D5">
        <w:rPr>
          <w:rFonts w:ascii="Verdana" w:hAnsi="Verdana"/>
          <w:color w:val="7030A0"/>
          <w:sz w:val="16"/>
          <w:szCs w:val="16"/>
          <w:vertAlign w:val="superscript"/>
        </w:rPr>
        <w:t xml:space="preserve"> </w:t>
      </w:r>
      <w:r w:rsidRPr="00780F29">
        <w:rPr>
          <w:rFonts w:ascii="Verdana" w:hAnsi="Verdana"/>
          <w:i/>
          <w:iCs/>
          <w:color w:val="7030A0"/>
          <w:sz w:val="16"/>
          <w:szCs w:val="16"/>
        </w:rPr>
        <w:t>MM v The United Kingdom</w:t>
      </w:r>
      <w:r>
        <w:t xml:space="preserve"> </w:t>
      </w:r>
      <w:r w:rsidRPr="0023672C">
        <w:rPr>
          <w:rFonts w:ascii="Verdana" w:hAnsi="Verdana"/>
          <w:color w:val="7030A0"/>
          <w:sz w:val="16"/>
          <w:szCs w:val="16"/>
        </w:rPr>
        <w:t>(2012) ECHR 1906, at para 200.</w:t>
      </w:r>
    </w:p>
  </w:footnote>
  <w:footnote w:id="25">
    <w:p w14:paraId="1F988B9C" w14:textId="58D1CCCF" w:rsidR="00942548" w:rsidRPr="00AD4B1E" w:rsidRDefault="00942548">
      <w:pPr>
        <w:pStyle w:val="FootnoteText"/>
        <w:rPr>
          <w:lang w:val="en-US"/>
        </w:rPr>
      </w:pPr>
      <w:r w:rsidRPr="00AD4B1E">
        <w:rPr>
          <w:rFonts w:ascii="Verdana" w:hAnsi="Verdana"/>
          <w:color w:val="7030A0"/>
          <w:sz w:val="16"/>
          <w:szCs w:val="16"/>
          <w:vertAlign w:val="superscript"/>
        </w:rPr>
        <w:footnoteRef/>
      </w:r>
      <w:r>
        <w:t xml:space="preserve"> </w:t>
      </w:r>
      <w:r w:rsidRPr="00184322">
        <w:rPr>
          <w:rFonts w:ascii="Verdana" w:hAnsi="Verdana"/>
          <w:color w:val="7030A0"/>
          <w:sz w:val="16"/>
          <w:szCs w:val="16"/>
        </w:rPr>
        <w:t xml:space="preserve">Council of Europe, </w:t>
      </w:r>
      <w:r>
        <w:rPr>
          <w:rFonts w:ascii="Verdana" w:hAnsi="Verdana"/>
          <w:color w:val="7030A0"/>
          <w:sz w:val="16"/>
          <w:szCs w:val="16"/>
        </w:rPr>
        <w:t>‘</w:t>
      </w:r>
      <w:r w:rsidRPr="00184322">
        <w:rPr>
          <w:rFonts w:ascii="Verdana" w:hAnsi="Verdana"/>
          <w:color w:val="7030A0"/>
          <w:sz w:val="16"/>
          <w:szCs w:val="16"/>
        </w:rPr>
        <w:t>Recommendation No</w:t>
      </w:r>
      <w:r>
        <w:rPr>
          <w:rFonts w:ascii="Verdana" w:hAnsi="Verdana"/>
          <w:color w:val="7030A0"/>
          <w:sz w:val="16"/>
          <w:szCs w:val="16"/>
        </w:rPr>
        <w:t>.</w:t>
      </w:r>
      <w:r w:rsidRPr="00184322">
        <w:rPr>
          <w:rFonts w:ascii="Verdana" w:hAnsi="Verdana"/>
          <w:color w:val="7030A0"/>
          <w:sz w:val="16"/>
          <w:szCs w:val="16"/>
        </w:rPr>
        <w:t xml:space="preserve"> R(84) 10 of the Committee of ministers to member states on the criminal record and rehabilitation of convicted persons</w:t>
      </w:r>
      <w:r>
        <w:rPr>
          <w:rFonts w:ascii="Verdana" w:hAnsi="Verdana"/>
          <w:color w:val="7030A0"/>
          <w:sz w:val="16"/>
          <w:szCs w:val="16"/>
        </w:rPr>
        <w:t>’</w:t>
      </w:r>
      <w:r w:rsidRPr="00184322">
        <w:rPr>
          <w:rFonts w:ascii="Verdana" w:hAnsi="Verdana"/>
          <w:color w:val="7030A0"/>
          <w:sz w:val="16"/>
          <w:szCs w:val="16"/>
        </w:rPr>
        <w:t xml:space="preserve"> (June 1984), at para 1</w:t>
      </w:r>
      <w:r>
        <w:rPr>
          <w:rFonts w:ascii="Verdana" w:hAnsi="Verdana"/>
          <w:color w:val="7030A0"/>
          <w:sz w:val="16"/>
          <w:szCs w:val="16"/>
        </w:rPr>
        <w:t>0</w:t>
      </w:r>
      <w:r w:rsidRPr="00184322">
        <w:rPr>
          <w:rFonts w:ascii="Verdana" w:hAnsi="Verdana"/>
          <w:color w:val="7030A0"/>
          <w:sz w:val="16"/>
          <w:szCs w:val="16"/>
        </w:rPr>
        <w:t>.</w:t>
      </w:r>
    </w:p>
  </w:footnote>
  <w:footnote w:id="26">
    <w:p w14:paraId="646C7CA0" w14:textId="686588BA" w:rsidR="00942548" w:rsidRPr="00692A45" w:rsidRDefault="00942548" w:rsidP="00692A45">
      <w:pPr>
        <w:pStyle w:val="FootnoteText"/>
      </w:pPr>
      <w:r w:rsidRPr="0094209A">
        <w:rPr>
          <w:rFonts w:ascii="Verdana" w:hAnsi="Verdana"/>
          <w:color w:val="7030A0"/>
          <w:sz w:val="16"/>
          <w:szCs w:val="16"/>
          <w:vertAlign w:val="superscript"/>
        </w:rPr>
        <w:footnoteRef/>
      </w:r>
      <w:r w:rsidRPr="0094209A">
        <w:rPr>
          <w:rFonts w:ascii="Verdana" w:hAnsi="Verdana"/>
          <w:color w:val="7030A0"/>
          <w:sz w:val="16"/>
          <w:szCs w:val="16"/>
        </w:rPr>
        <w:t xml:space="preserve"> Unlock ‘The mark of Cain: Lifelong disclosure in England and Wales since 1974’ </w:t>
      </w:r>
      <w:r>
        <w:rPr>
          <w:rFonts w:ascii="Verdana" w:hAnsi="Verdana"/>
          <w:color w:val="7030A0"/>
          <w:sz w:val="16"/>
          <w:szCs w:val="16"/>
        </w:rPr>
        <w:t>(</w:t>
      </w:r>
      <w:r w:rsidRPr="0094209A">
        <w:rPr>
          <w:rFonts w:ascii="Verdana" w:hAnsi="Verdana"/>
          <w:color w:val="7030A0"/>
          <w:sz w:val="16"/>
          <w:szCs w:val="16"/>
        </w:rPr>
        <w:t>2020</w:t>
      </w:r>
      <w:r>
        <w:rPr>
          <w:rFonts w:ascii="Verdana" w:hAnsi="Verdana"/>
          <w:color w:val="7030A0"/>
          <w:sz w:val="16"/>
          <w:szCs w:val="16"/>
        </w:rPr>
        <w:t>)</w:t>
      </w:r>
      <w:r w:rsidRPr="0094209A">
        <w:rPr>
          <w:rFonts w:ascii="Verdana" w:hAnsi="Verdana"/>
          <w:color w:val="7030A0"/>
          <w:sz w:val="16"/>
          <w:szCs w:val="16"/>
        </w:rPr>
        <w:t xml:space="preserve"> at 6.</w:t>
      </w:r>
    </w:p>
  </w:footnote>
  <w:footnote w:id="27">
    <w:p w14:paraId="0FDA4B0B" w14:textId="58E397B6" w:rsidR="00942548" w:rsidRPr="00202A64" w:rsidRDefault="00942548">
      <w:pPr>
        <w:pStyle w:val="FootnoteText"/>
      </w:pPr>
      <w:r w:rsidRPr="00021059">
        <w:rPr>
          <w:rFonts w:ascii="Verdana" w:hAnsi="Verdana"/>
          <w:color w:val="7030A0"/>
          <w:sz w:val="16"/>
          <w:szCs w:val="16"/>
          <w:vertAlign w:val="superscript"/>
        </w:rPr>
        <w:footnoteRef/>
      </w:r>
      <w:r w:rsidRPr="00021059">
        <w:rPr>
          <w:rFonts w:ascii="Verdana" w:hAnsi="Verdana"/>
          <w:color w:val="7030A0"/>
          <w:sz w:val="16"/>
          <w:szCs w:val="16"/>
        </w:rPr>
        <w:t xml:space="preserve"> Ministry of Justice ‘A Smarter Approach to Sentencing’ (September 2020), at para 257.</w:t>
      </w:r>
    </w:p>
  </w:footnote>
  <w:footnote w:id="28">
    <w:p w14:paraId="12AF9133" w14:textId="687EDE9C" w:rsidR="00942548" w:rsidRPr="00021059" w:rsidRDefault="00942548" w:rsidP="004C1675">
      <w:pPr>
        <w:pStyle w:val="FootnoteText"/>
        <w:rPr>
          <w:rFonts w:ascii="Verdana" w:hAnsi="Verdana"/>
          <w:color w:val="7030A0"/>
          <w:sz w:val="16"/>
          <w:szCs w:val="16"/>
        </w:rPr>
      </w:pPr>
      <w:r w:rsidRPr="00021059">
        <w:rPr>
          <w:rFonts w:ascii="Verdana" w:hAnsi="Verdana"/>
          <w:color w:val="7030A0"/>
          <w:sz w:val="16"/>
          <w:szCs w:val="16"/>
          <w:vertAlign w:val="superscript"/>
        </w:rPr>
        <w:footnoteRef/>
      </w:r>
      <w:r w:rsidRPr="00021059">
        <w:rPr>
          <w:rFonts w:ascii="Verdana" w:hAnsi="Verdana"/>
          <w:color w:val="7030A0"/>
          <w:sz w:val="16"/>
          <w:szCs w:val="16"/>
        </w:rPr>
        <w:t xml:space="preserve"> Andrew Henley, ‘The rationale behind the Rehabilitation of Offenders Act 1974’ (2020). </w:t>
      </w:r>
    </w:p>
  </w:footnote>
  <w:footnote w:id="29">
    <w:p w14:paraId="2EF8DBF6" w14:textId="545052F6" w:rsidR="00942548" w:rsidRPr="00021059" w:rsidRDefault="00942548">
      <w:pPr>
        <w:pStyle w:val="FootnoteText"/>
        <w:rPr>
          <w:rFonts w:ascii="Verdana" w:hAnsi="Verdana"/>
          <w:sz w:val="16"/>
          <w:szCs w:val="16"/>
          <w:lang w:val="en-US"/>
        </w:rPr>
      </w:pPr>
      <w:r w:rsidRPr="00021059">
        <w:rPr>
          <w:rFonts w:ascii="Verdana" w:hAnsi="Verdana"/>
          <w:color w:val="7030A0"/>
          <w:sz w:val="16"/>
          <w:szCs w:val="16"/>
          <w:vertAlign w:val="superscript"/>
        </w:rPr>
        <w:footnoteRef/>
      </w:r>
      <w:r w:rsidRPr="00021059">
        <w:rPr>
          <w:rFonts w:ascii="Verdana" w:hAnsi="Verdana"/>
          <w:color w:val="7030A0"/>
          <w:sz w:val="16"/>
          <w:szCs w:val="16"/>
        </w:rPr>
        <w:t xml:space="preserve"> Andrew Henley, ‘The rationale behind the Rehabilitation of Offenders Act 1974’ (2020), at 2.</w:t>
      </w:r>
      <w:r w:rsidRPr="00021059">
        <w:rPr>
          <w:rFonts w:ascii="Verdana" w:hAnsi="Verdana"/>
          <w:sz w:val="16"/>
          <w:szCs w:val="16"/>
        </w:rPr>
        <w:t xml:space="preserve"> </w:t>
      </w:r>
    </w:p>
  </w:footnote>
  <w:footnote w:id="30">
    <w:p w14:paraId="204ED0DF" w14:textId="0B171F2E" w:rsidR="00B0252F" w:rsidRPr="00B0252F" w:rsidRDefault="00B0252F">
      <w:pPr>
        <w:pStyle w:val="FootnoteText"/>
      </w:pPr>
      <w:r w:rsidRPr="002D5002">
        <w:rPr>
          <w:rFonts w:ascii="Verdana" w:hAnsi="Verdana"/>
          <w:color w:val="7030A0"/>
          <w:sz w:val="16"/>
          <w:szCs w:val="16"/>
          <w:vertAlign w:val="superscript"/>
        </w:rPr>
        <w:footnoteRef/>
      </w:r>
      <w:r w:rsidRPr="002D5002">
        <w:rPr>
          <w:rFonts w:ascii="Verdana" w:hAnsi="Verdana"/>
          <w:color w:val="7030A0"/>
          <w:sz w:val="16"/>
          <w:szCs w:val="16"/>
        </w:rPr>
        <w:t xml:space="preserve"> </w:t>
      </w:r>
      <w:r w:rsidR="002D5002" w:rsidRPr="002D5002">
        <w:rPr>
          <w:rFonts w:ascii="Verdana" w:hAnsi="Verdana"/>
          <w:color w:val="7030A0"/>
          <w:sz w:val="16"/>
          <w:szCs w:val="16"/>
        </w:rPr>
        <w:t>Ministry of Justice, ‘Proven reoffending statistics: October to December 2018’ (October 2020), at Table C2a.</w:t>
      </w:r>
    </w:p>
  </w:footnote>
  <w:footnote w:id="31">
    <w:p w14:paraId="7CE1C718" w14:textId="6D83C276" w:rsidR="00942548" w:rsidRPr="00182F32" w:rsidRDefault="00942548" w:rsidP="00A54603">
      <w:pPr>
        <w:pStyle w:val="FootnoteText"/>
        <w:rPr>
          <w:rFonts w:ascii="Verdana" w:hAnsi="Verdana"/>
        </w:rPr>
      </w:pPr>
      <w:r w:rsidRPr="00182F32">
        <w:rPr>
          <w:rFonts w:ascii="Verdana" w:hAnsi="Verdana"/>
          <w:color w:val="7030A0"/>
          <w:sz w:val="16"/>
          <w:szCs w:val="16"/>
          <w:vertAlign w:val="superscript"/>
        </w:rPr>
        <w:footnoteRef/>
      </w:r>
      <w:r w:rsidRPr="00182F32">
        <w:rPr>
          <w:rFonts w:ascii="Verdana" w:hAnsi="Verdana"/>
          <w:color w:val="7030A0"/>
          <w:sz w:val="16"/>
          <w:szCs w:val="16"/>
        </w:rPr>
        <w:t xml:space="preserve"> </w:t>
      </w:r>
      <w:r w:rsidRPr="00182F32">
        <w:rPr>
          <w:rFonts w:ascii="Verdana" w:hAnsi="Verdana"/>
          <w:i/>
          <w:iCs/>
          <w:color w:val="7030A0"/>
          <w:sz w:val="16"/>
          <w:szCs w:val="16"/>
        </w:rPr>
        <w:t xml:space="preserve">R (L) v </w:t>
      </w:r>
      <w:r w:rsidRPr="00B73CD6">
        <w:rPr>
          <w:rFonts w:ascii="Verdana" w:hAnsi="Verdana"/>
          <w:i/>
          <w:iCs/>
          <w:color w:val="7030A0"/>
          <w:sz w:val="16"/>
          <w:szCs w:val="16"/>
        </w:rPr>
        <w:t xml:space="preserve">Commissioner of Police of the Metropolis </w:t>
      </w:r>
      <w:r w:rsidRPr="005616A4">
        <w:rPr>
          <w:rFonts w:ascii="Verdana" w:hAnsi="Verdana"/>
          <w:color w:val="7030A0"/>
          <w:sz w:val="16"/>
          <w:szCs w:val="16"/>
        </w:rPr>
        <w:t>[2009] UKSC 3,</w:t>
      </w:r>
      <w:r w:rsidRPr="00182F32">
        <w:rPr>
          <w:rFonts w:ascii="Verdana" w:hAnsi="Verdana"/>
          <w:color w:val="7030A0"/>
          <w:sz w:val="16"/>
          <w:szCs w:val="16"/>
        </w:rPr>
        <w:t xml:space="preserve"> at para 24.</w:t>
      </w:r>
    </w:p>
  </w:footnote>
  <w:footnote w:id="32">
    <w:p w14:paraId="7C9FD169" w14:textId="72D99D83" w:rsidR="00942548" w:rsidRPr="00182F32" w:rsidRDefault="00942548">
      <w:pPr>
        <w:pStyle w:val="FootnoteText"/>
        <w:rPr>
          <w:rFonts w:ascii="Verdana" w:hAnsi="Verdana"/>
        </w:rPr>
      </w:pPr>
      <w:r w:rsidRPr="00182F32">
        <w:rPr>
          <w:rFonts w:ascii="Verdana" w:hAnsi="Verdana"/>
          <w:color w:val="7030A0"/>
          <w:sz w:val="16"/>
          <w:szCs w:val="16"/>
          <w:vertAlign w:val="superscript"/>
        </w:rPr>
        <w:footnoteRef/>
      </w:r>
      <w:r w:rsidRPr="00182F32">
        <w:rPr>
          <w:rFonts w:ascii="Verdana" w:hAnsi="Verdana"/>
          <w:color w:val="7030A0"/>
          <w:sz w:val="16"/>
          <w:szCs w:val="16"/>
          <w:vertAlign w:val="superscript"/>
        </w:rPr>
        <w:t xml:space="preserve"> </w:t>
      </w:r>
      <w:r w:rsidRPr="00182F32">
        <w:rPr>
          <w:rFonts w:ascii="Verdana" w:hAnsi="Verdana"/>
          <w:i/>
          <w:iCs/>
          <w:color w:val="7030A0"/>
          <w:sz w:val="16"/>
          <w:szCs w:val="16"/>
        </w:rPr>
        <w:t xml:space="preserve">R (L) v </w:t>
      </w:r>
      <w:r w:rsidRPr="00B73CD6">
        <w:rPr>
          <w:rFonts w:ascii="Verdana" w:hAnsi="Verdana"/>
          <w:i/>
          <w:iCs/>
          <w:color w:val="7030A0"/>
          <w:sz w:val="16"/>
          <w:szCs w:val="16"/>
        </w:rPr>
        <w:t>Commissioner of Police of the Metropolis</w:t>
      </w:r>
      <w:r w:rsidRPr="005616A4">
        <w:rPr>
          <w:rFonts w:ascii="Verdana" w:hAnsi="Verdana"/>
          <w:color w:val="7030A0"/>
          <w:sz w:val="16"/>
          <w:szCs w:val="16"/>
        </w:rPr>
        <w:t xml:space="preserve"> [2009] UKSC 3, </w:t>
      </w:r>
      <w:r w:rsidRPr="00182F32">
        <w:rPr>
          <w:rFonts w:ascii="Verdana" w:hAnsi="Verdana"/>
          <w:color w:val="7030A0"/>
          <w:sz w:val="16"/>
          <w:szCs w:val="16"/>
        </w:rPr>
        <w:t>at para 27.</w:t>
      </w:r>
    </w:p>
  </w:footnote>
  <w:footnote w:id="33">
    <w:p w14:paraId="1A31A65A" w14:textId="77777777" w:rsidR="00942548" w:rsidRPr="00182F32" w:rsidRDefault="00942548" w:rsidP="008B37E0">
      <w:pPr>
        <w:pStyle w:val="FootnoteText"/>
        <w:rPr>
          <w:rFonts w:ascii="Verdana" w:hAnsi="Verdana"/>
          <w:color w:val="7030A0"/>
          <w:sz w:val="16"/>
          <w:szCs w:val="16"/>
        </w:rPr>
      </w:pPr>
      <w:r w:rsidRPr="00182F32">
        <w:rPr>
          <w:rFonts w:ascii="Verdana" w:hAnsi="Verdana"/>
          <w:color w:val="7030A0"/>
          <w:sz w:val="16"/>
          <w:szCs w:val="16"/>
          <w:vertAlign w:val="superscript"/>
        </w:rPr>
        <w:footnoteRef/>
      </w:r>
      <w:r w:rsidRPr="00182F32">
        <w:rPr>
          <w:rFonts w:ascii="Verdana" w:hAnsi="Verdana"/>
          <w:color w:val="7030A0"/>
          <w:sz w:val="16"/>
          <w:szCs w:val="16"/>
        </w:rPr>
        <w:t xml:space="preserve"> Department of Justice, ‘Rehabilitation of Offenders – A consultation on proposals to reform rehabilitation periods in Northern Ireland’ (January 2021), at 15.</w:t>
      </w:r>
    </w:p>
  </w:footnote>
  <w:footnote w:id="34">
    <w:p w14:paraId="7DC79240" w14:textId="53FD3773" w:rsidR="00942548" w:rsidRPr="002640FA" w:rsidRDefault="00942548">
      <w:pPr>
        <w:pStyle w:val="FootnoteText"/>
        <w:rPr>
          <w:lang w:val="en-HK"/>
        </w:rPr>
      </w:pPr>
      <w:r w:rsidRPr="00182F32">
        <w:rPr>
          <w:rFonts w:ascii="Verdana" w:hAnsi="Verdana"/>
          <w:color w:val="7030A0"/>
          <w:sz w:val="16"/>
          <w:szCs w:val="16"/>
          <w:vertAlign w:val="superscript"/>
        </w:rPr>
        <w:footnoteRef/>
      </w:r>
      <w:r w:rsidRPr="00182F32">
        <w:rPr>
          <w:rFonts w:ascii="Verdana" w:hAnsi="Verdana"/>
          <w:color w:val="7030A0"/>
          <w:sz w:val="16"/>
          <w:szCs w:val="16"/>
        </w:rPr>
        <w:t xml:space="preserve"> </w:t>
      </w:r>
      <w:r w:rsidR="001C4C44" w:rsidRPr="001C4C44">
        <w:rPr>
          <w:rFonts w:ascii="Verdana" w:hAnsi="Verdana"/>
          <w:i/>
          <w:iCs/>
          <w:color w:val="7030A0"/>
          <w:sz w:val="16"/>
          <w:szCs w:val="16"/>
        </w:rPr>
        <w:t xml:space="preserve">R (JF) v Secretary of State </w:t>
      </w:r>
      <w:r w:rsidR="001C4C44" w:rsidRPr="005616A4">
        <w:rPr>
          <w:rFonts w:ascii="Verdana" w:hAnsi="Verdana"/>
          <w:color w:val="7030A0"/>
          <w:sz w:val="16"/>
          <w:szCs w:val="16"/>
        </w:rPr>
        <w:t>[2011] 1 AC 331</w:t>
      </w:r>
      <w:r w:rsidR="005616A4">
        <w:rPr>
          <w:rFonts w:ascii="Verdana" w:hAnsi="Verdana"/>
          <w:color w:val="7030A0"/>
          <w:sz w:val="16"/>
          <w:szCs w:val="16"/>
        </w:rPr>
        <w:t>.</w:t>
      </w:r>
    </w:p>
  </w:footnote>
  <w:footnote w:id="35">
    <w:p w14:paraId="7757ABA8" w14:textId="471CE4CD" w:rsidR="00942548" w:rsidRPr="002F0EB4" w:rsidRDefault="00942548">
      <w:pPr>
        <w:pStyle w:val="FootnoteText"/>
        <w:rPr>
          <w:lang w:val="en-US"/>
        </w:rPr>
      </w:pPr>
      <w:r w:rsidRPr="00BB6C60">
        <w:rPr>
          <w:rFonts w:ascii="Verdana" w:hAnsi="Verdana"/>
          <w:color w:val="7030A0"/>
          <w:sz w:val="16"/>
          <w:szCs w:val="16"/>
          <w:vertAlign w:val="superscript"/>
        </w:rPr>
        <w:footnoteRef/>
      </w:r>
      <w:r w:rsidRPr="00BB6C60">
        <w:rPr>
          <w:rFonts w:ascii="Verdana" w:hAnsi="Verdana"/>
          <w:color w:val="7030A0"/>
          <w:sz w:val="16"/>
          <w:szCs w:val="16"/>
          <w:vertAlign w:val="superscript"/>
        </w:rPr>
        <w:t xml:space="preserve"> </w:t>
      </w:r>
      <w:r w:rsidR="001C4C44" w:rsidRPr="001C4C44">
        <w:rPr>
          <w:rFonts w:ascii="Verdana" w:hAnsi="Verdana"/>
          <w:i/>
          <w:iCs/>
          <w:color w:val="7030A0"/>
          <w:sz w:val="16"/>
          <w:szCs w:val="16"/>
        </w:rPr>
        <w:t xml:space="preserve">R (JF) v Secretary of State </w:t>
      </w:r>
      <w:r w:rsidR="001C4C44" w:rsidRPr="005616A4">
        <w:rPr>
          <w:rFonts w:ascii="Verdana" w:hAnsi="Verdana"/>
          <w:color w:val="7030A0"/>
          <w:sz w:val="16"/>
          <w:szCs w:val="16"/>
        </w:rPr>
        <w:t>[2011] 1 AC 331</w:t>
      </w:r>
      <w:r w:rsidRPr="005616A4">
        <w:rPr>
          <w:rFonts w:ascii="Verdana" w:hAnsi="Verdana"/>
          <w:color w:val="7030A0"/>
          <w:sz w:val="16"/>
          <w:szCs w:val="16"/>
        </w:rPr>
        <w:t>,</w:t>
      </w:r>
      <w:r>
        <w:rPr>
          <w:rFonts w:ascii="Verdana" w:hAnsi="Verdana"/>
          <w:color w:val="7030A0"/>
          <w:sz w:val="16"/>
          <w:szCs w:val="16"/>
        </w:rPr>
        <w:t xml:space="preserve"> at para 41.</w:t>
      </w:r>
    </w:p>
  </w:footnote>
  <w:footnote w:id="36">
    <w:p w14:paraId="10063366" w14:textId="75A55ACF" w:rsidR="00942548" w:rsidRPr="001840B9" w:rsidRDefault="00942548">
      <w:pPr>
        <w:pStyle w:val="FootnoteText"/>
      </w:pPr>
      <w:r w:rsidRPr="00BB6C60">
        <w:rPr>
          <w:rFonts w:ascii="Verdana" w:hAnsi="Verdana"/>
          <w:color w:val="7030A0"/>
          <w:sz w:val="16"/>
          <w:szCs w:val="16"/>
          <w:vertAlign w:val="superscript"/>
        </w:rPr>
        <w:footnoteRef/>
      </w:r>
      <w:r w:rsidRPr="00BB6C60">
        <w:rPr>
          <w:rFonts w:ascii="Verdana" w:hAnsi="Verdana"/>
          <w:color w:val="7030A0"/>
          <w:sz w:val="16"/>
          <w:szCs w:val="16"/>
        </w:rPr>
        <w:t xml:space="preserve"> </w:t>
      </w:r>
      <w:r w:rsidR="001C4C44" w:rsidRPr="001C4C44">
        <w:rPr>
          <w:rFonts w:ascii="Verdana" w:hAnsi="Verdana"/>
          <w:i/>
          <w:iCs/>
          <w:color w:val="7030A0"/>
          <w:sz w:val="16"/>
          <w:szCs w:val="16"/>
        </w:rPr>
        <w:t xml:space="preserve">R (JF) v Secretary of State </w:t>
      </w:r>
      <w:r w:rsidR="001C4C44" w:rsidRPr="005616A4">
        <w:rPr>
          <w:rFonts w:ascii="Verdana" w:hAnsi="Verdana"/>
          <w:color w:val="7030A0"/>
          <w:sz w:val="16"/>
          <w:szCs w:val="16"/>
        </w:rPr>
        <w:t>[2011] 1 AC 331</w:t>
      </w:r>
      <w:r w:rsidRPr="005616A4">
        <w:rPr>
          <w:rFonts w:ascii="Verdana" w:hAnsi="Verdana"/>
          <w:color w:val="7030A0"/>
          <w:sz w:val="16"/>
          <w:szCs w:val="16"/>
        </w:rPr>
        <w:t xml:space="preserve">, </w:t>
      </w:r>
      <w:r>
        <w:rPr>
          <w:rFonts w:ascii="Verdana" w:hAnsi="Verdana"/>
          <w:color w:val="7030A0"/>
          <w:sz w:val="16"/>
          <w:szCs w:val="16"/>
        </w:rPr>
        <w:t>at para 51.</w:t>
      </w:r>
    </w:p>
  </w:footnote>
  <w:footnote w:id="37">
    <w:p w14:paraId="3187CB82" w14:textId="66102FA1" w:rsidR="00942548" w:rsidRPr="00040C9D" w:rsidRDefault="00942548" w:rsidP="003E3C67">
      <w:pPr>
        <w:pStyle w:val="FootnoteText"/>
        <w:rPr>
          <w:lang w:val="en-US"/>
        </w:rPr>
      </w:pPr>
      <w:r w:rsidRPr="00040C9D">
        <w:rPr>
          <w:rFonts w:ascii="Verdana" w:hAnsi="Verdana"/>
          <w:color w:val="7030A0"/>
          <w:sz w:val="16"/>
          <w:szCs w:val="16"/>
          <w:vertAlign w:val="superscript"/>
        </w:rPr>
        <w:footnoteRef/>
      </w:r>
      <w:r w:rsidRPr="00040C9D">
        <w:rPr>
          <w:rFonts w:ascii="Verdana" w:hAnsi="Verdana"/>
          <w:color w:val="7030A0"/>
          <w:sz w:val="16"/>
          <w:szCs w:val="16"/>
          <w:vertAlign w:val="superscript"/>
        </w:rPr>
        <w:t xml:space="preserve"> </w:t>
      </w:r>
      <w:r w:rsidRPr="000B78BC">
        <w:rPr>
          <w:rFonts w:ascii="Verdana" w:hAnsi="Verdana"/>
          <w:i/>
          <w:iCs/>
          <w:color w:val="7030A0"/>
          <w:sz w:val="16"/>
          <w:szCs w:val="16"/>
        </w:rPr>
        <w:t>R (</w:t>
      </w:r>
      <w:r w:rsidR="001C4C44">
        <w:rPr>
          <w:rFonts w:ascii="Verdana" w:hAnsi="Verdana"/>
          <w:i/>
          <w:iCs/>
          <w:color w:val="7030A0"/>
          <w:sz w:val="16"/>
          <w:szCs w:val="16"/>
        </w:rPr>
        <w:t>JF</w:t>
      </w:r>
      <w:r w:rsidRPr="000B78BC">
        <w:rPr>
          <w:rFonts w:ascii="Verdana" w:hAnsi="Verdana"/>
          <w:i/>
          <w:iCs/>
          <w:color w:val="7030A0"/>
          <w:sz w:val="16"/>
          <w:szCs w:val="16"/>
        </w:rPr>
        <w:t xml:space="preserve">) v Secretary of State </w:t>
      </w:r>
      <w:r w:rsidRPr="005616A4">
        <w:rPr>
          <w:rFonts w:ascii="Verdana" w:hAnsi="Verdana"/>
          <w:color w:val="7030A0"/>
          <w:sz w:val="16"/>
          <w:szCs w:val="16"/>
        </w:rPr>
        <w:t>[2009]</w:t>
      </w:r>
      <w:r w:rsidRPr="002640FA">
        <w:rPr>
          <w:rFonts w:ascii="Verdana" w:hAnsi="Verdana"/>
          <w:color w:val="7030A0"/>
          <w:sz w:val="16"/>
          <w:szCs w:val="16"/>
        </w:rPr>
        <w:t xml:space="preserve"> EWCA Civ 792</w:t>
      </w:r>
      <w:r>
        <w:rPr>
          <w:rFonts w:ascii="Verdana" w:hAnsi="Verdana"/>
          <w:color w:val="7030A0"/>
          <w:sz w:val="16"/>
          <w:szCs w:val="16"/>
        </w:rPr>
        <w:t>, at para 48.</w:t>
      </w:r>
    </w:p>
  </w:footnote>
  <w:footnote w:id="38">
    <w:p w14:paraId="19795819" w14:textId="10FF5080" w:rsidR="00942548" w:rsidRPr="0052588D" w:rsidRDefault="00942548">
      <w:pPr>
        <w:pStyle w:val="FootnoteText"/>
        <w:rPr>
          <w:rFonts w:ascii="Verdana" w:hAnsi="Verdana"/>
          <w:color w:val="7030A0"/>
          <w:sz w:val="16"/>
          <w:szCs w:val="16"/>
        </w:rPr>
      </w:pPr>
      <w:r w:rsidRPr="0052588D">
        <w:rPr>
          <w:rFonts w:ascii="Verdana" w:hAnsi="Verdana"/>
          <w:color w:val="7030A0"/>
          <w:sz w:val="16"/>
          <w:szCs w:val="16"/>
          <w:vertAlign w:val="superscript"/>
        </w:rPr>
        <w:footnoteRef/>
      </w:r>
      <w:r w:rsidRPr="0052588D">
        <w:rPr>
          <w:rFonts w:ascii="Verdana" w:hAnsi="Verdana"/>
          <w:color w:val="7030A0"/>
          <w:sz w:val="16"/>
          <w:szCs w:val="16"/>
        </w:rPr>
        <w:t xml:space="preserve"> NIACRO, ‘The Department of Justice’s ‘Rehabilitation of Offenders’: A consultation on proposals to Reform Rehabilitation Periods in Northern Ireland’ (February 2021), at 7.</w:t>
      </w:r>
    </w:p>
  </w:footnote>
  <w:footnote w:id="39">
    <w:p w14:paraId="5027F445" w14:textId="77777777" w:rsidR="00942548" w:rsidRPr="00182F32" w:rsidRDefault="00942548" w:rsidP="0035142B">
      <w:pPr>
        <w:pStyle w:val="FootnoteText"/>
        <w:rPr>
          <w:rFonts w:ascii="Verdana" w:hAnsi="Verdana"/>
          <w:color w:val="7030A0"/>
          <w:sz w:val="16"/>
          <w:szCs w:val="16"/>
        </w:rPr>
      </w:pPr>
      <w:r w:rsidRPr="00B20DFF">
        <w:rPr>
          <w:rFonts w:ascii="Verdana" w:hAnsi="Verdana"/>
          <w:color w:val="7030A0"/>
          <w:sz w:val="16"/>
          <w:szCs w:val="16"/>
          <w:vertAlign w:val="superscript"/>
        </w:rPr>
        <w:footnoteRef/>
      </w:r>
      <w:r w:rsidRPr="00182F32">
        <w:rPr>
          <w:rFonts w:ascii="Verdana" w:hAnsi="Verdana"/>
          <w:color w:val="7030A0"/>
          <w:sz w:val="16"/>
          <w:szCs w:val="16"/>
        </w:rPr>
        <w:t xml:space="preserve"> A Fresh Start: The Stormont Agreement and Implementation Plan, 17 November 2015, at para 3.10.</w:t>
      </w:r>
    </w:p>
  </w:footnote>
  <w:footnote w:id="40">
    <w:p w14:paraId="27D2C89E" w14:textId="77777777" w:rsidR="00942548" w:rsidRPr="00182F32" w:rsidRDefault="00942548" w:rsidP="0035142B">
      <w:pPr>
        <w:pStyle w:val="FootnoteText"/>
        <w:rPr>
          <w:rFonts w:ascii="Verdana" w:hAnsi="Verdana"/>
          <w:color w:val="7030A0"/>
          <w:sz w:val="16"/>
          <w:szCs w:val="16"/>
        </w:rPr>
      </w:pPr>
      <w:r w:rsidRPr="00182F32">
        <w:rPr>
          <w:rFonts w:ascii="Verdana" w:hAnsi="Verdana"/>
          <w:color w:val="7030A0"/>
          <w:sz w:val="16"/>
          <w:szCs w:val="16"/>
          <w:vertAlign w:val="superscript"/>
        </w:rPr>
        <w:footnoteRef/>
      </w:r>
      <w:r w:rsidRPr="00182F32">
        <w:rPr>
          <w:rFonts w:ascii="Verdana" w:hAnsi="Verdana"/>
          <w:color w:val="7030A0"/>
          <w:sz w:val="16"/>
          <w:szCs w:val="16"/>
        </w:rPr>
        <w:t xml:space="preserve"> Review Panel on the Employers’ Guidance on Recruiting People with Conflict Related Convictions ‘2nd Report of the Review Panel on the Employers’ Guidance on Recruiting People with Conflict Related Convictions’ (May 2016), at para 3.3. </w:t>
      </w:r>
    </w:p>
  </w:footnote>
  <w:footnote w:id="41">
    <w:p w14:paraId="5C672F29" w14:textId="6202621D" w:rsidR="00942548" w:rsidRPr="00182F32" w:rsidRDefault="00942548" w:rsidP="0035142B">
      <w:pPr>
        <w:pStyle w:val="FootnoteText"/>
        <w:rPr>
          <w:rFonts w:ascii="Verdana" w:hAnsi="Verdana"/>
          <w:color w:val="7030A0"/>
          <w:sz w:val="16"/>
          <w:szCs w:val="16"/>
        </w:rPr>
      </w:pPr>
      <w:r w:rsidRPr="00182F32">
        <w:rPr>
          <w:rFonts w:ascii="Verdana" w:hAnsi="Verdana"/>
          <w:color w:val="7030A0"/>
          <w:sz w:val="16"/>
          <w:szCs w:val="16"/>
          <w:vertAlign w:val="superscript"/>
        </w:rPr>
        <w:footnoteRef/>
      </w:r>
      <w:r w:rsidRPr="00182F32">
        <w:rPr>
          <w:rFonts w:ascii="Verdana" w:hAnsi="Verdana"/>
          <w:color w:val="7030A0"/>
          <w:sz w:val="16"/>
          <w:szCs w:val="16"/>
          <w:vertAlign w:val="superscript"/>
        </w:rPr>
        <w:t xml:space="preserve"> </w:t>
      </w:r>
      <w:r w:rsidRPr="00182F32">
        <w:rPr>
          <w:rFonts w:ascii="Verdana" w:hAnsi="Verdana"/>
          <w:color w:val="7030A0"/>
          <w:sz w:val="16"/>
          <w:szCs w:val="16"/>
        </w:rPr>
        <w:t>Review Panel on the Employers’ Guidance on Recruiting People with Conflict Related Convictions ‘2nd Report of the Review Panel on the Employers’ Guidance on Recruiting People with Conflict Related Convictions’ (May 2016), at para 5.11.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977BD1"/>
    <w:multiLevelType w:val="hybridMultilevel"/>
    <w:tmpl w:val="5EF2CD84"/>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55B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8B1871"/>
    <w:multiLevelType w:val="hybridMultilevel"/>
    <w:tmpl w:val="D16220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B5803DD"/>
    <w:multiLevelType w:val="multilevel"/>
    <w:tmpl w:val="AED486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D84A89"/>
    <w:multiLevelType w:val="multilevel"/>
    <w:tmpl w:val="557E24E8"/>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38848B1"/>
    <w:multiLevelType w:val="multilevel"/>
    <w:tmpl w:val="EA242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A4FF5"/>
    <w:multiLevelType w:val="multilevel"/>
    <w:tmpl w:val="6872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54D1E"/>
    <w:multiLevelType w:val="multilevel"/>
    <w:tmpl w:val="557E24E8"/>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8CD5226"/>
    <w:multiLevelType w:val="multilevel"/>
    <w:tmpl w:val="A750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F92E01"/>
    <w:multiLevelType w:val="multilevel"/>
    <w:tmpl w:val="0C489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6E3AF3"/>
    <w:multiLevelType w:val="multilevel"/>
    <w:tmpl w:val="557E24E8"/>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0"/>
  </w:num>
  <w:num w:numId="4">
    <w:abstractNumId w:val="6"/>
  </w:num>
  <w:num w:numId="5">
    <w:abstractNumId w:val="15"/>
  </w:num>
  <w:num w:numId="6">
    <w:abstractNumId w:val="3"/>
  </w:num>
  <w:num w:numId="7">
    <w:abstractNumId w:val="8"/>
  </w:num>
  <w:num w:numId="8">
    <w:abstractNumId w:val="2"/>
  </w:num>
  <w:num w:numId="9">
    <w:abstractNumId w:val="4"/>
  </w:num>
  <w:num w:numId="10">
    <w:abstractNumId w:val="16"/>
  </w:num>
  <w:num w:numId="11">
    <w:abstractNumId w:val="12"/>
  </w:num>
  <w:num w:numId="12">
    <w:abstractNumId w:val="7"/>
  </w:num>
  <w:num w:numId="13">
    <w:abstractNumId w:val="5"/>
  </w:num>
  <w:num w:numId="14">
    <w:abstractNumId w:val="11"/>
  </w:num>
  <w:num w:numId="15">
    <w:abstractNumId w:val="1"/>
  </w:num>
  <w:num w:numId="16">
    <w:abstractNumId w:val="1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20EC4"/>
    <w:rsid w:val="00021059"/>
    <w:rsid w:val="0003114E"/>
    <w:rsid w:val="00040C9D"/>
    <w:rsid w:val="00046705"/>
    <w:rsid w:val="00051E7A"/>
    <w:rsid w:val="00052DA4"/>
    <w:rsid w:val="0005379E"/>
    <w:rsid w:val="000632ED"/>
    <w:rsid w:val="00076F24"/>
    <w:rsid w:val="00083E11"/>
    <w:rsid w:val="000873B9"/>
    <w:rsid w:val="00092AD9"/>
    <w:rsid w:val="000948A5"/>
    <w:rsid w:val="000960E8"/>
    <w:rsid w:val="000B2433"/>
    <w:rsid w:val="000B5561"/>
    <w:rsid w:val="000B78BC"/>
    <w:rsid w:val="000C0C8A"/>
    <w:rsid w:val="000C7344"/>
    <w:rsid w:val="000D0FFD"/>
    <w:rsid w:val="000D13A3"/>
    <w:rsid w:val="000E1F61"/>
    <w:rsid w:val="000E399E"/>
    <w:rsid w:val="000E7F0C"/>
    <w:rsid w:val="001073D8"/>
    <w:rsid w:val="00116EF5"/>
    <w:rsid w:val="001178C5"/>
    <w:rsid w:val="00121385"/>
    <w:rsid w:val="00127D97"/>
    <w:rsid w:val="00131A87"/>
    <w:rsid w:val="00140896"/>
    <w:rsid w:val="0014137D"/>
    <w:rsid w:val="00162BED"/>
    <w:rsid w:val="00162EB3"/>
    <w:rsid w:val="00164DE2"/>
    <w:rsid w:val="001774F9"/>
    <w:rsid w:val="00182F32"/>
    <w:rsid w:val="001840B9"/>
    <w:rsid w:val="00184322"/>
    <w:rsid w:val="00186A0D"/>
    <w:rsid w:val="00190ECA"/>
    <w:rsid w:val="0019158C"/>
    <w:rsid w:val="0019201A"/>
    <w:rsid w:val="001A4BF3"/>
    <w:rsid w:val="001B2BF3"/>
    <w:rsid w:val="001C3000"/>
    <w:rsid w:val="001C4C44"/>
    <w:rsid w:val="001C568A"/>
    <w:rsid w:val="001D22AD"/>
    <w:rsid w:val="001E5C57"/>
    <w:rsid w:val="001E5D05"/>
    <w:rsid w:val="001E79A9"/>
    <w:rsid w:val="001F145F"/>
    <w:rsid w:val="001F7684"/>
    <w:rsid w:val="00202A64"/>
    <w:rsid w:val="00213B8A"/>
    <w:rsid w:val="002207E6"/>
    <w:rsid w:val="00220956"/>
    <w:rsid w:val="002222B9"/>
    <w:rsid w:val="00224140"/>
    <w:rsid w:val="00232A5A"/>
    <w:rsid w:val="00234DA5"/>
    <w:rsid w:val="002351CB"/>
    <w:rsid w:val="0023672C"/>
    <w:rsid w:val="00236C94"/>
    <w:rsid w:val="002428EC"/>
    <w:rsid w:val="00243640"/>
    <w:rsid w:val="00244659"/>
    <w:rsid w:val="002605AC"/>
    <w:rsid w:val="0026219A"/>
    <w:rsid w:val="002640FA"/>
    <w:rsid w:val="0026734E"/>
    <w:rsid w:val="00272C7B"/>
    <w:rsid w:val="00281BFD"/>
    <w:rsid w:val="002824C2"/>
    <w:rsid w:val="00283F53"/>
    <w:rsid w:val="00292025"/>
    <w:rsid w:val="002A00E2"/>
    <w:rsid w:val="002A3B70"/>
    <w:rsid w:val="002A491E"/>
    <w:rsid w:val="002A5226"/>
    <w:rsid w:val="002B1272"/>
    <w:rsid w:val="002B6F54"/>
    <w:rsid w:val="002B787A"/>
    <w:rsid w:val="002C4A9A"/>
    <w:rsid w:val="002D5002"/>
    <w:rsid w:val="002E0428"/>
    <w:rsid w:val="002E382D"/>
    <w:rsid w:val="002E691B"/>
    <w:rsid w:val="002F0EB4"/>
    <w:rsid w:val="002F48AE"/>
    <w:rsid w:val="002F5D30"/>
    <w:rsid w:val="002F77D3"/>
    <w:rsid w:val="00306317"/>
    <w:rsid w:val="00311233"/>
    <w:rsid w:val="00331C61"/>
    <w:rsid w:val="00341BFE"/>
    <w:rsid w:val="00346736"/>
    <w:rsid w:val="0035142B"/>
    <w:rsid w:val="00356F3E"/>
    <w:rsid w:val="0035737B"/>
    <w:rsid w:val="00367CCA"/>
    <w:rsid w:val="003822A4"/>
    <w:rsid w:val="00393E4E"/>
    <w:rsid w:val="003A3866"/>
    <w:rsid w:val="003A5FFB"/>
    <w:rsid w:val="003A6493"/>
    <w:rsid w:val="003B0D4D"/>
    <w:rsid w:val="003B118A"/>
    <w:rsid w:val="003B5E19"/>
    <w:rsid w:val="003B7D0E"/>
    <w:rsid w:val="003D09D2"/>
    <w:rsid w:val="003D57A2"/>
    <w:rsid w:val="003E1BA2"/>
    <w:rsid w:val="003E3C67"/>
    <w:rsid w:val="003F16C8"/>
    <w:rsid w:val="003F6139"/>
    <w:rsid w:val="003F7911"/>
    <w:rsid w:val="00403E43"/>
    <w:rsid w:val="00403F8E"/>
    <w:rsid w:val="004231DD"/>
    <w:rsid w:val="00426007"/>
    <w:rsid w:val="004262FF"/>
    <w:rsid w:val="004270F2"/>
    <w:rsid w:val="004277A9"/>
    <w:rsid w:val="004335B9"/>
    <w:rsid w:val="00444DC8"/>
    <w:rsid w:val="00446916"/>
    <w:rsid w:val="00463D6B"/>
    <w:rsid w:val="00466A2E"/>
    <w:rsid w:val="004672AC"/>
    <w:rsid w:val="00472FE1"/>
    <w:rsid w:val="00477349"/>
    <w:rsid w:val="00485DAA"/>
    <w:rsid w:val="0048743C"/>
    <w:rsid w:val="00494D43"/>
    <w:rsid w:val="004A7B91"/>
    <w:rsid w:val="004B22BE"/>
    <w:rsid w:val="004C1675"/>
    <w:rsid w:val="004C7389"/>
    <w:rsid w:val="004C794E"/>
    <w:rsid w:val="004D1AE6"/>
    <w:rsid w:val="004E3B5D"/>
    <w:rsid w:val="004F7119"/>
    <w:rsid w:val="00513BDF"/>
    <w:rsid w:val="00514E52"/>
    <w:rsid w:val="0052588D"/>
    <w:rsid w:val="0054010A"/>
    <w:rsid w:val="00540A17"/>
    <w:rsid w:val="00552293"/>
    <w:rsid w:val="005549EA"/>
    <w:rsid w:val="005616A4"/>
    <w:rsid w:val="005631B9"/>
    <w:rsid w:val="0056361D"/>
    <w:rsid w:val="005651FC"/>
    <w:rsid w:val="00565A0D"/>
    <w:rsid w:val="00566574"/>
    <w:rsid w:val="005670E0"/>
    <w:rsid w:val="0057351F"/>
    <w:rsid w:val="00573FF5"/>
    <w:rsid w:val="00577111"/>
    <w:rsid w:val="0058439E"/>
    <w:rsid w:val="005A1173"/>
    <w:rsid w:val="005A14A7"/>
    <w:rsid w:val="005A1551"/>
    <w:rsid w:val="005A19A1"/>
    <w:rsid w:val="005A35AC"/>
    <w:rsid w:val="005B723E"/>
    <w:rsid w:val="005C1B2A"/>
    <w:rsid w:val="005C7E78"/>
    <w:rsid w:val="005E2506"/>
    <w:rsid w:val="00604F57"/>
    <w:rsid w:val="00607EFC"/>
    <w:rsid w:val="00607FE6"/>
    <w:rsid w:val="0061335F"/>
    <w:rsid w:val="00626F48"/>
    <w:rsid w:val="00627485"/>
    <w:rsid w:val="006417C3"/>
    <w:rsid w:val="00653622"/>
    <w:rsid w:val="006538B2"/>
    <w:rsid w:val="00656ECD"/>
    <w:rsid w:val="00672897"/>
    <w:rsid w:val="006823A7"/>
    <w:rsid w:val="00692A45"/>
    <w:rsid w:val="006A1D34"/>
    <w:rsid w:val="006A616E"/>
    <w:rsid w:val="006B0354"/>
    <w:rsid w:val="006B299F"/>
    <w:rsid w:val="006B43A0"/>
    <w:rsid w:val="006C75F1"/>
    <w:rsid w:val="006D701A"/>
    <w:rsid w:val="006F7C21"/>
    <w:rsid w:val="00702F25"/>
    <w:rsid w:val="00705833"/>
    <w:rsid w:val="00711499"/>
    <w:rsid w:val="007235EB"/>
    <w:rsid w:val="007249A5"/>
    <w:rsid w:val="00726047"/>
    <w:rsid w:val="007439B9"/>
    <w:rsid w:val="00744159"/>
    <w:rsid w:val="007569C1"/>
    <w:rsid w:val="00770959"/>
    <w:rsid w:val="00775D94"/>
    <w:rsid w:val="007766A5"/>
    <w:rsid w:val="00780F29"/>
    <w:rsid w:val="00792811"/>
    <w:rsid w:val="0079404A"/>
    <w:rsid w:val="007A0158"/>
    <w:rsid w:val="007B08ED"/>
    <w:rsid w:val="007C4ACA"/>
    <w:rsid w:val="007D47FF"/>
    <w:rsid w:val="007F266D"/>
    <w:rsid w:val="007F4604"/>
    <w:rsid w:val="008035DD"/>
    <w:rsid w:val="00812D47"/>
    <w:rsid w:val="008159E8"/>
    <w:rsid w:val="00825315"/>
    <w:rsid w:val="00830DD3"/>
    <w:rsid w:val="00841C8D"/>
    <w:rsid w:val="00844327"/>
    <w:rsid w:val="00861570"/>
    <w:rsid w:val="00862CDD"/>
    <w:rsid w:val="008641EF"/>
    <w:rsid w:val="00864384"/>
    <w:rsid w:val="0087161B"/>
    <w:rsid w:val="00872187"/>
    <w:rsid w:val="00875E68"/>
    <w:rsid w:val="008B26FB"/>
    <w:rsid w:val="008B37E0"/>
    <w:rsid w:val="008C2776"/>
    <w:rsid w:val="008D62B9"/>
    <w:rsid w:val="008D6A56"/>
    <w:rsid w:val="008D79FB"/>
    <w:rsid w:val="008D7C32"/>
    <w:rsid w:val="008E5081"/>
    <w:rsid w:val="008E6D23"/>
    <w:rsid w:val="008F2FA5"/>
    <w:rsid w:val="0091668C"/>
    <w:rsid w:val="0092170F"/>
    <w:rsid w:val="00923765"/>
    <w:rsid w:val="00923CD4"/>
    <w:rsid w:val="00934E23"/>
    <w:rsid w:val="00934F77"/>
    <w:rsid w:val="00936987"/>
    <w:rsid w:val="0094209A"/>
    <w:rsid w:val="00942548"/>
    <w:rsid w:val="009554ED"/>
    <w:rsid w:val="009564E9"/>
    <w:rsid w:val="00961AD6"/>
    <w:rsid w:val="00962B2B"/>
    <w:rsid w:val="0096459E"/>
    <w:rsid w:val="00980297"/>
    <w:rsid w:val="00990CD4"/>
    <w:rsid w:val="00991F97"/>
    <w:rsid w:val="0099420A"/>
    <w:rsid w:val="00995408"/>
    <w:rsid w:val="009A0223"/>
    <w:rsid w:val="009C518F"/>
    <w:rsid w:val="009C7484"/>
    <w:rsid w:val="009C7D08"/>
    <w:rsid w:val="009E39D9"/>
    <w:rsid w:val="009E407A"/>
    <w:rsid w:val="009E6C07"/>
    <w:rsid w:val="009F2A1B"/>
    <w:rsid w:val="009F7668"/>
    <w:rsid w:val="009F7847"/>
    <w:rsid w:val="00A15DDC"/>
    <w:rsid w:val="00A23775"/>
    <w:rsid w:val="00A33337"/>
    <w:rsid w:val="00A349F7"/>
    <w:rsid w:val="00A5102A"/>
    <w:rsid w:val="00A5152E"/>
    <w:rsid w:val="00A54603"/>
    <w:rsid w:val="00A55E63"/>
    <w:rsid w:val="00A63D5F"/>
    <w:rsid w:val="00A65DA6"/>
    <w:rsid w:val="00A75A3D"/>
    <w:rsid w:val="00A81C4A"/>
    <w:rsid w:val="00A82F37"/>
    <w:rsid w:val="00A869B2"/>
    <w:rsid w:val="00AA36F4"/>
    <w:rsid w:val="00AA51A3"/>
    <w:rsid w:val="00AB33A8"/>
    <w:rsid w:val="00AB41EC"/>
    <w:rsid w:val="00AB63E3"/>
    <w:rsid w:val="00AC0CFC"/>
    <w:rsid w:val="00AC1D3D"/>
    <w:rsid w:val="00AC5A92"/>
    <w:rsid w:val="00AC710C"/>
    <w:rsid w:val="00AD4B1E"/>
    <w:rsid w:val="00AE07B0"/>
    <w:rsid w:val="00AE228A"/>
    <w:rsid w:val="00AE47F9"/>
    <w:rsid w:val="00AE5DB2"/>
    <w:rsid w:val="00AF01A8"/>
    <w:rsid w:val="00AF1432"/>
    <w:rsid w:val="00AF1525"/>
    <w:rsid w:val="00AF17B1"/>
    <w:rsid w:val="00B0252F"/>
    <w:rsid w:val="00B02E29"/>
    <w:rsid w:val="00B06012"/>
    <w:rsid w:val="00B11BFE"/>
    <w:rsid w:val="00B1353D"/>
    <w:rsid w:val="00B13D0E"/>
    <w:rsid w:val="00B20DFF"/>
    <w:rsid w:val="00B27620"/>
    <w:rsid w:val="00B719A8"/>
    <w:rsid w:val="00B72A45"/>
    <w:rsid w:val="00B73AD5"/>
    <w:rsid w:val="00B73CD6"/>
    <w:rsid w:val="00B82BC7"/>
    <w:rsid w:val="00B86F97"/>
    <w:rsid w:val="00B9296C"/>
    <w:rsid w:val="00B92EA6"/>
    <w:rsid w:val="00B941DF"/>
    <w:rsid w:val="00B96D34"/>
    <w:rsid w:val="00B97AA7"/>
    <w:rsid w:val="00BA16EA"/>
    <w:rsid w:val="00BA338F"/>
    <w:rsid w:val="00BA7370"/>
    <w:rsid w:val="00BA77A9"/>
    <w:rsid w:val="00BB086C"/>
    <w:rsid w:val="00BB4792"/>
    <w:rsid w:val="00BB628F"/>
    <w:rsid w:val="00BB6C60"/>
    <w:rsid w:val="00BC1B2A"/>
    <w:rsid w:val="00BC4F4D"/>
    <w:rsid w:val="00BC5856"/>
    <w:rsid w:val="00BC654E"/>
    <w:rsid w:val="00BD3D98"/>
    <w:rsid w:val="00BE2CB5"/>
    <w:rsid w:val="00BE5849"/>
    <w:rsid w:val="00BF03D5"/>
    <w:rsid w:val="00BF354B"/>
    <w:rsid w:val="00C200B5"/>
    <w:rsid w:val="00C239E2"/>
    <w:rsid w:val="00C23A2E"/>
    <w:rsid w:val="00C2520D"/>
    <w:rsid w:val="00C2725D"/>
    <w:rsid w:val="00C30FE9"/>
    <w:rsid w:val="00C33B85"/>
    <w:rsid w:val="00C3612C"/>
    <w:rsid w:val="00C4144C"/>
    <w:rsid w:val="00C42FB9"/>
    <w:rsid w:val="00C46ABD"/>
    <w:rsid w:val="00C50A13"/>
    <w:rsid w:val="00C53113"/>
    <w:rsid w:val="00C6688A"/>
    <w:rsid w:val="00C74067"/>
    <w:rsid w:val="00C76E49"/>
    <w:rsid w:val="00C77448"/>
    <w:rsid w:val="00C86A33"/>
    <w:rsid w:val="00C87C2D"/>
    <w:rsid w:val="00C92497"/>
    <w:rsid w:val="00C949B0"/>
    <w:rsid w:val="00C97BDA"/>
    <w:rsid w:val="00CA11D1"/>
    <w:rsid w:val="00CB4037"/>
    <w:rsid w:val="00CC3D9D"/>
    <w:rsid w:val="00CC7148"/>
    <w:rsid w:val="00CC7AD3"/>
    <w:rsid w:val="00CE02FE"/>
    <w:rsid w:val="00CE22DD"/>
    <w:rsid w:val="00CE3039"/>
    <w:rsid w:val="00CE7524"/>
    <w:rsid w:val="00CF0261"/>
    <w:rsid w:val="00CF2299"/>
    <w:rsid w:val="00CF2F79"/>
    <w:rsid w:val="00CF4715"/>
    <w:rsid w:val="00D04AD6"/>
    <w:rsid w:val="00D07F25"/>
    <w:rsid w:val="00D12EF8"/>
    <w:rsid w:val="00D16532"/>
    <w:rsid w:val="00D2770F"/>
    <w:rsid w:val="00D316E6"/>
    <w:rsid w:val="00D32BD1"/>
    <w:rsid w:val="00D32D69"/>
    <w:rsid w:val="00D3580A"/>
    <w:rsid w:val="00D4070C"/>
    <w:rsid w:val="00D41DBC"/>
    <w:rsid w:val="00D43483"/>
    <w:rsid w:val="00D457AE"/>
    <w:rsid w:val="00D459DE"/>
    <w:rsid w:val="00D46A13"/>
    <w:rsid w:val="00D50194"/>
    <w:rsid w:val="00D56FFD"/>
    <w:rsid w:val="00D675E6"/>
    <w:rsid w:val="00D71714"/>
    <w:rsid w:val="00D74E6F"/>
    <w:rsid w:val="00D767FA"/>
    <w:rsid w:val="00D80DBD"/>
    <w:rsid w:val="00D961A1"/>
    <w:rsid w:val="00DA273E"/>
    <w:rsid w:val="00DA4B9A"/>
    <w:rsid w:val="00DB655C"/>
    <w:rsid w:val="00DB7954"/>
    <w:rsid w:val="00DD36FA"/>
    <w:rsid w:val="00DE583C"/>
    <w:rsid w:val="00E01978"/>
    <w:rsid w:val="00E046CF"/>
    <w:rsid w:val="00E11E3B"/>
    <w:rsid w:val="00E25089"/>
    <w:rsid w:val="00E26BCF"/>
    <w:rsid w:val="00E36862"/>
    <w:rsid w:val="00E45CFD"/>
    <w:rsid w:val="00E54A7F"/>
    <w:rsid w:val="00E66913"/>
    <w:rsid w:val="00E80861"/>
    <w:rsid w:val="00E834B0"/>
    <w:rsid w:val="00E83EA4"/>
    <w:rsid w:val="00E90716"/>
    <w:rsid w:val="00E924DE"/>
    <w:rsid w:val="00E966F5"/>
    <w:rsid w:val="00EA12CE"/>
    <w:rsid w:val="00EA2EB7"/>
    <w:rsid w:val="00EA3D32"/>
    <w:rsid w:val="00EC545E"/>
    <w:rsid w:val="00EC68C1"/>
    <w:rsid w:val="00ED08BB"/>
    <w:rsid w:val="00EF0EAF"/>
    <w:rsid w:val="00EF7128"/>
    <w:rsid w:val="00F03875"/>
    <w:rsid w:val="00F05176"/>
    <w:rsid w:val="00F051F1"/>
    <w:rsid w:val="00F11118"/>
    <w:rsid w:val="00F27EB0"/>
    <w:rsid w:val="00F31387"/>
    <w:rsid w:val="00F43CE4"/>
    <w:rsid w:val="00F4707B"/>
    <w:rsid w:val="00F56C78"/>
    <w:rsid w:val="00F575EF"/>
    <w:rsid w:val="00F60567"/>
    <w:rsid w:val="00F62806"/>
    <w:rsid w:val="00F6297B"/>
    <w:rsid w:val="00F710ED"/>
    <w:rsid w:val="00F7244D"/>
    <w:rsid w:val="00F72FC4"/>
    <w:rsid w:val="00F83F8E"/>
    <w:rsid w:val="00F85E12"/>
    <w:rsid w:val="00F90E41"/>
    <w:rsid w:val="00F92784"/>
    <w:rsid w:val="00F94776"/>
    <w:rsid w:val="00FA2530"/>
    <w:rsid w:val="00FA3C73"/>
    <w:rsid w:val="00FA6730"/>
    <w:rsid w:val="00FB5AB4"/>
    <w:rsid w:val="00FC1C21"/>
    <w:rsid w:val="00FD2B4D"/>
    <w:rsid w:val="00FE4D30"/>
    <w:rsid w:val="00FF04D8"/>
    <w:rsid w:val="00FF1423"/>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37F98"/>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50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 Char1 Char Char,Footnote Text Char Char Char Char,Footnote Text Char1 Char Char1 Char Char,Footnote Text Char Char Char Char1 Char Char"/>
    <w:basedOn w:val="Normal"/>
    <w:link w:val="FootnoteTextChar"/>
    <w:uiPriority w:val="99"/>
    <w:unhideWhenUsed/>
    <w:rsid w:val="00224140"/>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B92EA6"/>
    <w:pPr>
      <w:spacing w:after="160" w:line="240" w:lineRule="exact"/>
      <w:jc w:val="both"/>
    </w:pPr>
    <w:rPr>
      <w:vertAlign w:val="superscript"/>
    </w:rPr>
  </w:style>
  <w:style w:type="character" w:styleId="CommentReference">
    <w:name w:val="annotation reference"/>
    <w:basedOn w:val="DefaultParagraphFont"/>
    <w:uiPriority w:val="99"/>
    <w:semiHidden/>
    <w:unhideWhenUsed/>
    <w:rsid w:val="00B92EA6"/>
    <w:rPr>
      <w:sz w:val="16"/>
      <w:szCs w:val="16"/>
    </w:rPr>
  </w:style>
  <w:style w:type="paragraph" w:styleId="CommentText">
    <w:name w:val="annotation text"/>
    <w:basedOn w:val="Normal"/>
    <w:link w:val="CommentTextChar"/>
    <w:uiPriority w:val="99"/>
    <w:semiHidden/>
    <w:unhideWhenUsed/>
    <w:rsid w:val="00B92EA6"/>
    <w:rPr>
      <w:sz w:val="20"/>
      <w:szCs w:val="20"/>
    </w:rPr>
  </w:style>
  <w:style w:type="character" w:customStyle="1" w:styleId="CommentTextChar">
    <w:name w:val="Comment Text Char"/>
    <w:basedOn w:val="DefaultParagraphFont"/>
    <w:link w:val="CommentText"/>
    <w:uiPriority w:val="99"/>
    <w:semiHidden/>
    <w:rsid w:val="00B92EA6"/>
    <w:rPr>
      <w:sz w:val="20"/>
      <w:szCs w:val="20"/>
    </w:rPr>
  </w:style>
  <w:style w:type="character" w:customStyle="1" w:styleId="apple-converted-space">
    <w:name w:val="apple-converted-space"/>
    <w:basedOn w:val="DefaultParagraphFont"/>
    <w:rsid w:val="00B92EA6"/>
  </w:style>
  <w:style w:type="paragraph" w:styleId="Date">
    <w:name w:val="Date"/>
    <w:basedOn w:val="Normal"/>
    <w:next w:val="Normal"/>
    <w:link w:val="DateChar"/>
    <w:uiPriority w:val="99"/>
    <w:semiHidden/>
    <w:unhideWhenUsed/>
    <w:rsid w:val="00B92EA6"/>
  </w:style>
  <w:style w:type="character" w:customStyle="1" w:styleId="DateChar">
    <w:name w:val="Date Char"/>
    <w:basedOn w:val="DefaultParagraphFont"/>
    <w:link w:val="Date"/>
    <w:uiPriority w:val="99"/>
    <w:semiHidden/>
    <w:rsid w:val="00B92EA6"/>
  </w:style>
  <w:style w:type="paragraph" w:styleId="ListParagraph">
    <w:name w:val="List Paragraph"/>
    <w:basedOn w:val="Normal"/>
    <w:uiPriority w:val="34"/>
    <w:qFormat/>
    <w:rsid w:val="000B2433"/>
    <w:pPr>
      <w:ind w:left="720"/>
      <w:contextualSpacing/>
    </w:pPr>
  </w:style>
  <w:style w:type="paragraph" w:styleId="CommentSubject">
    <w:name w:val="annotation subject"/>
    <w:basedOn w:val="CommentText"/>
    <w:next w:val="CommentText"/>
    <w:link w:val="CommentSubjectChar"/>
    <w:uiPriority w:val="99"/>
    <w:semiHidden/>
    <w:unhideWhenUsed/>
    <w:rsid w:val="00CC7148"/>
    <w:rPr>
      <w:b/>
      <w:bCs/>
    </w:rPr>
  </w:style>
  <w:style w:type="character" w:customStyle="1" w:styleId="CommentSubjectChar">
    <w:name w:val="Comment Subject Char"/>
    <w:basedOn w:val="CommentTextChar"/>
    <w:link w:val="CommentSubject"/>
    <w:uiPriority w:val="99"/>
    <w:semiHidden/>
    <w:rsid w:val="00CC7148"/>
    <w:rPr>
      <w:b/>
      <w:bCs/>
      <w:sz w:val="20"/>
      <w:szCs w:val="20"/>
    </w:rPr>
  </w:style>
  <w:style w:type="character" w:styleId="Emphasis">
    <w:name w:val="Emphasis"/>
    <w:basedOn w:val="DefaultParagraphFont"/>
    <w:uiPriority w:val="20"/>
    <w:qFormat/>
    <w:rsid w:val="005631B9"/>
    <w:rPr>
      <w:i/>
      <w:iCs/>
    </w:rPr>
  </w:style>
  <w:style w:type="character" w:customStyle="1" w:styleId="Heading1Char">
    <w:name w:val="Heading 1 Char"/>
    <w:basedOn w:val="DefaultParagraphFont"/>
    <w:link w:val="Heading1"/>
    <w:uiPriority w:val="9"/>
    <w:rsid w:val="002D50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1350">
      <w:bodyDiv w:val="1"/>
      <w:marLeft w:val="0"/>
      <w:marRight w:val="0"/>
      <w:marTop w:val="0"/>
      <w:marBottom w:val="0"/>
      <w:divBdr>
        <w:top w:val="none" w:sz="0" w:space="0" w:color="auto"/>
        <w:left w:val="none" w:sz="0" w:space="0" w:color="auto"/>
        <w:bottom w:val="none" w:sz="0" w:space="0" w:color="auto"/>
        <w:right w:val="none" w:sz="0" w:space="0" w:color="auto"/>
      </w:divBdr>
      <w:divsChild>
        <w:div w:id="350111852">
          <w:marLeft w:val="0"/>
          <w:marRight w:val="0"/>
          <w:marTop w:val="0"/>
          <w:marBottom w:val="0"/>
          <w:divBdr>
            <w:top w:val="none" w:sz="0" w:space="0" w:color="auto"/>
            <w:left w:val="none" w:sz="0" w:space="0" w:color="auto"/>
            <w:bottom w:val="none" w:sz="0" w:space="0" w:color="auto"/>
            <w:right w:val="none" w:sz="0" w:space="0" w:color="auto"/>
          </w:divBdr>
          <w:divsChild>
            <w:div w:id="1951737899">
              <w:marLeft w:val="0"/>
              <w:marRight w:val="0"/>
              <w:marTop w:val="0"/>
              <w:marBottom w:val="0"/>
              <w:divBdr>
                <w:top w:val="none" w:sz="0" w:space="0" w:color="auto"/>
                <w:left w:val="none" w:sz="0" w:space="0" w:color="auto"/>
                <w:bottom w:val="none" w:sz="0" w:space="0" w:color="auto"/>
                <w:right w:val="none" w:sz="0" w:space="0" w:color="auto"/>
              </w:divBdr>
              <w:divsChild>
                <w:div w:id="8685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074">
      <w:bodyDiv w:val="1"/>
      <w:marLeft w:val="0"/>
      <w:marRight w:val="0"/>
      <w:marTop w:val="0"/>
      <w:marBottom w:val="0"/>
      <w:divBdr>
        <w:top w:val="none" w:sz="0" w:space="0" w:color="auto"/>
        <w:left w:val="none" w:sz="0" w:space="0" w:color="auto"/>
        <w:bottom w:val="none" w:sz="0" w:space="0" w:color="auto"/>
        <w:right w:val="none" w:sz="0" w:space="0" w:color="auto"/>
      </w:divBdr>
      <w:divsChild>
        <w:div w:id="163205883">
          <w:marLeft w:val="0"/>
          <w:marRight w:val="0"/>
          <w:marTop w:val="0"/>
          <w:marBottom w:val="0"/>
          <w:divBdr>
            <w:top w:val="none" w:sz="0" w:space="0" w:color="auto"/>
            <w:left w:val="none" w:sz="0" w:space="0" w:color="auto"/>
            <w:bottom w:val="none" w:sz="0" w:space="0" w:color="auto"/>
            <w:right w:val="none" w:sz="0" w:space="0" w:color="auto"/>
          </w:divBdr>
          <w:divsChild>
            <w:div w:id="283851250">
              <w:marLeft w:val="0"/>
              <w:marRight w:val="0"/>
              <w:marTop w:val="0"/>
              <w:marBottom w:val="0"/>
              <w:divBdr>
                <w:top w:val="none" w:sz="0" w:space="0" w:color="auto"/>
                <w:left w:val="none" w:sz="0" w:space="0" w:color="auto"/>
                <w:bottom w:val="none" w:sz="0" w:space="0" w:color="auto"/>
                <w:right w:val="none" w:sz="0" w:space="0" w:color="auto"/>
              </w:divBdr>
              <w:divsChild>
                <w:div w:id="8808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9902">
      <w:bodyDiv w:val="1"/>
      <w:marLeft w:val="0"/>
      <w:marRight w:val="0"/>
      <w:marTop w:val="0"/>
      <w:marBottom w:val="0"/>
      <w:divBdr>
        <w:top w:val="none" w:sz="0" w:space="0" w:color="auto"/>
        <w:left w:val="none" w:sz="0" w:space="0" w:color="auto"/>
        <w:bottom w:val="none" w:sz="0" w:space="0" w:color="auto"/>
        <w:right w:val="none" w:sz="0" w:space="0" w:color="auto"/>
      </w:divBdr>
    </w:div>
    <w:div w:id="146409963">
      <w:bodyDiv w:val="1"/>
      <w:marLeft w:val="0"/>
      <w:marRight w:val="0"/>
      <w:marTop w:val="0"/>
      <w:marBottom w:val="0"/>
      <w:divBdr>
        <w:top w:val="none" w:sz="0" w:space="0" w:color="auto"/>
        <w:left w:val="none" w:sz="0" w:space="0" w:color="auto"/>
        <w:bottom w:val="none" w:sz="0" w:space="0" w:color="auto"/>
        <w:right w:val="none" w:sz="0" w:space="0" w:color="auto"/>
      </w:divBdr>
      <w:divsChild>
        <w:div w:id="1994941651">
          <w:marLeft w:val="0"/>
          <w:marRight w:val="0"/>
          <w:marTop w:val="0"/>
          <w:marBottom w:val="0"/>
          <w:divBdr>
            <w:top w:val="none" w:sz="0" w:space="0" w:color="auto"/>
            <w:left w:val="none" w:sz="0" w:space="0" w:color="auto"/>
            <w:bottom w:val="none" w:sz="0" w:space="0" w:color="auto"/>
            <w:right w:val="none" w:sz="0" w:space="0" w:color="auto"/>
          </w:divBdr>
          <w:divsChild>
            <w:div w:id="2084596777">
              <w:marLeft w:val="0"/>
              <w:marRight w:val="0"/>
              <w:marTop w:val="0"/>
              <w:marBottom w:val="0"/>
              <w:divBdr>
                <w:top w:val="none" w:sz="0" w:space="0" w:color="auto"/>
                <w:left w:val="none" w:sz="0" w:space="0" w:color="auto"/>
                <w:bottom w:val="none" w:sz="0" w:space="0" w:color="auto"/>
                <w:right w:val="none" w:sz="0" w:space="0" w:color="auto"/>
              </w:divBdr>
              <w:divsChild>
                <w:div w:id="5612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059">
      <w:bodyDiv w:val="1"/>
      <w:marLeft w:val="0"/>
      <w:marRight w:val="0"/>
      <w:marTop w:val="0"/>
      <w:marBottom w:val="0"/>
      <w:divBdr>
        <w:top w:val="none" w:sz="0" w:space="0" w:color="auto"/>
        <w:left w:val="none" w:sz="0" w:space="0" w:color="auto"/>
        <w:bottom w:val="none" w:sz="0" w:space="0" w:color="auto"/>
        <w:right w:val="none" w:sz="0" w:space="0" w:color="auto"/>
      </w:divBdr>
    </w:div>
    <w:div w:id="246304456">
      <w:bodyDiv w:val="1"/>
      <w:marLeft w:val="0"/>
      <w:marRight w:val="0"/>
      <w:marTop w:val="0"/>
      <w:marBottom w:val="0"/>
      <w:divBdr>
        <w:top w:val="none" w:sz="0" w:space="0" w:color="auto"/>
        <w:left w:val="none" w:sz="0" w:space="0" w:color="auto"/>
        <w:bottom w:val="none" w:sz="0" w:space="0" w:color="auto"/>
        <w:right w:val="none" w:sz="0" w:space="0" w:color="auto"/>
      </w:divBdr>
    </w:div>
    <w:div w:id="255329612">
      <w:bodyDiv w:val="1"/>
      <w:marLeft w:val="0"/>
      <w:marRight w:val="0"/>
      <w:marTop w:val="0"/>
      <w:marBottom w:val="0"/>
      <w:divBdr>
        <w:top w:val="none" w:sz="0" w:space="0" w:color="auto"/>
        <w:left w:val="none" w:sz="0" w:space="0" w:color="auto"/>
        <w:bottom w:val="none" w:sz="0" w:space="0" w:color="auto"/>
        <w:right w:val="none" w:sz="0" w:space="0" w:color="auto"/>
      </w:divBdr>
    </w:div>
    <w:div w:id="287205343">
      <w:bodyDiv w:val="1"/>
      <w:marLeft w:val="0"/>
      <w:marRight w:val="0"/>
      <w:marTop w:val="0"/>
      <w:marBottom w:val="0"/>
      <w:divBdr>
        <w:top w:val="none" w:sz="0" w:space="0" w:color="auto"/>
        <w:left w:val="none" w:sz="0" w:space="0" w:color="auto"/>
        <w:bottom w:val="none" w:sz="0" w:space="0" w:color="auto"/>
        <w:right w:val="none" w:sz="0" w:space="0" w:color="auto"/>
      </w:divBdr>
    </w:div>
    <w:div w:id="314451665">
      <w:bodyDiv w:val="1"/>
      <w:marLeft w:val="0"/>
      <w:marRight w:val="0"/>
      <w:marTop w:val="0"/>
      <w:marBottom w:val="0"/>
      <w:divBdr>
        <w:top w:val="none" w:sz="0" w:space="0" w:color="auto"/>
        <w:left w:val="none" w:sz="0" w:space="0" w:color="auto"/>
        <w:bottom w:val="none" w:sz="0" w:space="0" w:color="auto"/>
        <w:right w:val="none" w:sz="0" w:space="0" w:color="auto"/>
      </w:divBdr>
    </w:div>
    <w:div w:id="323902973">
      <w:bodyDiv w:val="1"/>
      <w:marLeft w:val="0"/>
      <w:marRight w:val="0"/>
      <w:marTop w:val="0"/>
      <w:marBottom w:val="0"/>
      <w:divBdr>
        <w:top w:val="none" w:sz="0" w:space="0" w:color="auto"/>
        <w:left w:val="none" w:sz="0" w:space="0" w:color="auto"/>
        <w:bottom w:val="none" w:sz="0" w:space="0" w:color="auto"/>
        <w:right w:val="none" w:sz="0" w:space="0" w:color="auto"/>
      </w:divBdr>
      <w:divsChild>
        <w:div w:id="149559792">
          <w:marLeft w:val="0"/>
          <w:marRight w:val="0"/>
          <w:marTop w:val="0"/>
          <w:marBottom w:val="0"/>
          <w:divBdr>
            <w:top w:val="none" w:sz="0" w:space="0" w:color="auto"/>
            <w:left w:val="none" w:sz="0" w:space="0" w:color="auto"/>
            <w:bottom w:val="none" w:sz="0" w:space="0" w:color="auto"/>
            <w:right w:val="none" w:sz="0" w:space="0" w:color="auto"/>
          </w:divBdr>
          <w:divsChild>
            <w:div w:id="356732850">
              <w:marLeft w:val="0"/>
              <w:marRight w:val="0"/>
              <w:marTop w:val="0"/>
              <w:marBottom w:val="0"/>
              <w:divBdr>
                <w:top w:val="none" w:sz="0" w:space="0" w:color="auto"/>
                <w:left w:val="none" w:sz="0" w:space="0" w:color="auto"/>
                <w:bottom w:val="none" w:sz="0" w:space="0" w:color="auto"/>
                <w:right w:val="none" w:sz="0" w:space="0" w:color="auto"/>
              </w:divBdr>
              <w:divsChild>
                <w:div w:id="11590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2671">
      <w:bodyDiv w:val="1"/>
      <w:marLeft w:val="0"/>
      <w:marRight w:val="0"/>
      <w:marTop w:val="0"/>
      <w:marBottom w:val="0"/>
      <w:divBdr>
        <w:top w:val="none" w:sz="0" w:space="0" w:color="auto"/>
        <w:left w:val="none" w:sz="0" w:space="0" w:color="auto"/>
        <w:bottom w:val="none" w:sz="0" w:space="0" w:color="auto"/>
        <w:right w:val="none" w:sz="0" w:space="0" w:color="auto"/>
      </w:divBdr>
    </w:div>
    <w:div w:id="402486542">
      <w:bodyDiv w:val="1"/>
      <w:marLeft w:val="0"/>
      <w:marRight w:val="0"/>
      <w:marTop w:val="0"/>
      <w:marBottom w:val="0"/>
      <w:divBdr>
        <w:top w:val="none" w:sz="0" w:space="0" w:color="auto"/>
        <w:left w:val="none" w:sz="0" w:space="0" w:color="auto"/>
        <w:bottom w:val="none" w:sz="0" w:space="0" w:color="auto"/>
        <w:right w:val="none" w:sz="0" w:space="0" w:color="auto"/>
      </w:divBdr>
      <w:divsChild>
        <w:div w:id="1732194641">
          <w:marLeft w:val="0"/>
          <w:marRight w:val="0"/>
          <w:marTop w:val="0"/>
          <w:marBottom w:val="0"/>
          <w:divBdr>
            <w:top w:val="none" w:sz="0" w:space="0" w:color="auto"/>
            <w:left w:val="none" w:sz="0" w:space="0" w:color="auto"/>
            <w:bottom w:val="none" w:sz="0" w:space="0" w:color="auto"/>
            <w:right w:val="none" w:sz="0" w:space="0" w:color="auto"/>
          </w:divBdr>
          <w:divsChild>
            <w:div w:id="1030447754">
              <w:marLeft w:val="0"/>
              <w:marRight w:val="0"/>
              <w:marTop w:val="0"/>
              <w:marBottom w:val="0"/>
              <w:divBdr>
                <w:top w:val="none" w:sz="0" w:space="0" w:color="auto"/>
                <w:left w:val="none" w:sz="0" w:space="0" w:color="auto"/>
                <w:bottom w:val="none" w:sz="0" w:space="0" w:color="auto"/>
                <w:right w:val="none" w:sz="0" w:space="0" w:color="auto"/>
              </w:divBdr>
              <w:divsChild>
                <w:div w:id="14185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3795">
      <w:bodyDiv w:val="1"/>
      <w:marLeft w:val="0"/>
      <w:marRight w:val="0"/>
      <w:marTop w:val="0"/>
      <w:marBottom w:val="0"/>
      <w:divBdr>
        <w:top w:val="none" w:sz="0" w:space="0" w:color="auto"/>
        <w:left w:val="none" w:sz="0" w:space="0" w:color="auto"/>
        <w:bottom w:val="none" w:sz="0" w:space="0" w:color="auto"/>
        <w:right w:val="none" w:sz="0" w:space="0" w:color="auto"/>
      </w:divBdr>
    </w:div>
    <w:div w:id="466507336">
      <w:bodyDiv w:val="1"/>
      <w:marLeft w:val="0"/>
      <w:marRight w:val="0"/>
      <w:marTop w:val="0"/>
      <w:marBottom w:val="0"/>
      <w:divBdr>
        <w:top w:val="none" w:sz="0" w:space="0" w:color="auto"/>
        <w:left w:val="none" w:sz="0" w:space="0" w:color="auto"/>
        <w:bottom w:val="none" w:sz="0" w:space="0" w:color="auto"/>
        <w:right w:val="none" w:sz="0" w:space="0" w:color="auto"/>
      </w:divBdr>
      <w:divsChild>
        <w:div w:id="266156003">
          <w:marLeft w:val="0"/>
          <w:marRight w:val="0"/>
          <w:marTop w:val="0"/>
          <w:marBottom w:val="0"/>
          <w:divBdr>
            <w:top w:val="none" w:sz="0" w:space="0" w:color="auto"/>
            <w:left w:val="none" w:sz="0" w:space="0" w:color="auto"/>
            <w:bottom w:val="none" w:sz="0" w:space="0" w:color="auto"/>
            <w:right w:val="none" w:sz="0" w:space="0" w:color="auto"/>
          </w:divBdr>
          <w:divsChild>
            <w:div w:id="774059299">
              <w:marLeft w:val="0"/>
              <w:marRight w:val="0"/>
              <w:marTop w:val="0"/>
              <w:marBottom w:val="0"/>
              <w:divBdr>
                <w:top w:val="none" w:sz="0" w:space="0" w:color="auto"/>
                <w:left w:val="none" w:sz="0" w:space="0" w:color="auto"/>
                <w:bottom w:val="none" w:sz="0" w:space="0" w:color="auto"/>
                <w:right w:val="none" w:sz="0" w:space="0" w:color="auto"/>
              </w:divBdr>
              <w:divsChild>
                <w:div w:id="12685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7915">
      <w:bodyDiv w:val="1"/>
      <w:marLeft w:val="0"/>
      <w:marRight w:val="0"/>
      <w:marTop w:val="0"/>
      <w:marBottom w:val="0"/>
      <w:divBdr>
        <w:top w:val="none" w:sz="0" w:space="0" w:color="auto"/>
        <w:left w:val="none" w:sz="0" w:space="0" w:color="auto"/>
        <w:bottom w:val="none" w:sz="0" w:space="0" w:color="auto"/>
        <w:right w:val="none" w:sz="0" w:space="0" w:color="auto"/>
      </w:divBdr>
      <w:divsChild>
        <w:div w:id="335233793">
          <w:marLeft w:val="0"/>
          <w:marRight w:val="0"/>
          <w:marTop w:val="0"/>
          <w:marBottom w:val="0"/>
          <w:divBdr>
            <w:top w:val="none" w:sz="0" w:space="0" w:color="auto"/>
            <w:left w:val="none" w:sz="0" w:space="0" w:color="auto"/>
            <w:bottom w:val="none" w:sz="0" w:space="0" w:color="auto"/>
            <w:right w:val="none" w:sz="0" w:space="0" w:color="auto"/>
          </w:divBdr>
          <w:divsChild>
            <w:div w:id="2055229639">
              <w:marLeft w:val="0"/>
              <w:marRight w:val="0"/>
              <w:marTop w:val="0"/>
              <w:marBottom w:val="0"/>
              <w:divBdr>
                <w:top w:val="none" w:sz="0" w:space="0" w:color="auto"/>
                <w:left w:val="none" w:sz="0" w:space="0" w:color="auto"/>
                <w:bottom w:val="none" w:sz="0" w:space="0" w:color="auto"/>
                <w:right w:val="none" w:sz="0" w:space="0" w:color="auto"/>
              </w:divBdr>
              <w:divsChild>
                <w:div w:id="4021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1466">
      <w:bodyDiv w:val="1"/>
      <w:marLeft w:val="0"/>
      <w:marRight w:val="0"/>
      <w:marTop w:val="0"/>
      <w:marBottom w:val="0"/>
      <w:divBdr>
        <w:top w:val="none" w:sz="0" w:space="0" w:color="auto"/>
        <w:left w:val="none" w:sz="0" w:space="0" w:color="auto"/>
        <w:bottom w:val="none" w:sz="0" w:space="0" w:color="auto"/>
        <w:right w:val="none" w:sz="0" w:space="0" w:color="auto"/>
      </w:divBdr>
      <w:divsChild>
        <w:div w:id="68583263">
          <w:marLeft w:val="0"/>
          <w:marRight w:val="0"/>
          <w:marTop w:val="0"/>
          <w:marBottom w:val="0"/>
          <w:divBdr>
            <w:top w:val="none" w:sz="0" w:space="0" w:color="auto"/>
            <w:left w:val="none" w:sz="0" w:space="0" w:color="auto"/>
            <w:bottom w:val="none" w:sz="0" w:space="0" w:color="auto"/>
            <w:right w:val="none" w:sz="0" w:space="0" w:color="auto"/>
          </w:divBdr>
          <w:divsChild>
            <w:div w:id="49571837">
              <w:marLeft w:val="0"/>
              <w:marRight w:val="0"/>
              <w:marTop w:val="0"/>
              <w:marBottom w:val="0"/>
              <w:divBdr>
                <w:top w:val="none" w:sz="0" w:space="0" w:color="auto"/>
                <w:left w:val="none" w:sz="0" w:space="0" w:color="auto"/>
                <w:bottom w:val="none" w:sz="0" w:space="0" w:color="auto"/>
                <w:right w:val="none" w:sz="0" w:space="0" w:color="auto"/>
              </w:divBdr>
              <w:divsChild>
                <w:div w:id="21422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999691">
      <w:bodyDiv w:val="1"/>
      <w:marLeft w:val="0"/>
      <w:marRight w:val="0"/>
      <w:marTop w:val="0"/>
      <w:marBottom w:val="0"/>
      <w:divBdr>
        <w:top w:val="none" w:sz="0" w:space="0" w:color="auto"/>
        <w:left w:val="none" w:sz="0" w:space="0" w:color="auto"/>
        <w:bottom w:val="none" w:sz="0" w:space="0" w:color="auto"/>
        <w:right w:val="none" w:sz="0" w:space="0" w:color="auto"/>
      </w:divBdr>
      <w:divsChild>
        <w:div w:id="1988044186">
          <w:marLeft w:val="0"/>
          <w:marRight w:val="0"/>
          <w:marTop w:val="0"/>
          <w:marBottom w:val="0"/>
          <w:divBdr>
            <w:top w:val="none" w:sz="0" w:space="0" w:color="auto"/>
            <w:left w:val="none" w:sz="0" w:space="0" w:color="auto"/>
            <w:bottom w:val="none" w:sz="0" w:space="0" w:color="auto"/>
            <w:right w:val="none" w:sz="0" w:space="0" w:color="auto"/>
          </w:divBdr>
          <w:divsChild>
            <w:div w:id="919367717">
              <w:marLeft w:val="0"/>
              <w:marRight w:val="0"/>
              <w:marTop w:val="0"/>
              <w:marBottom w:val="0"/>
              <w:divBdr>
                <w:top w:val="none" w:sz="0" w:space="0" w:color="auto"/>
                <w:left w:val="none" w:sz="0" w:space="0" w:color="auto"/>
                <w:bottom w:val="none" w:sz="0" w:space="0" w:color="auto"/>
                <w:right w:val="none" w:sz="0" w:space="0" w:color="auto"/>
              </w:divBdr>
              <w:divsChild>
                <w:div w:id="509569089">
                  <w:marLeft w:val="0"/>
                  <w:marRight w:val="0"/>
                  <w:marTop w:val="0"/>
                  <w:marBottom w:val="0"/>
                  <w:divBdr>
                    <w:top w:val="none" w:sz="0" w:space="0" w:color="auto"/>
                    <w:left w:val="none" w:sz="0" w:space="0" w:color="auto"/>
                    <w:bottom w:val="none" w:sz="0" w:space="0" w:color="auto"/>
                    <w:right w:val="none" w:sz="0" w:space="0" w:color="auto"/>
                  </w:divBdr>
                  <w:divsChild>
                    <w:div w:id="17029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08261">
      <w:bodyDiv w:val="1"/>
      <w:marLeft w:val="0"/>
      <w:marRight w:val="0"/>
      <w:marTop w:val="0"/>
      <w:marBottom w:val="0"/>
      <w:divBdr>
        <w:top w:val="none" w:sz="0" w:space="0" w:color="auto"/>
        <w:left w:val="none" w:sz="0" w:space="0" w:color="auto"/>
        <w:bottom w:val="none" w:sz="0" w:space="0" w:color="auto"/>
        <w:right w:val="none" w:sz="0" w:space="0" w:color="auto"/>
      </w:divBdr>
    </w:div>
    <w:div w:id="588002809">
      <w:bodyDiv w:val="1"/>
      <w:marLeft w:val="0"/>
      <w:marRight w:val="0"/>
      <w:marTop w:val="0"/>
      <w:marBottom w:val="0"/>
      <w:divBdr>
        <w:top w:val="none" w:sz="0" w:space="0" w:color="auto"/>
        <w:left w:val="none" w:sz="0" w:space="0" w:color="auto"/>
        <w:bottom w:val="none" w:sz="0" w:space="0" w:color="auto"/>
        <w:right w:val="none" w:sz="0" w:space="0" w:color="auto"/>
      </w:divBdr>
    </w:div>
    <w:div w:id="628511933">
      <w:bodyDiv w:val="1"/>
      <w:marLeft w:val="0"/>
      <w:marRight w:val="0"/>
      <w:marTop w:val="0"/>
      <w:marBottom w:val="0"/>
      <w:divBdr>
        <w:top w:val="none" w:sz="0" w:space="0" w:color="auto"/>
        <w:left w:val="none" w:sz="0" w:space="0" w:color="auto"/>
        <w:bottom w:val="none" w:sz="0" w:space="0" w:color="auto"/>
        <w:right w:val="none" w:sz="0" w:space="0" w:color="auto"/>
      </w:divBdr>
    </w:div>
    <w:div w:id="676536825">
      <w:bodyDiv w:val="1"/>
      <w:marLeft w:val="0"/>
      <w:marRight w:val="0"/>
      <w:marTop w:val="0"/>
      <w:marBottom w:val="0"/>
      <w:divBdr>
        <w:top w:val="none" w:sz="0" w:space="0" w:color="auto"/>
        <w:left w:val="none" w:sz="0" w:space="0" w:color="auto"/>
        <w:bottom w:val="none" w:sz="0" w:space="0" w:color="auto"/>
        <w:right w:val="none" w:sz="0" w:space="0" w:color="auto"/>
      </w:divBdr>
    </w:div>
    <w:div w:id="742407372">
      <w:bodyDiv w:val="1"/>
      <w:marLeft w:val="0"/>
      <w:marRight w:val="0"/>
      <w:marTop w:val="0"/>
      <w:marBottom w:val="0"/>
      <w:divBdr>
        <w:top w:val="none" w:sz="0" w:space="0" w:color="auto"/>
        <w:left w:val="none" w:sz="0" w:space="0" w:color="auto"/>
        <w:bottom w:val="none" w:sz="0" w:space="0" w:color="auto"/>
        <w:right w:val="none" w:sz="0" w:space="0" w:color="auto"/>
      </w:divBdr>
    </w:div>
    <w:div w:id="767434876">
      <w:bodyDiv w:val="1"/>
      <w:marLeft w:val="0"/>
      <w:marRight w:val="0"/>
      <w:marTop w:val="0"/>
      <w:marBottom w:val="0"/>
      <w:divBdr>
        <w:top w:val="none" w:sz="0" w:space="0" w:color="auto"/>
        <w:left w:val="none" w:sz="0" w:space="0" w:color="auto"/>
        <w:bottom w:val="none" w:sz="0" w:space="0" w:color="auto"/>
        <w:right w:val="none" w:sz="0" w:space="0" w:color="auto"/>
      </w:divBdr>
      <w:divsChild>
        <w:div w:id="2033872535">
          <w:marLeft w:val="0"/>
          <w:marRight w:val="0"/>
          <w:marTop w:val="0"/>
          <w:marBottom w:val="0"/>
          <w:divBdr>
            <w:top w:val="none" w:sz="0" w:space="0" w:color="auto"/>
            <w:left w:val="none" w:sz="0" w:space="0" w:color="auto"/>
            <w:bottom w:val="none" w:sz="0" w:space="0" w:color="auto"/>
            <w:right w:val="none" w:sz="0" w:space="0" w:color="auto"/>
          </w:divBdr>
          <w:divsChild>
            <w:div w:id="2049068284">
              <w:marLeft w:val="0"/>
              <w:marRight w:val="0"/>
              <w:marTop w:val="0"/>
              <w:marBottom w:val="0"/>
              <w:divBdr>
                <w:top w:val="none" w:sz="0" w:space="0" w:color="auto"/>
                <w:left w:val="none" w:sz="0" w:space="0" w:color="auto"/>
                <w:bottom w:val="none" w:sz="0" w:space="0" w:color="auto"/>
                <w:right w:val="none" w:sz="0" w:space="0" w:color="auto"/>
              </w:divBdr>
              <w:divsChild>
                <w:div w:id="3246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25294">
      <w:bodyDiv w:val="1"/>
      <w:marLeft w:val="0"/>
      <w:marRight w:val="0"/>
      <w:marTop w:val="0"/>
      <w:marBottom w:val="0"/>
      <w:divBdr>
        <w:top w:val="none" w:sz="0" w:space="0" w:color="auto"/>
        <w:left w:val="none" w:sz="0" w:space="0" w:color="auto"/>
        <w:bottom w:val="none" w:sz="0" w:space="0" w:color="auto"/>
        <w:right w:val="none" w:sz="0" w:space="0" w:color="auto"/>
      </w:divBdr>
    </w:div>
    <w:div w:id="939988090">
      <w:bodyDiv w:val="1"/>
      <w:marLeft w:val="0"/>
      <w:marRight w:val="0"/>
      <w:marTop w:val="0"/>
      <w:marBottom w:val="0"/>
      <w:divBdr>
        <w:top w:val="none" w:sz="0" w:space="0" w:color="auto"/>
        <w:left w:val="none" w:sz="0" w:space="0" w:color="auto"/>
        <w:bottom w:val="none" w:sz="0" w:space="0" w:color="auto"/>
        <w:right w:val="none" w:sz="0" w:space="0" w:color="auto"/>
      </w:divBdr>
    </w:div>
    <w:div w:id="966081758">
      <w:bodyDiv w:val="1"/>
      <w:marLeft w:val="0"/>
      <w:marRight w:val="0"/>
      <w:marTop w:val="0"/>
      <w:marBottom w:val="0"/>
      <w:divBdr>
        <w:top w:val="none" w:sz="0" w:space="0" w:color="auto"/>
        <w:left w:val="none" w:sz="0" w:space="0" w:color="auto"/>
        <w:bottom w:val="none" w:sz="0" w:space="0" w:color="auto"/>
        <w:right w:val="none" w:sz="0" w:space="0" w:color="auto"/>
      </w:divBdr>
      <w:divsChild>
        <w:div w:id="1792556541">
          <w:marLeft w:val="0"/>
          <w:marRight w:val="0"/>
          <w:marTop w:val="0"/>
          <w:marBottom w:val="0"/>
          <w:divBdr>
            <w:top w:val="none" w:sz="0" w:space="0" w:color="auto"/>
            <w:left w:val="none" w:sz="0" w:space="0" w:color="auto"/>
            <w:bottom w:val="none" w:sz="0" w:space="0" w:color="auto"/>
            <w:right w:val="none" w:sz="0" w:space="0" w:color="auto"/>
          </w:divBdr>
          <w:divsChild>
            <w:div w:id="935330642">
              <w:marLeft w:val="0"/>
              <w:marRight w:val="0"/>
              <w:marTop w:val="0"/>
              <w:marBottom w:val="0"/>
              <w:divBdr>
                <w:top w:val="none" w:sz="0" w:space="0" w:color="auto"/>
                <w:left w:val="none" w:sz="0" w:space="0" w:color="auto"/>
                <w:bottom w:val="none" w:sz="0" w:space="0" w:color="auto"/>
                <w:right w:val="none" w:sz="0" w:space="0" w:color="auto"/>
              </w:divBdr>
              <w:divsChild>
                <w:div w:id="1594240758">
                  <w:marLeft w:val="0"/>
                  <w:marRight w:val="0"/>
                  <w:marTop w:val="0"/>
                  <w:marBottom w:val="0"/>
                  <w:divBdr>
                    <w:top w:val="none" w:sz="0" w:space="0" w:color="auto"/>
                    <w:left w:val="none" w:sz="0" w:space="0" w:color="auto"/>
                    <w:bottom w:val="none" w:sz="0" w:space="0" w:color="auto"/>
                    <w:right w:val="none" w:sz="0" w:space="0" w:color="auto"/>
                  </w:divBdr>
                  <w:divsChild>
                    <w:div w:id="3141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42964">
      <w:bodyDiv w:val="1"/>
      <w:marLeft w:val="0"/>
      <w:marRight w:val="0"/>
      <w:marTop w:val="0"/>
      <w:marBottom w:val="0"/>
      <w:divBdr>
        <w:top w:val="none" w:sz="0" w:space="0" w:color="auto"/>
        <w:left w:val="none" w:sz="0" w:space="0" w:color="auto"/>
        <w:bottom w:val="none" w:sz="0" w:space="0" w:color="auto"/>
        <w:right w:val="none" w:sz="0" w:space="0" w:color="auto"/>
      </w:divBdr>
    </w:div>
    <w:div w:id="1074930218">
      <w:bodyDiv w:val="1"/>
      <w:marLeft w:val="0"/>
      <w:marRight w:val="0"/>
      <w:marTop w:val="0"/>
      <w:marBottom w:val="0"/>
      <w:divBdr>
        <w:top w:val="none" w:sz="0" w:space="0" w:color="auto"/>
        <w:left w:val="none" w:sz="0" w:space="0" w:color="auto"/>
        <w:bottom w:val="none" w:sz="0" w:space="0" w:color="auto"/>
        <w:right w:val="none" w:sz="0" w:space="0" w:color="auto"/>
      </w:divBdr>
      <w:divsChild>
        <w:div w:id="290403183">
          <w:marLeft w:val="0"/>
          <w:marRight w:val="0"/>
          <w:marTop w:val="0"/>
          <w:marBottom w:val="0"/>
          <w:divBdr>
            <w:top w:val="none" w:sz="0" w:space="0" w:color="auto"/>
            <w:left w:val="none" w:sz="0" w:space="0" w:color="auto"/>
            <w:bottom w:val="none" w:sz="0" w:space="0" w:color="auto"/>
            <w:right w:val="none" w:sz="0" w:space="0" w:color="auto"/>
          </w:divBdr>
          <w:divsChild>
            <w:div w:id="557786335">
              <w:marLeft w:val="0"/>
              <w:marRight w:val="0"/>
              <w:marTop w:val="0"/>
              <w:marBottom w:val="0"/>
              <w:divBdr>
                <w:top w:val="none" w:sz="0" w:space="0" w:color="auto"/>
                <w:left w:val="none" w:sz="0" w:space="0" w:color="auto"/>
                <w:bottom w:val="none" w:sz="0" w:space="0" w:color="auto"/>
                <w:right w:val="none" w:sz="0" w:space="0" w:color="auto"/>
              </w:divBdr>
              <w:divsChild>
                <w:div w:id="2045128608">
                  <w:marLeft w:val="0"/>
                  <w:marRight w:val="0"/>
                  <w:marTop w:val="0"/>
                  <w:marBottom w:val="0"/>
                  <w:divBdr>
                    <w:top w:val="none" w:sz="0" w:space="0" w:color="auto"/>
                    <w:left w:val="none" w:sz="0" w:space="0" w:color="auto"/>
                    <w:bottom w:val="none" w:sz="0" w:space="0" w:color="auto"/>
                    <w:right w:val="none" w:sz="0" w:space="0" w:color="auto"/>
                  </w:divBdr>
                  <w:divsChild>
                    <w:div w:id="18457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125074792">
      <w:bodyDiv w:val="1"/>
      <w:marLeft w:val="0"/>
      <w:marRight w:val="0"/>
      <w:marTop w:val="0"/>
      <w:marBottom w:val="0"/>
      <w:divBdr>
        <w:top w:val="none" w:sz="0" w:space="0" w:color="auto"/>
        <w:left w:val="none" w:sz="0" w:space="0" w:color="auto"/>
        <w:bottom w:val="none" w:sz="0" w:space="0" w:color="auto"/>
        <w:right w:val="none" w:sz="0" w:space="0" w:color="auto"/>
      </w:divBdr>
      <w:divsChild>
        <w:div w:id="1810590262">
          <w:marLeft w:val="0"/>
          <w:marRight w:val="0"/>
          <w:marTop w:val="0"/>
          <w:marBottom w:val="0"/>
          <w:divBdr>
            <w:top w:val="none" w:sz="0" w:space="0" w:color="auto"/>
            <w:left w:val="none" w:sz="0" w:space="0" w:color="auto"/>
            <w:bottom w:val="none" w:sz="0" w:space="0" w:color="auto"/>
            <w:right w:val="none" w:sz="0" w:space="0" w:color="auto"/>
          </w:divBdr>
          <w:divsChild>
            <w:div w:id="2013415705">
              <w:marLeft w:val="0"/>
              <w:marRight w:val="0"/>
              <w:marTop w:val="0"/>
              <w:marBottom w:val="0"/>
              <w:divBdr>
                <w:top w:val="none" w:sz="0" w:space="0" w:color="auto"/>
                <w:left w:val="none" w:sz="0" w:space="0" w:color="auto"/>
                <w:bottom w:val="none" w:sz="0" w:space="0" w:color="auto"/>
                <w:right w:val="none" w:sz="0" w:space="0" w:color="auto"/>
              </w:divBdr>
              <w:divsChild>
                <w:div w:id="1438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8544">
      <w:bodyDiv w:val="1"/>
      <w:marLeft w:val="0"/>
      <w:marRight w:val="0"/>
      <w:marTop w:val="0"/>
      <w:marBottom w:val="0"/>
      <w:divBdr>
        <w:top w:val="none" w:sz="0" w:space="0" w:color="auto"/>
        <w:left w:val="none" w:sz="0" w:space="0" w:color="auto"/>
        <w:bottom w:val="none" w:sz="0" w:space="0" w:color="auto"/>
        <w:right w:val="none" w:sz="0" w:space="0" w:color="auto"/>
      </w:divBdr>
      <w:divsChild>
        <w:div w:id="853615163">
          <w:marLeft w:val="0"/>
          <w:marRight w:val="0"/>
          <w:marTop w:val="0"/>
          <w:marBottom w:val="0"/>
          <w:divBdr>
            <w:top w:val="none" w:sz="0" w:space="0" w:color="auto"/>
            <w:left w:val="none" w:sz="0" w:space="0" w:color="auto"/>
            <w:bottom w:val="none" w:sz="0" w:space="0" w:color="auto"/>
            <w:right w:val="none" w:sz="0" w:space="0" w:color="auto"/>
          </w:divBdr>
          <w:divsChild>
            <w:div w:id="857160389">
              <w:marLeft w:val="0"/>
              <w:marRight w:val="0"/>
              <w:marTop w:val="0"/>
              <w:marBottom w:val="0"/>
              <w:divBdr>
                <w:top w:val="none" w:sz="0" w:space="0" w:color="auto"/>
                <w:left w:val="none" w:sz="0" w:space="0" w:color="auto"/>
                <w:bottom w:val="none" w:sz="0" w:space="0" w:color="auto"/>
                <w:right w:val="none" w:sz="0" w:space="0" w:color="auto"/>
              </w:divBdr>
              <w:divsChild>
                <w:div w:id="16073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504">
      <w:bodyDiv w:val="1"/>
      <w:marLeft w:val="0"/>
      <w:marRight w:val="0"/>
      <w:marTop w:val="0"/>
      <w:marBottom w:val="0"/>
      <w:divBdr>
        <w:top w:val="none" w:sz="0" w:space="0" w:color="auto"/>
        <w:left w:val="none" w:sz="0" w:space="0" w:color="auto"/>
        <w:bottom w:val="none" w:sz="0" w:space="0" w:color="auto"/>
        <w:right w:val="none" w:sz="0" w:space="0" w:color="auto"/>
      </w:divBdr>
      <w:divsChild>
        <w:div w:id="1562252278">
          <w:marLeft w:val="0"/>
          <w:marRight w:val="0"/>
          <w:marTop w:val="0"/>
          <w:marBottom w:val="0"/>
          <w:divBdr>
            <w:top w:val="none" w:sz="0" w:space="0" w:color="auto"/>
            <w:left w:val="none" w:sz="0" w:space="0" w:color="auto"/>
            <w:bottom w:val="none" w:sz="0" w:space="0" w:color="auto"/>
            <w:right w:val="none" w:sz="0" w:space="0" w:color="auto"/>
          </w:divBdr>
          <w:divsChild>
            <w:div w:id="875627199">
              <w:marLeft w:val="0"/>
              <w:marRight w:val="0"/>
              <w:marTop w:val="0"/>
              <w:marBottom w:val="0"/>
              <w:divBdr>
                <w:top w:val="none" w:sz="0" w:space="0" w:color="auto"/>
                <w:left w:val="none" w:sz="0" w:space="0" w:color="auto"/>
                <w:bottom w:val="none" w:sz="0" w:space="0" w:color="auto"/>
                <w:right w:val="none" w:sz="0" w:space="0" w:color="auto"/>
              </w:divBdr>
              <w:divsChild>
                <w:div w:id="706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09039">
      <w:bodyDiv w:val="1"/>
      <w:marLeft w:val="0"/>
      <w:marRight w:val="0"/>
      <w:marTop w:val="0"/>
      <w:marBottom w:val="0"/>
      <w:divBdr>
        <w:top w:val="none" w:sz="0" w:space="0" w:color="auto"/>
        <w:left w:val="none" w:sz="0" w:space="0" w:color="auto"/>
        <w:bottom w:val="none" w:sz="0" w:space="0" w:color="auto"/>
        <w:right w:val="none" w:sz="0" w:space="0" w:color="auto"/>
      </w:divBdr>
      <w:divsChild>
        <w:div w:id="61414537">
          <w:marLeft w:val="0"/>
          <w:marRight w:val="0"/>
          <w:marTop w:val="0"/>
          <w:marBottom w:val="0"/>
          <w:divBdr>
            <w:top w:val="none" w:sz="0" w:space="0" w:color="auto"/>
            <w:left w:val="none" w:sz="0" w:space="0" w:color="auto"/>
            <w:bottom w:val="none" w:sz="0" w:space="0" w:color="auto"/>
            <w:right w:val="none" w:sz="0" w:space="0" w:color="auto"/>
          </w:divBdr>
          <w:divsChild>
            <w:div w:id="638151968">
              <w:marLeft w:val="0"/>
              <w:marRight w:val="0"/>
              <w:marTop w:val="0"/>
              <w:marBottom w:val="0"/>
              <w:divBdr>
                <w:top w:val="none" w:sz="0" w:space="0" w:color="auto"/>
                <w:left w:val="none" w:sz="0" w:space="0" w:color="auto"/>
                <w:bottom w:val="none" w:sz="0" w:space="0" w:color="auto"/>
                <w:right w:val="none" w:sz="0" w:space="0" w:color="auto"/>
              </w:divBdr>
              <w:divsChild>
                <w:div w:id="21409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6639">
      <w:bodyDiv w:val="1"/>
      <w:marLeft w:val="0"/>
      <w:marRight w:val="0"/>
      <w:marTop w:val="0"/>
      <w:marBottom w:val="0"/>
      <w:divBdr>
        <w:top w:val="none" w:sz="0" w:space="0" w:color="auto"/>
        <w:left w:val="none" w:sz="0" w:space="0" w:color="auto"/>
        <w:bottom w:val="none" w:sz="0" w:space="0" w:color="auto"/>
        <w:right w:val="none" w:sz="0" w:space="0" w:color="auto"/>
      </w:divBdr>
      <w:divsChild>
        <w:div w:id="1164468626">
          <w:marLeft w:val="0"/>
          <w:marRight w:val="0"/>
          <w:marTop w:val="0"/>
          <w:marBottom w:val="0"/>
          <w:divBdr>
            <w:top w:val="none" w:sz="0" w:space="0" w:color="auto"/>
            <w:left w:val="none" w:sz="0" w:space="0" w:color="auto"/>
            <w:bottom w:val="none" w:sz="0" w:space="0" w:color="auto"/>
            <w:right w:val="none" w:sz="0" w:space="0" w:color="auto"/>
          </w:divBdr>
          <w:divsChild>
            <w:div w:id="2368216">
              <w:marLeft w:val="0"/>
              <w:marRight w:val="0"/>
              <w:marTop w:val="0"/>
              <w:marBottom w:val="0"/>
              <w:divBdr>
                <w:top w:val="none" w:sz="0" w:space="0" w:color="auto"/>
                <w:left w:val="none" w:sz="0" w:space="0" w:color="auto"/>
                <w:bottom w:val="none" w:sz="0" w:space="0" w:color="auto"/>
                <w:right w:val="none" w:sz="0" w:space="0" w:color="auto"/>
              </w:divBdr>
              <w:divsChild>
                <w:div w:id="4053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7360">
      <w:bodyDiv w:val="1"/>
      <w:marLeft w:val="0"/>
      <w:marRight w:val="0"/>
      <w:marTop w:val="0"/>
      <w:marBottom w:val="0"/>
      <w:divBdr>
        <w:top w:val="none" w:sz="0" w:space="0" w:color="auto"/>
        <w:left w:val="none" w:sz="0" w:space="0" w:color="auto"/>
        <w:bottom w:val="none" w:sz="0" w:space="0" w:color="auto"/>
        <w:right w:val="none" w:sz="0" w:space="0" w:color="auto"/>
      </w:divBdr>
    </w:div>
    <w:div w:id="1241215644">
      <w:bodyDiv w:val="1"/>
      <w:marLeft w:val="0"/>
      <w:marRight w:val="0"/>
      <w:marTop w:val="0"/>
      <w:marBottom w:val="0"/>
      <w:divBdr>
        <w:top w:val="none" w:sz="0" w:space="0" w:color="auto"/>
        <w:left w:val="none" w:sz="0" w:space="0" w:color="auto"/>
        <w:bottom w:val="none" w:sz="0" w:space="0" w:color="auto"/>
        <w:right w:val="none" w:sz="0" w:space="0" w:color="auto"/>
      </w:divBdr>
      <w:divsChild>
        <w:div w:id="739061308">
          <w:marLeft w:val="0"/>
          <w:marRight w:val="0"/>
          <w:marTop w:val="0"/>
          <w:marBottom w:val="0"/>
          <w:divBdr>
            <w:top w:val="none" w:sz="0" w:space="0" w:color="auto"/>
            <w:left w:val="none" w:sz="0" w:space="0" w:color="auto"/>
            <w:bottom w:val="none" w:sz="0" w:space="0" w:color="auto"/>
            <w:right w:val="none" w:sz="0" w:space="0" w:color="auto"/>
          </w:divBdr>
          <w:divsChild>
            <w:div w:id="598411249">
              <w:marLeft w:val="0"/>
              <w:marRight w:val="0"/>
              <w:marTop w:val="0"/>
              <w:marBottom w:val="0"/>
              <w:divBdr>
                <w:top w:val="none" w:sz="0" w:space="0" w:color="auto"/>
                <w:left w:val="none" w:sz="0" w:space="0" w:color="auto"/>
                <w:bottom w:val="none" w:sz="0" w:space="0" w:color="auto"/>
                <w:right w:val="none" w:sz="0" w:space="0" w:color="auto"/>
              </w:divBdr>
              <w:divsChild>
                <w:div w:id="8940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3769">
      <w:bodyDiv w:val="1"/>
      <w:marLeft w:val="0"/>
      <w:marRight w:val="0"/>
      <w:marTop w:val="0"/>
      <w:marBottom w:val="0"/>
      <w:divBdr>
        <w:top w:val="none" w:sz="0" w:space="0" w:color="auto"/>
        <w:left w:val="none" w:sz="0" w:space="0" w:color="auto"/>
        <w:bottom w:val="none" w:sz="0" w:space="0" w:color="auto"/>
        <w:right w:val="none" w:sz="0" w:space="0" w:color="auto"/>
      </w:divBdr>
      <w:divsChild>
        <w:div w:id="1020206454">
          <w:marLeft w:val="0"/>
          <w:marRight w:val="0"/>
          <w:marTop w:val="0"/>
          <w:marBottom w:val="0"/>
          <w:divBdr>
            <w:top w:val="none" w:sz="0" w:space="0" w:color="auto"/>
            <w:left w:val="none" w:sz="0" w:space="0" w:color="auto"/>
            <w:bottom w:val="none" w:sz="0" w:space="0" w:color="auto"/>
            <w:right w:val="none" w:sz="0" w:space="0" w:color="auto"/>
          </w:divBdr>
          <w:divsChild>
            <w:div w:id="1989704244">
              <w:marLeft w:val="0"/>
              <w:marRight w:val="0"/>
              <w:marTop w:val="0"/>
              <w:marBottom w:val="0"/>
              <w:divBdr>
                <w:top w:val="none" w:sz="0" w:space="0" w:color="auto"/>
                <w:left w:val="none" w:sz="0" w:space="0" w:color="auto"/>
                <w:bottom w:val="none" w:sz="0" w:space="0" w:color="auto"/>
                <w:right w:val="none" w:sz="0" w:space="0" w:color="auto"/>
              </w:divBdr>
              <w:divsChild>
                <w:div w:id="21122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921">
      <w:bodyDiv w:val="1"/>
      <w:marLeft w:val="0"/>
      <w:marRight w:val="0"/>
      <w:marTop w:val="0"/>
      <w:marBottom w:val="0"/>
      <w:divBdr>
        <w:top w:val="none" w:sz="0" w:space="0" w:color="auto"/>
        <w:left w:val="none" w:sz="0" w:space="0" w:color="auto"/>
        <w:bottom w:val="none" w:sz="0" w:space="0" w:color="auto"/>
        <w:right w:val="none" w:sz="0" w:space="0" w:color="auto"/>
      </w:divBdr>
    </w:div>
    <w:div w:id="1316450512">
      <w:bodyDiv w:val="1"/>
      <w:marLeft w:val="0"/>
      <w:marRight w:val="0"/>
      <w:marTop w:val="0"/>
      <w:marBottom w:val="0"/>
      <w:divBdr>
        <w:top w:val="none" w:sz="0" w:space="0" w:color="auto"/>
        <w:left w:val="none" w:sz="0" w:space="0" w:color="auto"/>
        <w:bottom w:val="none" w:sz="0" w:space="0" w:color="auto"/>
        <w:right w:val="none" w:sz="0" w:space="0" w:color="auto"/>
      </w:divBdr>
      <w:divsChild>
        <w:div w:id="492451385">
          <w:marLeft w:val="0"/>
          <w:marRight w:val="0"/>
          <w:marTop w:val="0"/>
          <w:marBottom w:val="0"/>
          <w:divBdr>
            <w:top w:val="none" w:sz="0" w:space="0" w:color="auto"/>
            <w:left w:val="none" w:sz="0" w:space="0" w:color="auto"/>
            <w:bottom w:val="none" w:sz="0" w:space="0" w:color="auto"/>
            <w:right w:val="none" w:sz="0" w:space="0" w:color="auto"/>
          </w:divBdr>
          <w:divsChild>
            <w:div w:id="1731685758">
              <w:marLeft w:val="0"/>
              <w:marRight w:val="0"/>
              <w:marTop w:val="0"/>
              <w:marBottom w:val="0"/>
              <w:divBdr>
                <w:top w:val="none" w:sz="0" w:space="0" w:color="auto"/>
                <w:left w:val="none" w:sz="0" w:space="0" w:color="auto"/>
                <w:bottom w:val="none" w:sz="0" w:space="0" w:color="auto"/>
                <w:right w:val="none" w:sz="0" w:space="0" w:color="auto"/>
              </w:divBdr>
              <w:divsChild>
                <w:div w:id="8163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25201">
      <w:bodyDiv w:val="1"/>
      <w:marLeft w:val="0"/>
      <w:marRight w:val="0"/>
      <w:marTop w:val="0"/>
      <w:marBottom w:val="0"/>
      <w:divBdr>
        <w:top w:val="none" w:sz="0" w:space="0" w:color="auto"/>
        <w:left w:val="none" w:sz="0" w:space="0" w:color="auto"/>
        <w:bottom w:val="none" w:sz="0" w:space="0" w:color="auto"/>
        <w:right w:val="none" w:sz="0" w:space="0" w:color="auto"/>
      </w:divBdr>
      <w:divsChild>
        <w:div w:id="398596757">
          <w:marLeft w:val="0"/>
          <w:marRight w:val="0"/>
          <w:marTop w:val="0"/>
          <w:marBottom w:val="0"/>
          <w:divBdr>
            <w:top w:val="none" w:sz="0" w:space="0" w:color="auto"/>
            <w:left w:val="none" w:sz="0" w:space="0" w:color="auto"/>
            <w:bottom w:val="none" w:sz="0" w:space="0" w:color="auto"/>
            <w:right w:val="none" w:sz="0" w:space="0" w:color="auto"/>
          </w:divBdr>
          <w:divsChild>
            <w:div w:id="1010641393">
              <w:marLeft w:val="0"/>
              <w:marRight w:val="0"/>
              <w:marTop w:val="0"/>
              <w:marBottom w:val="0"/>
              <w:divBdr>
                <w:top w:val="none" w:sz="0" w:space="0" w:color="auto"/>
                <w:left w:val="none" w:sz="0" w:space="0" w:color="auto"/>
                <w:bottom w:val="none" w:sz="0" w:space="0" w:color="auto"/>
                <w:right w:val="none" w:sz="0" w:space="0" w:color="auto"/>
              </w:divBdr>
              <w:divsChild>
                <w:div w:id="8063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6305">
      <w:bodyDiv w:val="1"/>
      <w:marLeft w:val="0"/>
      <w:marRight w:val="0"/>
      <w:marTop w:val="0"/>
      <w:marBottom w:val="0"/>
      <w:divBdr>
        <w:top w:val="none" w:sz="0" w:space="0" w:color="auto"/>
        <w:left w:val="none" w:sz="0" w:space="0" w:color="auto"/>
        <w:bottom w:val="none" w:sz="0" w:space="0" w:color="auto"/>
        <w:right w:val="none" w:sz="0" w:space="0" w:color="auto"/>
      </w:divBdr>
      <w:divsChild>
        <w:div w:id="1638098643">
          <w:marLeft w:val="0"/>
          <w:marRight w:val="0"/>
          <w:marTop w:val="0"/>
          <w:marBottom w:val="0"/>
          <w:divBdr>
            <w:top w:val="none" w:sz="0" w:space="0" w:color="auto"/>
            <w:left w:val="none" w:sz="0" w:space="0" w:color="auto"/>
            <w:bottom w:val="none" w:sz="0" w:space="0" w:color="auto"/>
            <w:right w:val="none" w:sz="0" w:space="0" w:color="auto"/>
          </w:divBdr>
          <w:divsChild>
            <w:div w:id="589000234">
              <w:marLeft w:val="0"/>
              <w:marRight w:val="0"/>
              <w:marTop w:val="0"/>
              <w:marBottom w:val="0"/>
              <w:divBdr>
                <w:top w:val="none" w:sz="0" w:space="0" w:color="auto"/>
                <w:left w:val="none" w:sz="0" w:space="0" w:color="auto"/>
                <w:bottom w:val="none" w:sz="0" w:space="0" w:color="auto"/>
                <w:right w:val="none" w:sz="0" w:space="0" w:color="auto"/>
              </w:divBdr>
              <w:divsChild>
                <w:div w:id="808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0822">
      <w:bodyDiv w:val="1"/>
      <w:marLeft w:val="0"/>
      <w:marRight w:val="0"/>
      <w:marTop w:val="0"/>
      <w:marBottom w:val="0"/>
      <w:divBdr>
        <w:top w:val="none" w:sz="0" w:space="0" w:color="auto"/>
        <w:left w:val="none" w:sz="0" w:space="0" w:color="auto"/>
        <w:bottom w:val="none" w:sz="0" w:space="0" w:color="auto"/>
        <w:right w:val="none" w:sz="0" w:space="0" w:color="auto"/>
      </w:divBdr>
      <w:divsChild>
        <w:div w:id="187573293">
          <w:marLeft w:val="0"/>
          <w:marRight w:val="0"/>
          <w:marTop w:val="0"/>
          <w:marBottom w:val="0"/>
          <w:divBdr>
            <w:top w:val="none" w:sz="0" w:space="0" w:color="auto"/>
            <w:left w:val="none" w:sz="0" w:space="0" w:color="auto"/>
            <w:bottom w:val="none" w:sz="0" w:space="0" w:color="auto"/>
            <w:right w:val="none" w:sz="0" w:space="0" w:color="auto"/>
          </w:divBdr>
          <w:divsChild>
            <w:div w:id="1588268617">
              <w:marLeft w:val="0"/>
              <w:marRight w:val="0"/>
              <w:marTop w:val="0"/>
              <w:marBottom w:val="0"/>
              <w:divBdr>
                <w:top w:val="none" w:sz="0" w:space="0" w:color="auto"/>
                <w:left w:val="none" w:sz="0" w:space="0" w:color="auto"/>
                <w:bottom w:val="none" w:sz="0" w:space="0" w:color="auto"/>
                <w:right w:val="none" w:sz="0" w:space="0" w:color="auto"/>
              </w:divBdr>
              <w:divsChild>
                <w:div w:id="11940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7766">
      <w:bodyDiv w:val="1"/>
      <w:marLeft w:val="0"/>
      <w:marRight w:val="0"/>
      <w:marTop w:val="0"/>
      <w:marBottom w:val="0"/>
      <w:divBdr>
        <w:top w:val="none" w:sz="0" w:space="0" w:color="auto"/>
        <w:left w:val="none" w:sz="0" w:space="0" w:color="auto"/>
        <w:bottom w:val="none" w:sz="0" w:space="0" w:color="auto"/>
        <w:right w:val="none" w:sz="0" w:space="0" w:color="auto"/>
      </w:divBdr>
      <w:divsChild>
        <w:div w:id="213858167">
          <w:marLeft w:val="0"/>
          <w:marRight w:val="0"/>
          <w:marTop w:val="0"/>
          <w:marBottom w:val="0"/>
          <w:divBdr>
            <w:top w:val="none" w:sz="0" w:space="0" w:color="auto"/>
            <w:left w:val="none" w:sz="0" w:space="0" w:color="auto"/>
            <w:bottom w:val="none" w:sz="0" w:space="0" w:color="auto"/>
            <w:right w:val="none" w:sz="0" w:space="0" w:color="auto"/>
          </w:divBdr>
          <w:divsChild>
            <w:div w:id="1402673301">
              <w:marLeft w:val="0"/>
              <w:marRight w:val="0"/>
              <w:marTop w:val="0"/>
              <w:marBottom w:val="0"/>
              <w:divBdr>
                <w:top w:val="none" w:sz="0" w:space="0" w:color="auto"/>
                <w:left w:val="none" w:sz="0" w:space="0" w:color="auto"/>
                <w:bottom w:val="none" w:sz="0" w:space="0" w:color="auto"/>
                <w:right w:val="none" w:sz="0" w:space="0" w:color="auto"/>
              </w:divBdr>
              <w:divsChild>
                <w:div w:id="4142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4211">
      <w:bodyDiv w:val="1"/>
      <w:marLeft w:val="0"/>
      <w:marRight w:val="0"/>
      <w:marTop w:val="0"/>
      <w:marBottom w:val="0"/>
      <w:divBdr>
        <w:top w:val="none" w:sz="0" w:space="0" w:color="auto"/>
        <w:left w:val="none" w:sz="0" w:space="0" w:color="auto"/>
        <w:bottom w:val="none" w:sz="0" w:space="0" w:color="auto"/>
        <w:right w:val="none" w:sz="0" w:space="0" w:color="auto"/>
      </w:divBdr>
    </w:div>
    <w:div w:id="1447194665">
      <w:bodyDiv w:val="1"/>
      <w:marLeft w:val="0"/>
      <w:marRight w:val="0"/>
      <w:marTop w:val="0"/>
      <w:marBottom w:val="0"/>
      <w:divBdr>
        <w:top w:val="none" w:sz="0" w:space="0" w:color="auto"/>
        <w:left w:val="none" w:sz="0" w:space="0" w:color="auto"/>
        <w:bottom w:val="none" w:sz="0" w:space="0" w:color="auto"/>
        <w:right w:val="none" w:sz="0" w:space="0" w:color="auto"/>
      </w:divBdr>
    </w:div>
    <w:div w:id="1453785176">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03273981">
      <w:bodyDiv w:val="1"/>
      <w:marLeft w:val="0"/>
      <w:marRight w:val="0"/>
      <w:marTop w:val="0"/>
      <w:marBottom w:val="0"/>
      <w:divBdr>
        <w:top w:val="none" w:sz="0" w:space="0" w:color="auto"/>
        <w:left w:val="none" w:sz="0" w:space="0" w:color="auto"/>
        <w:bottom w:val="none" w:sz="0" w:space="0" w:color="auto"/>
        <w:right w:val="none" w:sz="0" w:space="0" w:color="auto"/>
      </w:divBdr>
      <w:divsChild>
        <w:div w:id="201482132">
          <w:marLeft w:val="0"/>
          <w:marRight w:val="0"/>
          <w:marTop w:val="0"/>
          <w:marBottom w:val="0"/>
          <w:divBdr>
            <w:top w:val="none" w:sz="0" w:space="0" w:color="auto"/>
            <w:left w:val="none" w:sz="0" w:space="0" w:color="auto"/>
            <w:bottom w:val="none" w:sz="0" w:space="0" w:color="auto"/>
            <w:right w:val="none" w:sz="0" w:space="0" w:color="auto"/>
          </w:divBdr>
          <w:divsChild>
            <w:div w:id="1498693019">
              <w:marLeft w:val="0"/>
              <w:marRight w:val="0"/>
              <w:marTop w:val="0"/>
              <w:marBottom w:val="0"/>
              <w:divBdr>
                <w:top w:val="none" w:sz="0" w:space="0" w:color="auto"/>
                <w:left w:val="none" w:sz="0" w:space="0" w:color="auto"/>
                <w:bottom w:val="none" w:sz="0" w:space="0" w:color="auto"/>
                <w:right w:val="none" w:sz="0" w:space="0" w:color="auto"/>
              </w:divBdr>
              <w:divsChild>
                <w:div w:id="15269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3480">
      <w:bodyDiv w:val="1"/>
      <w:marLeft w:val="0"/>
      <w:marRight w:val="0"/>
      <w:marTop w:val="0"/>
      <w:marBottom w:val="0"/>
      <w:divBdr>
        <w:top w:val="none" w:sz="0" w:space="0" w:color="auto"/>
        <w:left w:val="none" w:sz="0" w:space="0" w:color="auto"/>
        <w:bottom w:val="none" w:sz="0" w:space="0" w:color="auto"/>
        <w:right w:val="none" w:sz="0" w:space="0" w:color="auto"/>
      </w:divBdr>
      <w:divsChild>
        <w:div w:id="1423796627">
          <w:marLeft w:val="0"/>
          <w:marRight w:val="0"/>
          <w:marTop w:val="0"/>
          <w:marBottom w:val="0"/>
          <w:divBdr>
            <w:top w:val="none" w:sz="0" w:space="0" w:color="auto"/>
            <w:left w:val="none" w:sz="0" w:space="0" w:color="auto"/>
            <w:bottom w:val="none" w:sz="0" w:space="0" w:color="auto"/>
            <w:right w:val="none" w:sz="0" w:space="0" w:color="auto"/>
          </w:divBdr>
          <w:divsChild>
            <w:div w:id="168302479">
              <w:marLeft w:val="0"/>
              <w:marRight w:val="0"/>
              <w:marTop w:val="0"/>
              <w:marBottom w:val="0"/>
              <w:divBdr>
                <w:top w:val="none" w:sz="0" w:space="0" w:color="auto"/>
                <w:left w:val="none" w:sz="0" w:space="0" w:color="auto"/>
                <w:bottom w:val="none" w:sz="0" w:space="0" w:color="auto"/>
                <w:right w:val="none" w:sz="0" w:space="0" w:color="auto"/>
              </w:divBdr>
              <w:divsChild>
                <w:div w:id="1913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35203">
      <w:bodyDiv w:val="1"/>
      <w:marLeft w:val="0"/>
      <w:marRight w:val="0"/>
      <w:marTop w:val="0"/>
      <w:marBottom w:val="0"/>
      <w:divBdr>
        <w:top w:val="none" w:sz="0" w:space="0" w:color="auto"/>
        <w:left w:val="none" w:sz="0" w:space="0" w:color="auto"/>
        <w:bottom w:val="none" w:sz="0" w:space="0" w:color="auto"/>
        <w:right w:val="none" w:sz="0" w:space="0" w:color="auto"/>
      </w:divBdr>
    </w:div>
    <w:div w:id="1567758958">
      <w:bodyDiv w:val="1"/>
      <w:marLeft w:val="0"/>
      <w:marRight w:val="0"/>
      <w:marTop w:val="0"/>
      <w:marBottom w:val="0"/>
      <w:divBdr>
        <w:top w:val="none" w:sz="0" w:space="0" w:color="auto"/>
        <w:left w:val="none" w:sz="0" w:space="0" w:color="auto"/>
        <w:bottom w:val="none" w:sz="0" w:space="0" w:color="auto"/>
        <w:right w:val="none" w:sz="0" w:space="0" w:color="auto"/>
      </w:divBdr>
    </w:div>
    <w:div w:id="1567764980">
      <w:bodyDiv w:val="1"/>
      <w:marLeft w:val="0"/>
      <w:marRight w:val="0"/>
      <w:marTop w:val="0"/>
      <w:marBottom w:val="0"/>
      <w:divBdr>
        <w:top w:val="none" w:sz="0" w:space="0" w:color="auto"/>
        <w:left w:val="none" w:sz="0" w:space="0" w:color="auto"/>
        <w:bottom w:val="none" w:sz="0" w:space="0" w:color="auto"/>
        <w:right w:val="none" w:sz="0" w:space="0" w:color="auto"/>
      </w:divBdr>
    </w:div>
    <w:div w:id="1624997206">
      <w:bodyDiv w:val="1"/>
      <w:marLeft w:val="0"/>
      <w:marRight w:val="0"/>
      <w:marTop w:val="0"/>
      <w:marBottom w:val="0"/>
      <w:divBdr>
        <w:top w:val="none" w:sz="0" w:space="0" w:color="auto"/>
        <w:left w:val="none" w:sz="0" w:space="0" w:color="auto"/>
        <w:bottom w:val="none" w:sz="0" w:space="0" w:color="auto"/>
        <w:right w:val="none" w:sz="0" w:space="0" w:color="auto"/>
      </w:divBdr>
      <w:divsChild>
        <w:div w:id="1719165361">
          <w:marLeft w:val="0"/>
          <w:marRight w:val="0"/>
          <w:marTop w:val="0"/>
          <w:marBottom w:val="0"/>
          <w:divBdr>
            <w:top w:val="none" w:sz="0" w:space="0" w:color="auto"/>
            <w:left w:val="none" w:sz="0" w:space="0" w:color="auto"/>
            <w:bottom w:val="none" w:sz="0" w:space="0" w:color="auto"/>
            <w:right w:val="none" w:sz="0" w:space="0" w:color="auto"/>
          </w:divBdr>
          <w:divsChild>
            <w:div w:id="2093695417">
              <w:marLeft w:val="0"/>
              <w:marRight w:val="0"/>
              <w:marTop w:val="0"/>
              <w:marBottom w:val="0"/>
              <w:divBdr>
                <w:top w:val="none" w:sz="0" w:space="0" w:color="auto"/>
                <w:left w:val="none" w:sz="0" w:space="0" w:color="auto"/>
                <w:bottom w:val="none" w:sz="0" w:space="0" w:color="auto"/>
                <w:right w:val="none" w:sz="0" w:space="0" w:color="auto"/>
              </w:divBdr>
              <w:divsChild>
                <w:div w:id="1045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3547">
      <w:bodyDiv w:val="1"/>
      <w:marLeft w:val="0"/>
      <w:marRight w:val="0"/>
      <w:marTop w:val="0"/>
      <w:marBottom w:val="0"/>
      <w:divBdr>
        <w:top w:val="none" w:sz="0" w:space="0" w:color="auto"/>
        <w:left w:val="none" w:sz="0" w:space="0" w:color="auto"/>
        <w:bottom w:val="none" w:sz="0" w:space="0" w:color="auto"/>
        <w:right w:val="none" w:sz="0" w:space="0" w:color="auto"/>
      </w:divBdr>
      <w:divsChild>
        <w:div w:id="1422987701">
          <w:marLeft w:val="0"/>
          <w:marRight w:val="0"/>
          <w:marTop w:val="0"/>
          <w:marBottom w:val="0"/>
          <w:divBdr>
            <w:top w:val="none" w:sz="0" w:space="0" w:color="auto"/>
            <w:left w:val="none" w:sz="0" w:space="0" w:color="auto"/>
            <w:bottom w:val="none" w:sz="0" w:space="0" w:color="auto"/>
            <w:right w:val="none" w:sz="0" w:space="0" w:color="auto"/>
          </w:divBdr>
          <w:divsChild>
            <w:div w:id="769859628">
              <w:marLeft w:val="0"/>
              <w:marRight w:val="0"/>
              <w:marTop w:val="0"/>
              <w:marBottom w:val="0"/>
              <w:divBdr>
                <w:top w:val="none" w:sz="0" w:space="0" w:color="auto"/>
                <w:left w:val="none" w:sz="0" w:space="0" w:color="auto"/>
                <w:bottom w:val="none" w:sz="0" w:space="0" w:color="auto"/>
                <w:right w:val="none" w:sz="0" w:space="0" w:color="auto"/>
              </w:divBdr>
              <w:divsChild>
                <w:div w:id="21296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6433">
      <w:bodyDiv w:val="1"/>
      <w:marLeft w:val="0"/>
      <w:marRight w:val="0"/>
      <w:marTop w:val="0"/>
      <w:marBottom w:val="0"/>
      <w:divBdr>
        <w:top w:val="none" w:sz="0" w:space="0" w:color="auto"/>
        <w:left w:val="none" w:sz="0" w:space="0" w:color="auto"/>
        <w:bottom w:val="none" w:sz="0" w:space="0" w:color="auto"/>
        <w:right w:val="none" w:sz="0" w:space="0" w:color="auto"/>
      </w:divBdr>
      <w:divsChild>
        <w:div w:id="1937207330">
          <w:marLeft w:val="0"/>
          <w:marRight w:val="0"/>
          <w:marTop w:val="0"/>
          <w:marBottom w:val="0"/>
          <w:divBdr>
            <w:top w:val="none" w:sz="0" w:space="0" w:color="auto"/>
            <w:left w:val="none" w:sz="0" w:space="0" w:color="auto"/>
            <w:bottom w:val="none" w:sz="0" w:space="0" w:color="auto"/>
            <w:right w:val="none" w:sz="0" w:space="0" w:color="auto"/>
          </w:divBdr>
          <w:divsChild>
            <w:div w:id="580801191">
              <w:marLeft w:val="0"/>
              <w:marRight w:val="0"/>
              <w:marTop w:val="0"/>
              <w:marBottom w:val="0"/>
              <w:divBdr>
                <w:top w:val="none" w:sz="0" w:space="0" w:color="auto"/>
                <w:left w:val="none" w:sz="0" w:space="0" w:color="auto"/>
                <w:bottom w:val="none" w:sz="0" w:space="0" w:color="auto"/>
                <w:right w:val="none" w:sz="0" w:space="0" w:color="auto"/>
              </w:divBdr>
              <w:divsChild>
                <w:div w:id="7667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26784">
      <w:bodyDiv w:val="1"/>
      <w:marLeft w:val="0"/>
      <w:marRight w:val="0"/>
      <w:marTop w:val="0"/>
      <w:marBottom w:val="0"/>
      <w:divBdr>
        <w:top w:val="none" w:sz="0" w:space="0" w:color="auto"/>
        <w:left w:val="none" w:sz="0" w:space="0" w:color="auto"/>
        <w:bottom w:val="none" w:sz="0" w:space="0" w:color="auto"/>
        <w:right w:val="none" w:sz="0" w:space="0" w:color="auto"/>
      </w:divBdr>
      <w:divsChild>
        <w:div w:id="1858618532">
          <w:marLeft w:val="0"/>
          <w:marRight w:val="0"/>
          <w:marTop w:val="0"/>
          <w:marBottom w:val="0"/>
          <w:divBdr>
            <w:top w:val="none" w:sz="0" w:space="0" w:color="auto"/>
            <w:left w:val="none" w:sz="0" w:space="0" w:color="auto"/>
            <w:bottom w:val="none" w:sz="0" w:space="0" w:color="auto"/>
            <w:right w:val="none" w:sz="0" w:space="0" w:color="auto"/>
          </w:divBdr>
          <w:divsChild>
            <w:div w:id="178008173">
              <w:marLeft w:val="0"/>
              <w:marRight w:val="0"/>
              <w:marTop w:val="0"/>
              <w:marBottom w:val="0"/>
              <w:divBdr>
                <w:top w:val="none" w:sz="0" w:space="0" w:color="auto"/>
                <w:left w:val="none" w:sz="0" w:space="0" w:color="auto"/>
                <w:bottom w:val="none" w:sz="0" w:space="0" w:color="auto"/>
                <w:right w:val="none" w:sz="0" w:space="0" w:color="auto"/>
              </w:divBdr>
              <w:divsChild>
                <w:div w:id="13039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7693">
      <w:bodyDiv w:val="1"/>
      <w:marLeft w:val="0"/>
      <w:marRight w:val="0"/>
      <w:marTop w:val="0"/>
      <w:marBottom w:val="0"/>
      <w:divBdr>
        <w:top w:val="none" w:sz="0" w:space="0" w:color="auto"/>
        <w:left w:val="none" w:sz="0" w:space="0" w:color="auto"/>
        <w:bottom w:val="none" w:sz="0" w:space="0" w:color="auto"/>
        <w:right w:val="none" w:sz="0" w:space="0" w:color="auto"/>
      </w:divBdr>
      <w:divsChild>
        <w:div w:id="847914199">
          <w:marLeft w:val="0"/>
          <w:marRight w:val="0"/>
          <w:marTop w:val="0"/>
          <w:marBottom w:val="0"/>
          <w:divBdr>
            <w:top w:val="none" w:sz="0" w:space="0" w:color="auto"/>
            <w:left w:val="none" w:sz="0" w:space="0" w:color="auto"/>
            <w:bottom w:val="none" w:sz="0" w:space="0" w:color="auto"/>
            <w:right w:val="none" w:sz="0" w:space="0" w:color="auto"/>
          </w:divBdr>
          <w:divsChild>
            <w:div w:id="1779329276">
              <w:marLeft w:val="0"/>
              <w:marRight w:val="0"/>
              <w:marTop w:val="0"/>
              <w:marBottom w:val="0"/>
              <w:divBdr>
                <w:top w:val="none" w:sz="0" w:space="0" w:color="auto"/>
                <w:left w:val="none" w:sz="0" w:space="0" w:color="auto"/>
                <w:bottom w:val="none" w:sz="0" w:space="0" w:color="auto"/>
                <w:right w:val="none" w:sz="0" w:space="0" w:color="auto"/>
              </w:divBdr>
              <w:divsChild>
                <w:div w:id="11243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01176">
      <w:bodyDiv w:val="1"/>
      <w:marLeft w:val="0"/>
      <w:marRight w:val="0"/>
      <w:marTop w:val="0"/>
      <w:marBottom w:val="0"/>
      <w:divBdr>
        <w:top w:val="none" w:sz="0" w:space="0" w:color="auto"/>
        <w:left w:val="none" w:sz="0" w:space="0" w:color="auto"/>
        <w:bottom w:val="none" w:sz="0" w:space="0" w:color="auto"/>
        <w:right w:val="none" w:sz="0" w:space="0" w:color="auto"/>
      </w:divBdr>
      <w:divsChild>
        <w:div w:id="1936548287">
          <w:marLeft w:val="0"/>
          <w:marRight w:val="0"/>
          <w:marTop w:val="0"/>
          <w:marBottom w:val="0"/>
          <w:divBdr>
            <w:top w:val="none" w:sz="0" w:space="0" w:color="auto"/>
            <w:left w:val="none" w:sz="0" w:space="0" w:color="auto"/>
            <w:bottom w:val="none" w:sz="0" w:space="0" w:color="auto"/>
            <w:right w:val="none" w:sz="0" w:space="0" w:color="auto"/>
          </w:divBdr>
          <w:divsChild>
            <w:div w:id="392581152">
              <w:marLeft w:val="0"/>
              <w:marRight w:val="0"/>
              <w:marTop w:val="0"/>
              <w:marBottom w:val="0"/>
              <w:divBdr>
                <w:top w:val="none" w:sz="0" w:space="0" w:color="auto"/>
                <w:left w:val="none" w:sz="0" w:space="0" w:color="auto"/>
                <w:bottom w:val="none" w:sz="0" w:space="0" w:color="auto"/>
                <w:right w:val="none" w:sz="0" w:space="0" w:color="auto"/>
              </w:divBdr>
              <w:divsChild>
                <w:div w:id="738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83885">
      <w:bodyDiv w:val="1"/>
      <w:marLeft w:val="0"/>
      <w:marRight w:val="0"/>
      <w:marTop w:val="0"/>
      <w:marBottom w:val="0"/>
      <w:divBdr>
        <w:top w:val="none" w:sz="0" w:space="0" w:color="auto"/>
        <w:left w:val="none" w:sz="0" w:space="0" w:color="auto"/>
        <w:bottom w:val="none" w:sz="0" w:space="0" w:color="auto"/>
        <w:right w:val="none" w:sz="0" w:space="0" w:color="auto"/>
      </w:divBdr>
      <w:divsChild>
        <w:div w:id="2017152245">
          <w:marLeft w:val="0"/>
          <w:marRight w:val="0"/>
          <w:marTop w:val="0"/>
          <w:marBottom w:val="0"/>
          <w:divBdr>
            <w:top w:val="none" w:sz="0" w:space="0" w:color="auto"/>
            <w:left w:val="none" w:sz="0" w:space="0" w:color="auto"/>
            <w:bottom w:val="none" w:sz="0" w:space="0" w:color="auto"/>
            <w:right w:val="none" w:sz="0" w:space="0" w:color="auto"/>
          </w:divBdr>
          <w:divsChild>
            <w:div w:id="610668591">
              <w:marLeft w:val="0"/>
              <w:marRight w:val="0"/>
              <w:marTop w:val="0"/>
              <w:marBottom w:val="0"/>
              <w:divBdr>
                <w:top w:val="none" w:sz="0" w:space="0" w:color="auto"/>
                <w:left w:val="none" w:sz="0" w:space="0" w:color="auto"/>
                <w:bottom w:val="none" w:sz="0" w:space="0" w:color="auto"/>
                <w:right w:val="none" w:sz="0" w:space="0" w:color="auto"/>
              </w:divBdr>
              <w:divsChild>
                <w:div w:id="2003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80929">
      <w:bodyDiv w:val="1"/>
      <w:marLeft w:val="0"/>
      <w:marRight w:val="0"/>
      <w:marTop w:val="0"/>
      <w:marBottom w:val="0"/>
      <w:divBdr>
        <w:top w:val="none" w:sz="0" w:space="0" w:color="auto"/>
        <w:left w:val="none" w:sz="0" w:space="0" w:color="auto"/>
        <w:bottom w:val="none" w:sz="0" w:space="0" w:color="auto"/>
        <w:right w:val="none" w:sz="0" w:space="0" w:color="auto"/>
      </w:divBdr>
      <w:divsChild>
        <w:div w:id="269317361">
          <w:marLeft w:val="0"/>
          <w:marRight w:val="0"/>
          <w:marTop w:val="0"/>
          <w:marBottom w:val="0"/>
          <w:divBdr>
            <w:top w:val="none" w:sz="0" w:space="0" w:color="auto"/>
            <w:left w:val="none" w:sz="0" w:space="0" w:color="auto"/>
            <w:bottom w:val="none" w:sz="0" w:space="0" w:color="auto"/>
            <w:right w:val="none" w:sz="0" w:space="0" w:color="auto"/>
          </w:divBdr>
          <w:divsChild>
            <w:div w:id="378943816">
              <w:marLeft w:val="0"/>
              <w:marRight w:val="0"/>
              <w:marTop w:val="0"/>
              <w:marBottom w:val="0"/>
              <w:divBdr>
                <w:top w:val="none" w:sz="0" w:space="0" w:color="auto"/>
                <w:left w:val="none" w:sz="0" w:space="0" w:color="auto"/>
                <w:bottom w:val="none" w:sz="0" w:space="0" w:color="auto"/>
                <w:right w:val="none" w:sz="0" w:space="0" w:color="auto"/>
              </w:divBdr>
              <w:divsChild>
                <w:div w:id="7357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1534">
      <w:bodyDiv w:val="1"/>
      <w:marLeft w:val="0"/>
      <w:marRight w:val="0"/>
      <w:marTop w:val="0"/>
      <w:marBottom w:val="0"/>
      <w:divBdr>
        <w:top w:val="none" w:sz="0" w:space="0" w:color="auto"/>
        <w:left w:val="none" w:sz="0" w:space="0" w:color="auto"/>
        <w:bottom w:val="none" w:sz="0" w:space="0" w:color="auto"/>
        <w:right w:val="none" w:sz="0" w:space="0" w:color="auto"/>
      </w:divBdr>
    </w:div>
    <w:div w:id="1991713945">
      <w:bodyDiv w:val="1"/>
      <w:marLeft w:val="0"/>
      <w:marRight w:val="0"/>
      <w:marTop w:val="0"/>
      <w:marBottom w:val="0"/>
      <w:divBdr>
        <w:top w:val="none" w:sz="0" w:space="0" w:color="auto"/>
        <w:left w:val="none" w:sz="0" w:space="0" w:color="auto"/>
        <w:bottom w:val="none" w:sz="0" w:space="0" w:color="auto"/>
        <w:right w:val="none" w:sz="0" w:space="0" w:color="auto"/>
      </w:divBdr>
      <w:divsChild>
        <w:div w:id="542792416">
          <w:marLeft w:val="0"/>
          <w:marRight w:val="0"/>
          <w:marTop w:val="0"/>
          <w:marBottom w:val="0"/>
          <w:divBdr>
            <w:top w:val="none" w:sz="0" w:space="0" w:color="auto"/>
            <w:left w:val="none" w:sz="0" w:space="0" w:color="auto"/>
            <w:bottom w:val="none" w:sz="0" w:space="0" w:color="auto"/>
            <w:right w:val="none" w:sz="0" w:space="0" w:color="auto"/>
          </w:divBdr>
          <w:divsChild>
            <w:div w:id="259028684">
              <w:marLeft w:val="0"/>
              <w:marRight w:val="0"/>
              <w:marTop w:val="0"/>
              <w:marBottom w:val="0"/>
              <w:divBdr>
                <w:top w:val="none" w:sz="0" w:space="0" w:color="auto"/>
                <w:left w:val="none" w:sz="0" w:space="0" w:color="auto"/>
                <w:bottom w:val="none" w:sz="0" w:space="0" w:color="auto"/>
                <w:right w:val="none" w:sz="0" w:space="0" w:color="auto"/>
              </w:divBdr>
              <w:divsChild>
                <w:div w:id="6803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43633407">
      <w:bodyDiv w:val="1"/>
      <w:marLeft w:val="0"/>
      <w:marRight w:val="0"/>
      <w:marTop w:val="0"/>
      <w:marBottom w:val="0"/>
      <w:divBdr>
        <w:top w:val="none" w:sz="0" w:space="0" w:color="auto"/>
        <w:left w:val="none" w:sz="0" w:space="0" w:color="auto"/>
        <w:bottom w:val="none" w:sz="0" w:space="0" w:color="auto"/>
        <w:right w:val="none" w:sz="0" w:space="0" w:color="auto"/>
      </w:divBdr>
    </w:div>
    <w:div w:id="2060544512">
      <w:bodyDiv w:val="1"/>
      <w:marLeft w:val="0"/>
      <w:marRight w:val="0"/>
      <w:marTop w:val="0"/>
      <w:marBottom w:val="0"/>
      <w:divBdr>
        <w:top w:val="none" w:sz="0" w:space="0" w:color="auto"/>
        <w:left w:val="none" w:sz="0" w:space="0" w:color="auto"/>
        <w:bottom w:val="none" w:sz="0" w:space="0" w:color="auto"/>
        <w:right w:val="none" w:sz="0" w:space="0" w:color="auto"/>
      </w:divBdr>
      <w:divsChild>
        <w:div w:id="1752770686">
          <w:marLeft w:val="0"/>
          <w:marRight w:val="0"/>
          <w:marTop w:val="0"/>
          <w:marBottom w:val="0"/>
          <w:divBdr>
            <w:top w:val="none" w:sz="0" w:space="0" w:color="auto"/>
            <w:left w:val="none" w:sz="0" w:space="0" w:color="auto"/>
            <w:bottom w:val="none" w:sz="0" w:space="0" w:color="auto"/>
            <w:right w:val="none" w:sz="0" w:space="0" w:color="auto"/>
          </w:divBdr>
          <w:divsChild>
            <w:div w:id="286472869">
              <w:marLeft w:val="0"/>
              <w:marRight w:val="0"/>
              <w:marTop w:val="0"/>
              <w:marBottom w:val="0"/>
              <w:divBdr>
                <w:top w:val="none" w:sz="0" w:space="0" w:color="auto"/>
                <w:left w:val="none" w:sz="0" w:space="0" w:color="auto"/>
                <w:bottom w:val="none" w:sz="0" w:space="0" w:color="auto"/>
                <w:right w:val="none" w:sz="0" w:space="0" w:color="auto"/>
              </w:divBdr>
              <w:divsChild>
                <w:div w:id="1268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1804">
      <w:bodyDiv w:val="1"/>
      <w:marLeft w:val="0"/>
      <w:marRight w:val="0"/>
      <w:marTop w:val="0"/>
      <w:marBottom w:val="0"/>
      <w:divBdr>
        <w:top w:val="none" w:sz="0" w:space="0" w:color="auto"/>
        <w:left w:val="none" w:sz="0" w:space="0" w:color="auto"/>
        <w:bottom w:val="none" w:sz="0" w:space="0" w:color="auto"/>
        <w:right w:val="none" w:sz="0" w:space="0" w:color="auto"/>
      </w:divBdr>
      <w:divsChild>
        <w:div w:id="1856191632">
          <w:marLeft w:val="0"/>
          <w:marRight w:val="0"/>
          <w:marTop w:val="0"/>
          <w:marBottom w:val="0"/>
          <w:divBdr>
            <w:top w:val="none" w:sz="0" w:space="0" w:color="auto"/>
            <w:left w:val="none" w:sz="0" w:space="0" w:color="auto"/>
            <w:bottom w:val="none" w:sz="0" w:space="0" w:color="auto"/>
            <w:right w:val="none" w:sz="0" w:space="0" w:color="auto"/>
          </w:divBdr>
          <w:divsChild>
            <w:div w:id="1941373771">
              <w:marLeft w:val="0"/>
              <w:marRight w:val="0"/>
              <w:marTop w:val="0"/>
              <w:marBottom w:val="0"/>
              <w:divBdr>
                <w:top w:val="none" w:sz="0" w:space="0" w:color="auto"/>
                <w:left w:val="none" w:sz="0" w:space="0" w:color="auto"/>
                <w:bottom w:val="none" w:sz="0" w:space="0" w:color="auto"/>
                <w:right w:val="none" w:sz="0" w:space="0" w:color="auto"/>
              </w:divBdr>
              <w:divsChild>
                <w:div w:id="16821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49575">
      <w:bodyDiv w:val="1"/>
      <w:marLeft w:val="0"/>
      <w:marRight w:val="0"/>
      <w:marTop w:val="0"/>
      <w:marBottom w:val="0"/>
      <w:divBdr>
        <w:top w:val="none" w:sz="0" w:space="0" w:color="auto"/>
        <w:left w:val="none" w:sz="0" w:space="0" w:color="auto"/>
        <w:bottom w:val="none" w:sz="0" w:space="0" w:color="auto"/>
        <w:right w:val="none" w:sz="0" w:space="0" w:color="auto"/>
      </w:divBdr>
    </w:div>
    <w:div w:id="2108187844">
      <w:bodyDiv w:val="1"/>
      <w:marLeft w:val="0"/>
      <w:marRight w:val="0"/>
      <w:marTop w:val="0"/>
      <w:marBottom w:val="0"/>
      <w:divBdr>
        <w:top w:val="none" w:sz="0" w:space="0" w:color="auto"/>
        <w:left w:val="none" w:sz="0" w:space="0" w:color="auto"/>
        <w:bottom w:val="none" w:sz="0" w:space="0" w:color="auto"/>
        <w:right w:val="none" w:sz="0" w:space="0" w:color="auto"/>
      </w:divBdr>
      <w:divsChild>
        <w:div w:id="2099935457">
          <w:marLeft w:val="0"/>
          <w:marRight w:val="0"/>
          <w:marTop w:val="0"/>
          <w:marBottom w:val="0"/>
          <w:divBdr>
            <w:top w:val="none" w:sz="0" w:space="0" w:color="auto"/>
            <w:left w:val="none" w:sz="0" w:space="0" w:color="auto"/>
            <w:bottom w:val="none" w:sz="0" w:space="0" w:color="auto"/>
            <w:right w:val="none" w:sz="0" w:space="0" w:color="auto"/>
          </w:divBdr>
          <w:divsChild>
            <w:div w:id="1894071984">
              <w:marLeft w:val="0"/>
              <w:marRight w:val="0"/>
              <w:marTop w:val="0"/>
              <w:marBottom w:val="0"/>
              <w:divBdr>
                <w:top w:val="none" w:sz="0" w:space="0" w:color="auto"/>
                <w:left w:val="none" w:sz="0" w:space="0" w:color="auto"/>
                <w:bottom w:val="none" w:sz="0" w:space="0" w:color="auto"/>
                <w:right w:val="none" w:sz="0" w:space="0" w:color="auto"/>
              </w:divBdr>
              <w:divsChild>
                <w:div w:id="2767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83232">
      <w:bodyDiv w:val="1"/>
      <w:marLeft w:val="0"/>
      <w:marRight w:val="0"/>
      <w:marTop w:val="0"/>
      <w:marBottom w:val="0"/>
      <w:divBdr>
        <w:top w:val="none" w:sz="0" w:space="0" w:color="auto"/>
        <w:left w:val="none" w:sz="0" w:space="0" w:color="auto"/>
        <w:bottom w:val="none" w:sz="0" w:space="0" w:color="auto"/>
        <w:right w:val="none" w:sz="0" w:space="0" w:color="auto"/>
      </w:divBdr>
      <w:divsChild>
        <w:div w:id="1220433516">
          <w:marLeft w:val="0"/>
          <w:marRight w:val="0"/>
          <w:marTop w:val="0"/>
          <w:marBottom w:val="0"/>
          <w:divBdr>
            <w:top w:val="none" w:sz="0" w:space="0" w:color="auto"/>
            <w:left w:val="none" w:sz="0" w:space="0" w:color="auto"/>
            <w:bottom w:val="none" w:sz="0" w:space="0" w:color="auto"/>
            <w:right w:val="none" w:sz="0" w:space="0" w:color="auto"/>
          </w:divBdr>
          <w:divsChild>
            <w:div w:id="336737969">
              <w:marLeft w:val="0"/>
              <w:marRight w:val="0"/>
              <w:marTop w:val="0"/>
              <w:marBottom w:val="0"/>
              <w:divBdr>
                <w:top w:val="none" w:sz="0" w:space="0" w:color="auto"/>
                <w:left w:val="none" w:sz="0" w:space="0" w:color="auto"/>
                <w:bottom w:val="none" w:sz="0" w:space="0" w:color="auto"/>
                <w:right w:val="none" w:sz="0" w:space="0" w:color="auto"/>
              </w:divBdr>
              <w:divsChild>
                <w:div w:id="10805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0" ma:contentTypeDescription="Create a new document." ma:contentTypeScope="" ma:versionID="3971ab932d864ccae1821e6cda6cfb16">
  <xsd:schema xmlns:xsd="http://www.w3.org/2001/XMLSchema" xmlns:xs="http://www.w3.org/2001/XMLSchema" xmlns:p="http://schemas.microsoft.com/office/2006/metadata/properties" xmlns:ns3="18f1ece0-6612-47c8-941d-14a5148bb64f" targetNamespace="http://schemas.microsoft.com/office/2006/metadata/properties" ma:root="true" ma:fieldsID="0339965a9141169c220d8fe86f7bc3ce" ns3:_="">
    <xsd:import namespace="18f1ece0-6612-47c8-941d-14a5148bb6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6087-66E0-475A-9F63-00CA7958D2A1}">
  <ds:schemaRefs>
    <ds:schemaRef ds:uri="http://purl.org/dc/dcmitype/"/>
    <ds:schemaRef ds:uri="18f1ece0-6612-47c8-941d-14a5148bb64f"/>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07D14A3-C945-46F3-945D-5CC9B373789D}">
  <ds:schemaRefs>
    <ds:schemaRef ds:uri="http://schemas.microsoft.com/sharepoint/v3/contenttype/forms"/>
  </ds:schemaRefs>
</ds:datastoreItem>
</file>

<file path=customXml/itemProps3.xml><?xml version="1.0" encoding="utf-8"?>
<ds:datastoreItem xmlns:ds="http://schemas.openxmlformats.org/officeDocument/2006/customXml" ds:itemID="{ED8B2040-843D-4279-BB7D-F7C4E62D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ece0-6612-47c8-941d-14a5148b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CEE9D-DDE1-462F-B501-B1F37D1F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3153</Words>
  <Characters>17978</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Helena Begley</cp:lastModifiedBy>
  <cp:revision>2</cp:revision>
  <cp:lastPrinted>2018-04-20T11:30:00Z</cp:lastPrinted>
  <dcterms:created xsi:type="dcterms:W3CDTF">2021-03-19T09:29:00Z</dcterms:created>
  <dcterms:modified xsi:type="dcterms:W3CDTF">2021-03-19T09:29:00Z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