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3BE15" w14:textId="77777777" w:rsidR="00F31387" w:rsidRDefault="00F31387" w:rsidP="003B7D0E">
      <w:pPr>
        <w:pStyle w:val="BasicParagraph"/>
        <w:suppressAutoHyphens/>
        <w:jc w:val="center"/>
        <w:rPr>
          <w:rFonts w:ascii="Verdana" w:hAnsi="Verdana" w:cs="Arial"/>
          <w:b/>
          <w:bCs/>
          <w:color w:val="734791"/>
          <w:sz w:val="36"/>
          <w:szCs w:val="36"/>
        </w:rPr>
      </w:pPr>
      <w:bookmarkStart w:id="0" w:name="_GoBack"/>
      <w:bookmarkEnd w:id="0"/>
      <w:r w:rsidRPr="00EA12CE">
        <w:rPr>
          <w:rFonts w:ascii="Verdana" w:hAnsi="Verdana" w:cs="Arial"/>
          <w:b/>
          <w:bCs/>
          <w:noProof/>
          <w:color w:val="734791"/>
          <w:sz w:val="36"/>
          <w:szCs w:val="36"/>
          <w:lang w:eastAsia="en-GB"/>
        </w:rPr>
        <w:drawing>
          <wp:inline distT="0" distB="0" distL="0" distR="0" wp14:anchorId="757C9B7E" wp14:editId="48661D0B">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7CE03259" w14:textId="77777777" w:rsidR="003B7D0E" w:rsidRPr="00EA12CE" w:rsidRDefault="003B7D0E" w:rsidP="003B7D0E">
      <w:pPr>
        <w:pStyle w:val="BasicParagraph"/>
        <w:suppressAutoHyphens/>
        <w:jc w:val="center"/>
        <w:rPr>
          <w:rFonts w:ascii="Verdana" w:hAnsi="Verdana" w:cs="Arial"/>
          <w:b/>
          <w:bCs/>
          <w:color w:val="734791"/>
          <w:sz w:val="36"/>
          <w:szCs w:val="36"/>
        </w:rPr>
      </w:pPr>
    </w:p>
    <w:p w14:paraId="3FF870F3" w14:textId="77777777" w:rsidR="00F51A88" w:rsidRDefault="00F51A88" w:rsidP="00F51A88">
      <w:pPr>
        <w:pStyle w:val="BasicParagraph"/>
        <w:suppressAutoHyphens/>
        <w:jc w:val="center"/>
        <w:rPr>
          <w:rFonts w:ascii="Verdana" w:hAnsi="Verdana" w:cs="Arial"/>
          <w:b/>
          <w:bCs/>
          <w:color w:val="77328A"/>
          <w:sz w:val="36"/>
          <w:szCs w:val="36"/>
        </w:rPr>
      </w:pPr>
      <w:r>
        <w:rPr>
          <w:rFonts w:ascii="Verdana" w:hAnsi="Verdana" w:cs="Arial"/>
          <w:b/>
          <w:bCs/>
          <w:color w:val="77328A"/>
          <w:sz w:val="36"/>
          <w:szCs w:val="36"/>
        </w:rPr>
        <w:t>NIHRC Response to the Department of Justice Consultation</w:t>
      </w:r>
      <w:r w:rsidRPr="00F51A88">
        <w:rPr>
          <w:rFonts w:ascii="Verdana" w:hAnsi="Verdana" w:cs="Arial"/>
          <w:b/>
          <w:bCs/>
          <w:color w:val="77328A"/>
          <w:sz w:val="36"/>
          <w:szCs w:val="36"/>
        </w:rPr>
        <w:t xml:space="preserve"> on enhancing legal protections for victims of domestic abuse</w:t>
      </w:r>
    </w:p>
    <w:p w14:paraId="3911F46B" w14:textId="77777777" w:rsidR="0096459E" w:rsidRPr="003B7D0E" w:rsidRDefault="0096459E" w:rsidP="003B7D0E">
      <w:pPr>
        <w:pStyle w:val="BasicParagraph"/>
        <w:suppressAutoHyphens/>
        <w:jc w:val="center"/>
        <w:rPr>
          <w:rFonts w:ascii="Verdana" w:hAnsi="Verdana" w:cs="Arial"/>
          <w:b/>
          <w:color w:val="77328A"/>
          <w:sz w:val="36"/>
          <w:szCs w:val="36"/>
        </w:rPr>
      </w:pPr>
    </w:p>
    <w:p w14:paraId="00DA740F" w14:textId="77777777" w:rsidR="00F31387" w:rsidRPr="00331C61" w:rsidRDefault="00F31387" w:rsidP="003B7D0E">
      <w:pPr>
        <w:pStyle w:val="Default"/>
        <w:jc w:val="center"/>
        <w:rPr>
          <w:rFonts w:cs="Arial"/>
          <w:color w:val="232120"/>
          <w:sz w:val="36"/>
          <w:szCs w:val="36"/>
        </w:rPr>
      </w:pPr>
    </w:p>
    <w:p w14:paraId="57A305FD" w14:textId="77777777" w:rsidR="00046705" w:rsidRPr="00331C61" w:rsidRDefault="00F51A88" w:rsidP="003B7D0E">
      <w:pPr>
        <w:jc w:val="center"/>
        <w:rPr>
          <w:rFonts w:ascii="Verdana" w:hAnsi="Verdana" w:cs="Arial"/>
          <w:b/>
          <w:color w:val="232120"/>
          <w:sz w:val="28"/>
          <w:szCs w:val="28"/>
        </w:rPr>
      </w:pPr>
      <w:r>
        <w:rPr>
          <w:rFonts w:ascii="Verdana" w:hAnsi="Verdana" w:cs="Arial"/>
          <w:b/>
          <w:color w:val="232120"/>
          <w:sz w:val="30"/>
          <w:szCs w:val="30"/>
        </w:rPr>
        <w:t>February 2021</w:t>
      </w:r>
    </w:p>
    <w:p w14:paraId="2429B100" w14:textId="77777777" w:rsidR="00046705" w:rsidRPr="00331C61" w:rsidRDefault="00046705" w:rsidP="003B7D0E">
      <w:pPr>
        <w:jc w:val="center"/>
        <w:rPr>
          <w:rFonts w:ascii="Verdana" w:hAnsi="Verdana" w:cs="Arial"/>
          <w:b/>
          <w:color w:val="232120"/>
          <w:sz w:val="28"/>
          <w:szCs w:val="28"/>
        </w:rPr>
      </w:pPr>
    </w:p>
    <w:p w14:paraId="6E781621" w14:textId="77777777" w:rsidR="00EA12CE" w:rsidRPr="00331C61" w:rsidRDefault="00EA12CE" w:rsidP="003B7D0E">
      <w:pPr>
        <w:pStyle w:val="Default"/>
        <w:jc w:val="center"/>
        <w:rPr>
          <w:rFonts w:cs="Arial"/>
          <w:b/>
          <w:color w:val="232120"/>
          <w:sz w:val="28"/>
          <w:szCs w:val="28"/>
          <w:lang w:val="en-GB"/>
        </w:rPr>
      </w:pPr>
    </w:p>
    <w:p w14:paraId="0FF5D49F" w14:textId="77777777" w:rsidR="003B7D0E" w:rsidRPr="00331C61" w:rsidRDefault="003B7D0E" w:rsidP="003B7D0E">
      <w:pPr>
        <w:pStyle w:val="Default"/>
        <w:spacing w:line="480" w:lineRule="auto"/>
        <w:jc w:val="center"/>
        <w:rPr>
          <w:rFonts w:cs="Arial"/>
          <w:b/>
          <w:color w:val="232120"/>
          <w:sz w:val="36"/>
          <w:szCs w:val="36"/>
        </w:rPr>
      </w:pPr>
    </w:p>
    <w:p w14:paraId="64EA8923" w14:textId="77777777" w:rsidR="003B7D0E" w:rsidRDefault="003B7D0E" w:rsidP="003B7D0E">
      <w:pPr>
        <w:pStyle w:val="Default"/>
        <w:spacing w:line="480" w:lineRule="auto"/>
        <w:jc w:val="center"/>
        <w:rPr>
          <w:rFonts w:cs="Arial"/>
          <w:b/>
          <w:color w:val="232120"/>
          <w:sz w:val="36"/>
          <w:szCs w:val="36"/>
        </w:rPr>
      </w:pPr>
    </w:p>
    <w:p w14:paraId="149BF875" w14:textId="77777777" w:rsidR="0096459E" w:rsidRPr="00331C61" w:rsidRDefault="0096459E" w:rsidP="003B7D0E">
      <w:pPr>
        <w:pStyle w:val="Default"/>
        <w:spacing w:line="480" w:lineRule="auto"/>
        <w:jc w:val="center"/>
        <w:rPr>
          <w:rFonts w:cs="Arial"/>
          <w:b/>
          <w:color w:val="232120"/>
          <w:sz w:val="36"/>
          <w:szCs w:val="36"/>
        </w:rPr>
      </w:pPr>
    </w:p>
    <w:p w14:paraId="3E9753D5" w14:textId="77777777" w:rsidR="003B7D0E" w:rsidRPr="00331C61" w:rsidRDefault="003B7D0E" w:rsidP="003B7D0E">
      <w:pPr>
        <w:pStyle w:val="Default"/>
        <w:spacing w:line="480" w:lineRule="auto"/>
        <w:jc w:val="center"/>
        <w:rPr>
          <w:rFonts w:cs="Arial"/>
          <w:b/>
          <w:color w:val="232120"/>
          <w:sz w:val="36"/>
          <w:szCs w:val="36"/>
        </w:rPr>
      </w:pPr>
    </w:p>
    <w:p w14:paraId="4E77D61D" w14:textId="77777777" w:rsidR="00EA12CE" w:rsidRPr="00562673" w:rsidRDefault="00EA12CE" w:rsidP="00331C61">
      <w:pPr>
        <w:pStyle w:val="Default"/>
        <w:spacing w:line="480" w:lineRule="auto"/>
        <w:rPr>
          <w:rFonts w:cs="Arial"/>
          <w:b/>
          <w:color w:val="3C3C3B"/>
          <w:sz w:val="36"/>
          <w:szCs w:val="36"/>
        </w:rPr>
      </w:pPr>
      <w:r w:rsidRPr="00562673">
        <w:rPr>
          <w:rFonts w:cs="Arial"/>
          <w:b/>
          <w:color w:val="77328A"/>
          <w:sz w:val="36"/>
          <w:szCs w:val="36"/>
        </w:rPr>
        <w:lastRenderedPageBreak/>
        <w:t>Table of Contents</w:t>
      </w:r>
    </w:p>
    <w:sdt>
      <w:sdtPr>
        <w:rPr>
          <w:rFonts w:ascii="Verdana" w:hAnsi="Verdana"/>
          <w:b w:val="0"/>
          <w:noProof w:val="0"/>
        </w:rPr>
        <w:id w:val="-1457245023"/>
        <w:docPartObj>
          <w:docPartGallery w:val="Table of Contents"/>
          <w:docPartUnique/>
        </w:docPartObj>
      </w:sdtPr>
      <w:sdtEndPr>
        <w:rPr>
          <w:rFonts w:asciiTheme="minorHAnsi" w:hAnsiTheme="minorHAnsi"/>
          <w:bCs/>
        </w:rPr>
      </w:sdtEndPr>
      <w:sdtContent>
        <w:p w14:paraId="36D2A5D0" w14:textId="0442601F" w:rsidR="004B684F" w:rsidRDefault="00CA69C2">
          <w:pPr>
            <w:pStyle w:val="TOC1"/>
            <w:rPr>
              <w:rFonts w:ascii="Verdana" w:hAnsi="Verdana"/>
            </w:rPr>
          </w:pPr>
          <w:r w:rsidRPr="00562673">
            <w:rPr>
              <w:rFonts w:ascii="Verdana" w:eastAsiaTheme="majorEastAsia" w:hAnsi="Verdana" w:cstheme="majorBidi"/>
              <w:noProof w:val="0"/>
              <w:sz w:val="22"/>
              <w:szCs w:val="22"/>
              <w:lang w:val="en-US"/>
            </w:rPr>
            <w:fldChar w:fldCharType="begin"/>
          </w:r>
          <w:r w:rsidRPr="00562673">
            <w:rPr>
              <w:rFonts w:ascii="Verdana" w:hAnsi="Verdana"/>
              <w:sz w:val="22"/>
              <w:szCs w:val="22"/>
            </w:rPr>
            <w:instrText xml:space="preserve"> TOC \o "1-3" \h \z \u </w:instrText>
          </w:r>
          <w:r w:rsidRPr="00562673">
            <w:rPr>
              <w:rFonts w:ascii="Verdana" w:eastAsiaTheme="majorEastAsia" w:hAnsi="Verdana" w:cstheme="majorBidi"/>
              <w:noProof w:val="0"/>
              <w:sz w:val="22"/>
              <w:szCs w:val="22"/>
              <w:lang w:val="en-US"/>
            </w:rPr>
            <w:fldChar w:fldCharType="separate"/>
          </w:r>
          <w:hyperlink w:anchor="_Toc63782241" w:history="1">
            <w:r w:rsidR="004B684F" w:rsidRPr="00363404">
              <w:rPr>
                <w:rStyle w:val="Hyperlink"/>
                <w:rFonts w:ascii="Verdana" w:hAnsi="Verdana"/>
              </w:rPr>
              <w:t>1.0</w:t>
            </w:r>
            <w:r w:rsidR="004B684F" w:rsidRPr="00363404">
              <w:rPr>
                <w:rFonts w:ascii="Verdana" w:hAnsi="Verdana"/>
                <w:b w:val="0"/>
                <w:sz w:val="22"/>
                <w:szCs w:val="22"/>
                <w:lang w:eastAsia="en-GB"/>
              </w:rPr>
              <w:tab/>
            </w:r>
            <w:r w:rsidR="004B684F" w:rsidRPr="00363404">
              <w:rPr>
                <w:rStyle w:val="Hyperlink"/>
                <w:rFonts w:ascii="Verdana" w:hAnsi="Verdana"/>
              </w:rPr>
              <w:t>Introduction</w:t>
            </w:r>
            <w:r w:rsidR="004B684F" w:rsidRPr="00363404">
              <w:rPr>
                <w:rFonts w:ascii="Verdana" w:hAnsi="Verdana"/>
                <w:webHidden/>
              </w:rPr>
              <w:tab/>
            </w:r>
            <w:r w:rsidR="004B684F" w:rsidRPr="00363404">
              <w:rPr>
                <w:rFonts w:ascii="Verdana" w:hAnsi="Verdana"/>
                <w:webHidden/>
              </w:rPr>
              <w:fldChar w:fldCharType="begin"/>
            </w:r>
            <w:r w:rsidR="004B684F" w:rsidRPr="00363404">
              <w:rPr>
                <w:rFonts w:ascii="Verdana" w:hAnsi="Verdana"/>
                <w:webHidden/>
              </w:rPr>
              <w:instrText xml:space="preserve"> PAGEREF _Toc63782241 \h </w:instrText>
            </w:r>
            <w:r w:rsidR="004B684F" w:rsidRPr="00363404">
              <w:rPr>
                <w:rFonts w:ascii="Verdana" w:hAnsi="Verdana"/>
                <w:webHidden/>
              </w:rPr>
            </w:r>
            <w:r w:rsidR="004B684F" w:rsidRPr="00363404">
              <w:rPr>
                <w:rFonts w:ascii="Verdana" w:hAnsi="Verdana"/>
                <w:webHidden/>
              </w:rPr>
              <w:fldChar w:fldCharType="separate"/>
            </w:r>
            <w:r w:rsidR="00EB6B6F">
              <w:rPr>
                <w:rFonts w:ascii="Verdana" w:hAnsi="Verdana"/>
                <w:webHidden/>
              </w:rPr>
              <w:t>5</w:t>
            </w:r>
            <w:r w:rsidR="004B684F" w:rsidRPr="00363404">
              <w:rPr>
                <w:rFonts w:ascii="Verdana" w:hAnsi="Verdana"/>
                <w:webHidden/>
              </w:rPr>
              <w:fldChar w:fldCharType="end"/>
            </w:r>
          </w:hyperlink>
        </w:p>
        <w:p w14:paraId="376161B5" w14:textId="77777777" w:rsidR="003B24C3" w:rsidRPr="003B24C3" w:rsidRDefault="003B24C3" w:rsidP="003B24C3"/>
        <w:p w14:paraId="4A2FF4FA" w14:textId="7D668943" w:rsidR="004B684F" w:rsidRDefault="00310F19">
          <w:pPr>
            <w:pStyle w:val="TOC1"/>
            <w:rPr>
              <w:rFonts w:ascii="Verdana" w:hAnsi="Verdana"/>
            </w:rPr>
          </w:pPr>
          <w:hyperlink w:anchor="_Toc63782242" w:history="1">
            <w:r w:rsidR="004B684F" w:rsidRPr="00363404">
              <w:rPr>
                <w:rStyle w:val="Hyperlink"/>
                <w:rFonts w:ascii="Verdana" w:hAnsi="Verdana"/>
              </w:rPr>
              <w:t>2.0</w:t>
            </w:r>
            <w:r w:rsidR="004B684F" w:rsidRPr="00363404">
              <w:rPr>
                <w:rFonts w:ascii="Verdana" w:hAnsi="Verdana"/>
                <w:b w:val="0"/>
                <w:sz w:val="22"/>
                <w:szCs w:val="22"/>
                <w:lang w:eastAsia="en-GB"/>
              </w:rPr>
              <w:tab/>
            </w:r>
            <w:r w:rsidR="004B684F" w:rsidRPr="00363404">
              <w:rPr>
                <w:rStyle w:val="Hyperlink"/>
                <w:rFonts w:ascii="Verdana" w:hAnsi="Verdana"/>
              </w:rPr>
              <w:t>Background</w:t>
            </w:r>
            <w:r w:rsidR="004B684F" w:rsidRPr="00363404">
              <w:rPr>
                <w:rFonts w:ascii="Verdana" w:hAnsi="Verdana"/>
                <w:webHidden/>
              </w:rPr>
              <w:tab/>
            </w:r>
            <w:r w:rsidR="004B684F" w:rsidRPr="00363404">
              <w:rPr>
                <w:rFonts w:ascii="Verdana" w:hAnsi="Verdana"/>
                <w:webHidden/>
              </w:rPr>
              <w:fldChar w:fldCharType="begin"/>
            </w:r>
            <w:r w:rsidR="004B684F" w:rsidRPr="00363404">
              <w:rPr>
                <w:rFonts w:ascii="Verdana" w:hAnsi="Verdana"/>
                <w:webHidden/>
              </w:rPr>
              <w:instrText xml:space="preserve"> PAGEREF _Toc63782242 \h </w:instrText>
            </w:r>
            <w:r w:rsidR="004B684F" w:rsidRPr="00363404">
              <w:rPr>
                <w:rFonts w:ascii="Verdana" w:hAnsi="Verdana"/>
                <w:webHidden/>
              </w:rPr>
            </w:r>
            <w:r w:rsidR="004B684F" w:rsidRPr="00363404">
              <w:rPr>
                <w:rFonts w:ascii="Verdana" w:hAnsi="Verdana"/>
                <w:webHidden/>
              </w:rPr>
              <w:fldChar w:fldCharType="separate"/>
            </w:r>
            <w:r w:rsidR="00EB6B6F">
              <w:rPr>
                <w:rFonts w:ascii="Verdana" w:hAnsi="Verdana"/>
                <w:webHidden/>
              </w:rPr>
              <w:t>6</w:t>
            </w:r>
            <w:r w:rsidR="004B684F" w:rsidRPr="00363404">
              <w:rPr>
                <w:rFonts w:ascii="Verdana" w:hAnsi="Verdana"/>
                <w:webHidden/>
              </w:rPr>
              <w:fldChar w:fldCharType="end"/>
            </w:r>
          </w:hyperlink>
        </w:p>
        <w:p w14:paraId="267C64C3" w14:textId="77777777" w:rsidR="003B24C3" w:rsidRPr="003B24C3" w:rsidRDefault="003B24C3" w:rsidP="003B24C3"/>
        <w:p w14:paraId="2CD6018C" w14:textId="3A7DFD74" w:rsidR="004B684F" w:rsidRPr="00363404" w:rsidRDefault="00310F19">
          <w:pPr>
            <w:pStyle w:val="TOC1"/>
            <w:rPr>
              <w:rFonts w:ascii="Verdana" w:hAnsi="Verdana"/>
              <w:b w:val="0"/>
              <w:sz w:val="22"/>
              <w:szCs w:val="22"/>
              <w:lang w:eastAsia="en-GB"/>
            </w:rPr>
          </w:pPr>
          <w:hyperlink w:anchor="_Toc63782243" w:history="1">
            <w:r w:rsidR="004B684F" w:rsidRPr="00363404">
              <w:rPr>
                <w:rStyle w:val="Hyperlink"/>
                <w:rFonts w:ascii="Verdana" w:hAnsi="Verdana"/>
              </w:rPr>
              <w:t>3.0 Human Rights Standards</w:t>
            </w:r>
            <w:r w:rsidR="004B684F" w:rsidRPr="00363404">
              <w:rPr>
                <w:rFonts w:ascii="Verdana" w:hAnsi="Verdana"/>
                <w:webHidden/>
              </w:rPr>
              <w:tab/>
            </w:r>
            <w:r w:rsidR="004B684F" w:rsidRPr="00363404">
              <w:rPr>
                <w:rFonts w:ascii="Verdana" w:hAnsi="Verdana"/>
                <w:webHidden/>
              </w:rPr>
              <w:fldChar w:fldCharType="begin"/>
            </w:r>
            <w:r w:rsidR="004B684F" w:rsidRPr="00363404">
              <w:rPr>
                <w:rFonts w:ascii="Verdana" w:hAnsi="Verdana"/>
                <w:webHidden/>
              </w:rPr>
              <w:instrText xml:space="preserve"> PAGEREF _Toc63782243 \h </w:instrText>
            </w:r>
            <w:r w:rsidR="004B684F" w:rsidRPr="00363404">
              <w:rPr>
                <w:rFonts w:ascii="Verdana" w:hAnsi="Verdana"/>
                <w:webHidden/>
              </w:rPr>
            </w:r>
            <w:r w:rsidR="004B684F" w:rsidRPr="00363404">
              <w:rPr>
                <w:rFonts w:ascii="Verdana" w:hAnsi="Verdana"/>
                <w:webHidden/>
              </w:rPr>
              <w:fldChar w:fldCharType="separate"/>
            </w:r>
            <w:r w:rsidR="00EB6B6F">
              <w:rPr>
                <w:rFonts w:ascii="Verdana" w:hAnsi="Verdana"/>
                <w:webHidden/>
              </w:rPr>
              <w:t>8</w:t>
            </w:r>
            <w:r w:rsidR="004B684F" w:rsidRPr="00363404">
              <w:rPr>
                <w:rFonts w:ascii="Verdana" w:hAnsi="Verdana"/>
                <w:webHidden/>
              </w:rPr>
              <w:fldChar w:fldCharType="end"/>
            </w:r>
          </w:hyperlink>
        </w:p>
        <w:p w14:paraId="290632D3" w14:textId="2711926F" w:rsidR="004B684F" w:rsidRPr="00363404" w:rsidRDefault="00310F19">
          <w:pPr>
            <w:pStyle w:val="TOC2"/>
            <w:tabs>
              <w:tab w:val="right" w:leader="dot" w:pos="9848"/>
            </w:tabs>
            <w:rPr>
              <w:rFonts w:ascii="Verdana" w:hAnsi="Verdana"/>
              <w:noProof/>
              <w:sz w:val="22"/>
              <w:szCs w:val="22"/>
              <w:lang w:eastAsia="en-GB"/>
            </w:rPr>
          </w:pPr>
          <w:hyperlink w:anchor="_Toc63782244" w:history="1">
            <w:r w:rsidR="004B684F" w:rsidRPr="00363404">
              <w:rPr>
                <w:rStyle w:val="Hyperlink"/>
                <w:rFonts w:ascii="Verdana" w:hAnsi="Verdana"/>
                <w:noProof/>
              </w:rPr>
              <w:t>European Convention Human Rights</w:t>
            </w:r>
            <w:r w:rsidR="004B684F" w:rsidRPr="00363404">
              <w:rPr>
                <w:rFonts w:ascii="Verdana" w:hAnsi="Verdana"/>
                <w:noProof/>
                <w:webHidden/>
              </w:rPr>
              <w:tab/>
            </w:r>
            <w:r w:rsidR="004B684F" w:rsidRPr="00363404">
              <w:rPr>
                <w:rFonts w:ascii="Verdana" w:hAnsi="Verdana"/>
                <w:noProof/>
                <w:webHidden/>
              </w:rPr>
              <w:fldChar w:fldCharType="begin"/>
            </w:r>
            <w:r w:rsidR="004B684F" w:rsidRPr="00363404">
              <w:rPr>
                <w:rFonts w:ascii="Verdana" w:hAnsi="Verdana"/>
                <w:noProof/>
                <w:webHidden/>
              </w:rPr>
              <w:instrText xml:space="preserve"> PAGEREF _Toc63782244 \h </w:instrText>
            </w:r>
            <w:r w:rsidR="004B684F" w:rsidRPr="00363404">
              <w:rPr>
                <w:rFonts w:ascii="Verdana" w:hAnsi="Verdana"/>
                <w:noProof/>
                <w:webHidden/>
              </w:rPr>
            </w:r>
            <w:r w:rsidR="004B684F" w:rsidRPr="00363404">
              <w:rPr>
                <w:rFonts w:ascii="Verdana" w:hAnsi="Verdana"/>
                <w:noProof/>
                <w:webHidden/>
              </w:rPr>
              <w:fldChar w:fldCharType="separate"/>
            </w:r>
            <w:r w:rsidR="00EB6B6F">
              <w:rPr>
                <w:rFonts w:ascii="Verdana" w:hAnsi="Verdana"/>
                <w:noProof/>
                <w:webHidden/>
              </w:rPr>
              <w:t>8</w:t>
            </w:r>
            <w:r w:rsidR="004B684F" w:rsidRPr="00363404">
              <w:rPr>
                <w:rFonts w:ascii="Verdana" w:hAnsi="Verdana"/>
                <w:noProof/>
                <w:webHidden/>
              </w:rPr>
              <w:fldChar w:fldCharType="end"/>
            </w:r>
          </w:hyperlink>
        </w:p>
        <w:p w14:paraId="6DD88FC2" w14:textId="6503D640" w:rsidR="004B684F" w:rsidRPr="00363404" w:rsidRDefault="00310F19">
          <w:pPr>
            <w:pStyle w:val="TOC2"/>
            <w:tabs>
              <w:tab w:val="right" w:leader="dot" w:pos="9848"/>
            </w:tabs>
            <w:rPr>
              <w:rFonts w:ascii="Verdana" w:hAnsi="Verdana"/>
              <w:noProof/>
              <w:sz w:val="22"/>
              <w:szCs w:val="22"/>
              <w:lang w:eastAsia="en-GB"/>
            </w:rPr>
          </w:pPr>
          <w:hyperlink w:anchor="_Toc63782245" w:history="1">
            <w:r w:rsidR="004B684F" w:rsidRPr="00363404">
              <w:rPr>
                <w:rStyle w:val="Hyperlink"/>
                <w:rFonts w:ascii="Verdana" w:hAnsi="Verdana"/>
                <w:noProof/>
              </w:rPr>
              <w:t>International Human Rights Standards</w:t>
            </w:r>
            <w:r w:rsidR="004B684F" w:rsidRPr="00363404">
              <w:rPr>
                <w:rFonts w:ascii="Verdana" w:hAnsi="Verdana"/>
                <w:noProof/>
                <w:webHidden/>
              </w:rPr>
              <w:tab/>
            </w:r>
            <w:r w:rsidR="004B684F" w:rsidRPr="00363404">
              <w:rPr>
                <w:rFonts w:ascii="Verdana" w:hAnsi="Verdana"/>
                <w:noProof/>
                <w:webHidden/>
              </w:rPr>
              <w:fldChar w:fldCharType="begin"/>
            </w:r>
            <w:r w:rsidR="004B684F" w:rsidRPr="00363404">
              <w:rPr>
                <w:rFonts w:ascii="Verdana" w:hAnsi="Verdana"/>
                <w:noProof/>
                <w:webHidden/>
              </w:rPr>
              <w:instrText xml:space="preserve"> PAGEREF _Toc63782245 \h </w:instrText>
            </w:r>
            <w:r w:rsidR="004B684F" w:rsidRPr="00363404">
              <w:rPr>
                <w:rFonts w:ascii="Verdana" w:hAnsi="Verdana"/>
                <w:noProof/>
                <w:webHidden/>
              </w:rPr>
            </w:r>
            <w:r w:rsidR="004B684F" w:rsidRPr="00363404">
              <w:rPr>
                <w:rFonts w:ascii="Verdana" w:hAnsi="Verdana"/>
                <w:noProof/>
                <w:webHidden/>
              </w:rPr>
              <w:fldChar w:fldCharType="separate"/>
            </w:r>
            <w:r w:rsidR="00EB6B6F">
              <w:rPr>
                <w:rFonts w:ascii="Verdana" w:hAnsi="Verdana"/>
                <w:noProof/>
                <w:webHidden/>
              </w:rPr>
              <w:t>9</w:t>
            </w:r>
            <w:r w:rsidR="004B684F" w:rsidRPr="00363404">
              <w:rPr>
                <w:rFonts w:ascii="Verdana" w:hAnsi="Verdana"/>
                <w:noProof/>
                <w:webHidden/>
              </w:rPr>
              <w:fldChar w:fldCharType="end"/>
            </w:r>
          </w:hyperlink>
        </w:p>
        <w:p w14:paraId="280FEDC7" w14:textId="1B98B67F" w:rsidR="004B684F" w:rsidRDefault="00310F19">
          <w:pPr>
            <w:pStyle w:val="TOC2"/>
            <w:tabs>
              <w:tab w:val="right" w:leader="dot" w:pos="9848"/>
            </w:tabs>
            <w:rPr>
              <w:rFonts w:ascii="Verdana" w:hAnsi="Verdana"/>
              <w:noProof/>
            </w:rPr>
          </w:pPr>
          <w:hyperlink w:anchor="_Toc63782246" w:history="1">
            <w:r w:rsidR="004B684F" w:rsidRPr="00363404">
              <w:rPr>
                <w:rStyle w:val="Hyperlink"/>
                <w:rFonts w:ascii="Verdana" w:hAnsi="Verdana"/>
                <w:noProof/>
              </w:rPr>
              <w:t>Istanbul Convention</w:t>
            </w:r>
            <w:r w:rsidR="004B684F" w:rsidRPr="00363404">
              <w:rPr>
                <w:rFonts w:ascii="Verdana" w:hAnsi="Verdana"/>
                <w:noProof/>
                <w:webHidden/>
              </w:rPr>
              <w:tab/>
            </w:r>
            <w:r w:rsidR="004B684F" w:rsidRPr="00363404">
              <w:rPr>
                <w:rFonts w:ascii="Verdana" w:hAnsi="Verdana"/>
                <w:noProof/>
                <w:webHidden/>
              </w:rPr>
              <w:fldChar w:fldCharType="begin"/>
            </w:r>
            <w:r w:rsidR="004B684F" w:rsidRPr="00363404">
              <w:rPr>
                <w:rFonts w:ascii="Verdana" w:hAnsi="Verdana"/>
                <w:noProof/>
                <w:webHidden/>
              </w:rPr>
              <w:instrText xml:space="preserve"> PAGEREF _Toc63782246 \h </w:instrText>
            </w:r>
            <w:r w:rsidR="004B684F" w:rsidRPr="00363404">
              <w:rPr>
                <w:rFonts w:ascii="Verdana" w:hAnsi="Verdana"/>
                <w:noProof/>
                <w:webHidden/>
              </w:rPr>
            </w:r>
            <w:r w:rsidR="004B684F" w:rsidRPr="00363404">
              <w:rPr>
                <w:rFonts w:ascii="Verdana" w:hAnsi="Verdana"/>
                <w:noProof/>
                <w:webHidden/>
              </w:rPr>
              <w:fldChar w:fldCharType="separate"/>
            </w:r>
            <w:r w:rsidR="00EB6B6F">
              <w:rPr>
                <w:rFonts w:ascii="Verdana" w:hAnsi="Verdana"/>
                <w:noProof/>
                <w:webHidden/>
              </w:rPr>
              <w:t>10</w:t>
            </w:r>
            <w:r w:rsidR="004B684F" w:rsidRPr="00363404">
              <w:rPr>
                <w:rFonts w:ascii="Verdana" w:hAnsi="Verdana"/>
                <w:noProof/>
                <w:webHidden/>
              </w:rPr>
              <w:fldChar w:fldCharType="end"/>
            </w:r>
          </w:hyperlink>
        </w:p>
        <w:p w14:paraId="5208BC82" w14:textId="77777777" w:rsidR="003B24C3" w:rsidRPr="003B24C3" w:rsidRDefault="003B24C3" w:rsidP="003B24C3"/>
        <w:p w14:paraId="0621BF24" w14:textId="60E8743A" w:rsidR="004B684F" w:rsidRPr="00363404" w:rsidRDefault="00310F19">
          <w:pPr>
            <w:pStyle w:val="TOC1"/>
            <w:rPr>
              <w:rFonts w:ascii="Verdana" w:hAnsi="Verdana"/>
              <w:b w:val="0"/>
              <w:sz w:val="22"/>
              <w:szCs w:val="22"/>
              <w:lang w:eastAsia="en-GB"/>
            </w:rPr>
          </w:pPr>
          <w:hyperlink w:anchor="_Toc63782247" w:history="1">
            <w:r w:rsidR="004B684F" w:rsidRPr="00363404">
              <w:rPr>
                <w:rStyle w:val="Hyperlink"/>
                <w:rFonts w:ascii="Verdana" w:hAnsi="Verdana"/>
              </w:rPr>
              <w:t>4.0</w:t>
            </w:r>
            <w:r w:rsidR="004B684F" w:rsidRPr="00363404">
              <w:rPr>
                <w:rFonts w:ascii="Verdana" w:hAnsi="Verdana"/>
                <w:b w:val="0"/>
                <w:sz w:val="22"/>
                <w:szCs w:val="22"/>
                <w:lang w:eastAsia="en-GB"/>
              </w:rPr>
              <w:tab/>
            </w:r>
            <w:r w:rsidR="004B684F" w:rsidRPr="00363404">
              <w:rPr>
                <w:rStyle w:val="Hyperlink"/>
                <w:rFonts w:ascii="Verdana" w:hAnsi="Verdana"/>
              </w:rPr>
              <w:t>Introduction of Domestic Abuse Protection Orders and Notices</w:t>
            </w:r>
            <w:r w:rsidR="004B684F" w:rsidRPr="00363404">
              <w:rPr>
                <w:rFonts w:ascii="Verdana" w:hAnsi="Verdana"/>
                <w:webHidden/>
              </w:rPr>
              <w:tab/>
            </w:r>
            <w:r w:rsidR="004B684F" w:rsidRPr="00363404">
              <w:rPr>
                <w:rFonts w:ascii="Verdana" w:hAnsi="Verdana"/>
                <w:webHidden/>
              </w:rPr>
              <w:fldChar w:fldCharType="begin"/>
            </w:r>
            <w:r w:rsidR="004B684F" w:rsidRPr="00363404">
              <w:rPr>
                <w:rFonts w:ascii="Verdana" w:hAnsi="Verdana"/>
                <w:webHidden/>
              </w:rPr>
              <w:instrText xml:space="preserve"> PAGEREF _Toc63782247 \h </w:instrText>
            </w:r>
            <w:r w:rsidR="004B684F" w:rsidRPr="00363404">
              <w:rPr>
                <w:rFonts w:ascii="Verdana" w:hAnsi="Verdana"/>
                <w:webHidden/>
              </w:rPr>
            </w:r>
            <w:r w:rsidR="004B684F" w:rsidRPr="00363404">
              <w:rPr>
                <w:rFonts w:ascii="Verdana" w:hAnsi="Verdana"/>
                <w:webHidden/>
              </w:rPr>
              <w:fldChar w:fldCharType="separate"/>
            </w:r>
            <w:r w:rsidR="00EB6B6F">
              <w:rPr>
                <w:rFonts w:ascii="Verdana" w:hAnsi="Verdana"/>
                <w:webHidden/>
              </w:rPr>
              <w:t>11</w:t>
            </w:r>
            <w:r w:rsidR="004B684F" w:rsidRPr="00363404">
              <w:rPr>
                <w:rFonts w:ascii="Verdana" w:hAnsi="Verdana"/>
                <w:webHidden/>
              </w:rPr>
              <w:fldChar w:fldCharType="end"/>
            </w:r>
          </w:hyperlink>
        </w:p>
        <w:p w14:paraId="57AE855E" w14:textId="6965DB9C" w:rsidR="004B684F" w:rsidRPr="00363404" w:rsidRDefault="00310F19">
          <w:pPr>
            <w:pStyle w:val="TOC2"/>
            <w:tabs>
              <w:tab w:val="right" w:leader="dot" w:pos="9848"/>
            </w:tabs>
            <w:rPr>
              <w:rFonts w:ascii="Verdana" w:hAnsi="Verdana"/>
              <w:noProof/>
              <w:sz w:val="22"/>
              <w:szCs w:val="22"/>
              <w:lang w:eastAsia="en-GB"/>
            </w:rPr>
          </w:pPr>
          <w:hyperlink w:anchor="_Toc63782248" w:history="1">
            <w:r w:rsidR="004B684F" w:rsidRPr="00363404">
              <w:rPr>
                <w:rStyle w:val="Hyperlink"/>
                <w:rFonts w:ascii="Verdana" w:hAnsi="Verdana"/>
                <w:noProof/>
              </w:rPr>
              <w:t>Third Party Application</w:t>
            </w:r>
            <w:r w:rsidR="004B684F" w:rsidRPr="00363404">
              <w:rPr>
                <w:rFonts w:ascii="Verdana" w:hAnsi="Verdana"/>
                <w:noProof/>
                <w:webHidden/>
              </w:rPr>
              <w:tab/>
            </w:r>
            <w:r w:rsidR="004B684F" w:rsidRPr="00363404">
              <w:rPr>
                <w:rFonts w:ascii="Verdana" w:hAnsi="Verdana"/>
                <w:noProof/>
                <w:webHidden/>
              </w:rPr>
              <w:fldChar w:fldCharType="begin"/>
            </w:r>
            <w:r w:rsidR="004B684F" w:rsidRPr="00363404">
              <w:rPr>
                <w:rFonts w:ascii="Verdana" w:hAnsi="Verdana"/>
                <w:noProof/>
                <w:webHidden/>
              </w:rPr>
              <w:instrText xml:space="preserve"> PAGEREF _Toc63782248 \h </w:instrText>
            </w:r>
            <w:r w:rsidR="004B684F" w:rsidRPr="00363404">
              <w:rPr>
                <w:rFonts w:ascii="Verdana" w:hAnsi="Verdana"/>
                <w:noProof/>
                <w:webHidden/>
              </w:rPr>
            </w:r>
            <w:r w:rsidR="004B684F" w:rsidRPr="00363404">
              <w:rPr>
                <w:rFonts w:ascii="Verdana" w:hAnsi="Verdana"/>
                <w:noProof/>
                <w:webHidden/>
              </w:rPr>
              <w:fldChar w:fldCharType="separate"/>
            </w:r>
            <w:r w:rsidR="00EB6B6F">
              <w:rPr>
                <w:rFonts w:ascii="Verdana" w:hAnsi="Verdana"/>
                <w:noProof/>
                <w:webHidden/>
              </w:rPr>
              <w:t>14</w:t>
            </w:r>
            <w:r w:rsidR="004B684F" w:rsidRPr="00363404">
              <w:rPr>
                <w:rFonts w:ascii="Verdana" w:hAnsi="Verdana"/>
                <w:noProof/>
                <w:webHidden/>
              </w:rPr>
              <w:fldChar w:fldCharType="end"/>
            </w:r>
          </w:hyperlink>
        </w:p>
        <w:p w14:paraId="5D3F5751" w14:textId="33B533EC" w:rsidR="004B684F" w:rsidRDefault="00310F19">
          <w:pPr>
            <w:pStyle w:val="TOC2"/>
            <w:tabs>
              <w:tab w:val="right" w:leader="dot" w:pos="9848"/>
            </w:tabs>
            <w:rPr>
              <w:rFonts w:ascii="Verdana" w:hAnsi="Verdana"/>
              <w:noProof/>
            </w:rPr>
          </w:pPr>
          <w:hyperlink w:anchor="_Toc63782249" w:history="1">
            <w:r w:rsidR="004B684F" w:rsidRPr="00363404">
              <w:rPr>
                <w:rStyle w:val="Hyperlink"/>
                <w:rFonts w:ascii="Verdana" w:hAnsi="Verdana"/>
                <w:noProof/>
              </w:rPr>
              <w:t>Domestic Abuse Protection Notices</w:t>
            </w:r>
            <w:r w:rsidR="004B684F" w:rsidRPr="00363404">
              <w:rPr>
                <w:rFonts w:ascii="Verdana" w:hAnsi="Verdana"/>
                <w:noProof/>
                <w:webHidden/>
              </w:rPr>
              <w:tab/>
            </w:r>
            <w:r w:rsidR="004B684F" w:rsidRPr="00363404">
              <w:rPr>
                <w:rFonts w:ascii="Verdana" w:hAnsi="Verdana"/>
                <w:noProof/>
                <w:webHidden/>
              </w:rPr>
              <w:fldChar w:fldCharType="begin"/>
            </w:r>
            <w:r w:rsidR="004B684F" w:rsidRPr="00363404">
              <w:rPr>
                <w:rFonts w:ascii="Verdana" w:hAnsi="Verdana"/>
                <w:noProof/>
                <w:webHidden/>
              </w:rPr>
              <w:instrText xml:space="preserve"> PAGEREF _Toc63782249 \h </w:instrText>
            </w:r>
            <w:r w:rsidR="004B684F" w:rsidRPr="00363404">
              <w:rPr>
                <w:rFonts w:ascii="Verdana" w:hAnsi="Verdana"/>
                <w:noProof/>
                <w:webHidden/>
              </w:rPr>
            </w:r>
            <w:r w:rsidR="004B684F" w:rsidRPr="00363404">
              <w:rPr>
                <w:rFonts w:ascii="Verdana" w:hAnsi="Verdana"/>
                <w:noProof/>
                <w:webHidden/>
              </w:rPr>
              <w:fldChar w:fldCharType="separate"/>
            </w:r>
            <w:r w:rsidR="00EB6B6F">
              <w:rPr>
                <w:rFonts w:ascii="Verdana" w:hAnsi="Verdana"/>
                <w:noProof/>
                <w:webHidden/>
              </w:rPr>
              <w:t>15</w:t>
            </w:r>
            <w:r w:rsidR="004B684F" w:rsidRPr="00363404">
              <w:rPr>
                <w:rFonts w:ascii="Verdana" w:hAnsi="Verdana"/>
                <w:noProof/>
                <w:webHidden/>
              </w:rPr>
              <w:fldChar w:fldCharType="end"/>
            </w:r>
          </w:hyperlink>
        </w:p>
        <w:p w14:paraId="61F3CAF2" w14:textId="77777777" w:rsidR="003B24C3" w:rsidRPr="003B24C3" w:rsidRDefault="003B24C3" w:rsidP="003B24C3"/>
        <w:p w14:paraId="6205950B" w14:textId="0F9A8C24" w:rsidR="004B684F" w:rsidRPr="00363404" w:rsidRDefault="00310F19">
          <w:pPr>
            <w:pStyle w:val="TOC1"/>
            <w:rPr>
              <w:rFonts w:ascii="Verdana" w:hAnsi="Verdana"/>
              <w:b w:val="0"/>
              <w:sz w:val="22"/>
              <w:szCs w:val="22"/>
              <w:lang w:eastAsia="en-GB"/>
            </w:rPr>
          </w:pPr>
          <w:hyperlink w:anchor="_Toc63782250" w:history="1">
            <w:r w:rsidR="004B684F" w:rsidRPr="00363404">
              <w:rPr>
                <w:rStyle w:val="Hyperlink"/>
                <w:rFonts w:ascii="Verdana" w:hAnsi="Verdana"/>
              </w:rPr>
              <w:t>5.0</w:t>
            </w:r>
            <w:r w:rsidR="004B684F" w:rsidRPr="00363404">
              <w:rPr>
                <w:rFonts w:ascii="Verdana" w:hAnsi="Verdana"/>
                <w:b w:val="0"/>
                <w:sz w:val="22"/>
                <w:szCs w:val="22"/>
                <w:lang w:eastAsia="en-GB"/>
              </w:rPr>
              <w:tab/>
            </w:r>
            <w:r w:rsidR="004B684F" w:rsidRPr="00363404">
              <w:rPr>
                <w:rStyle w:val="Hyperlink"/>
                <w:rFonts w:ascii="Verdana" w:hAnsi="Verdana"/>
              </w:rPr>
              <w:t>Conditions Attached to Domestic Abuse Protection Orders</w:t>
            </w:r>
            <w:r w:rsidR="004B684F" w:rsidRPr="00363404">
              <w:rPr>
                <w:rFonts w:ascii="Verdana" w:hAnsi="Verdana"/>
                <w:webHidden/>
              </w:rPr>
              <w:tab/>
            </w:r>
            <w:r w:rsidR="004B684F" w:rsidRPr="00363404">
              <w:rPr>
                <w:rFonts w:ascii="Verdana" w:hAnsi="Verdana"/>
                <w:webHidden/>
              </w:rPr>
              <w:fldChar w:fldCharType="begin"/>
            </w:r>
            <w:r w:rsidR="004B684F" w:rsidRPr="00363404">
              <w:rPr>
                <w:rFonts w:ascii="Verdana" w:hAnsi="Verdana"/>
                <w:webHidden/>
              </w:rPr>
              <w:instrText xml:space="preserve"> PAGEREF _Toc63782250 \h </w:instrText>
            </w:r>
            <w:r w:rsidR="004B684F" w:rsidRPr="00363404">
              <w:rPr>
                <w:rFonts w:ascii="Verdana" w:hAnsi="Verdana"/>
                <w:webHidden/>
              </w:rPr>
            </w:r>
            <w:r w:rsidR="004B684F" w:rsidRPr="00363404">
              <w:rPr>
                <w:rFonts w:ascii="Verdana" w:hAnsi="Verdana"/>
                <w:webHidden/>
              </w:rPr>
              <w:fldChar w:fldCharType="separate"/>
            </w:r>
            <w:r w:rsidR="00EB6B6F">
              <w:rPr>
                <w:rFonts w:ascii="Verdana" w:hAnsi="Verdana"/>
                <w:webHidden/>
              </w:rPr>
              <w:t>17</w:t>
            </w:r>
            <w:r w:rsidR="004B684F" w:rsidRPr="00363404">
              <w:rPr>
                <w:rFonts w:ascii="Verdana" w:hAnsi="Verdana"/>
                <w:webHidden/>
              </w:rPr>
              <w:fldChar w:fldCharType="end"/>
            </w:r>
          </w:hyperlink>
        </w:p>
        <w:p w14:paraId="0B339FF1" w14:textId="6D0A27FD" w:rsidR="004B684F" w:rsidRPr="00363404" w:rsidRDefault="00310F19">
          <w:pPr>
            <w:pStyle w:val="TOC2"/>
            <w:tabs>
              <w:tab w:val="right" w:leader="dot" w:pos="9848"/>
            </w:tabs>
            <w:rPr>
              <w:rFonts w:ascii="Verdana" w:hAnsi="Verdana"/>
              <w:noProof/>
              <w:sz w:val="22"/>
              <w:szCs w:val="22"/>
              <w:lang w:eastAsia="en-GB"/>
            </w:rPr>
          </w:pPr>
          <w:hyperlink w:anchor="_Toc63782251" w:history="1">
            <w:r w:rsidR="004B684F" w:rsidRPr="00363404">
              <w:rPr>
                <w:rStyle w:val="Hyperlink"/>
                <w:rFonts w:ascii="Verdana" w:hAnsi="Verdana"/>
                <w:noProof/>
              </w:rPr>
              <w:t>Electronic Monitoring</w:t>
            </w:r>
            <w:r w:rsidR="004B684F" w:rsidRPr="00363404">
              <w:rPr>
                <w:rFonts w:ascii="Verdana" w:hAnsi="Verdana"/>
                <w:noProof/>
                <w:webHidden/>
              </w:rPr>
              <w:tab/>
            </w:r>
            <w:r w:rsidR="004B684F" w:rsidRPr="00363404">
              <w:rPr>
                <w:rFonts w:ascii="Verdana" w:hAnsi="Verdana"/>
                <w:noProof/>
                <w:webHidden/>
              </w:rPr>
              <w:fldChar w:fldCharType="begin"/>
            </w:r>
            <w:r w:rsidR="004B684F" w:rsidRPr="00363404">
              <w:rPr>
                <w:rFonts w:ascii="Verdana" w:hAnsi="Verdana"/>
                <w:noProof/>
                <w:webHidden/>
              </w:rPr>
              <w:instrText xml:space="preserve"> PAGEREF _Toc63782251 \h </w:instrText>
            </w:r>
            <w:r w:rsidR="004B684F" w:rsidRPr="00363404">
              <w:rPr>
                <w:rFonts w:ascii="Verdana" w:hAnsi="Verdana"/>
                <w:noProof/>
                <w:webHidden/>
              </w:rPr>
            </w:r>
            <w:r w:rsidR="004B684F" w:rsidRPr="00363404">
              <w:rPr>
                <w:rFonts w:ascii="Verdana" w:hAnsi="Verdana"/>
                <w:noProof/>
                <w:webHidden/>
              </w:rPr>
              <w:fldChar w:fldCharType="separate"/>
            </w:r>
            <w:r w:rsidR="00EB6B6F">
              <w:rPr>
                <w:rFonts w:ascii="Verdana" w:hAnsi="Verdana"/>
                <w:noProof/>
                <w:webHidden/>
              </w:rPr>
              <w:t>17</w:t>
            </w:r>
            <w:r w:rsidR="004B684F" w:rsidRPr="00363404">
              <w:rPr>
                <w:rFonts w:ascii="Verdana" w:hAnsi="Verdana"/>
                <w:noProof/>
                <w:webHidden/>
              </w:rPr>
              <w:fldChar w:fldCharType="end"/>
            </w:r>
          </w:hyperlink>
        </w:p>
        <w:p w14:paraId="568B84F7" w14:textId="3F82F1B2" w:rsidR="004B684F" w:rsidRDefault="00310F19">
          <w:pPr>
            <w:pStyle w:val="TOC2"/>
            <w:tabs>
              <w:tab w:val="right" w:leader="dot" w:pos="9848"/>
            </w:tabs>
            <w:rPr>
              <w:rFonts w:ascii="Verdana" w:hAnsi="Verdana"/>
              <w:noProof/>
            </w:rPr>
          </w:pPr>
          <w:hyperlink w:anchor="_Toc63782252" w:history="1">
            <w:r w:rsidR="004B684F" w:rsidRPr="00363404">
              <w:rPr>
                <w:rStyle w:val="Hyperlink"/>
                <w:rFonts w:ascii="Verdana" w:hAnsi="Verdana"/>
                <w:noProof/>
              </w:rPr>
              <w:t>Breach of Domestic Abuse Protection Orders or Notices</w:t>
            </w:r>
            <w:r w:rsidR="004B684F" w:rsidRPr="00363404">
              <w:rPr>
                <w:rFonts w:ascii="Verdana" w:hAnsi="Verdana"/>
                <w:noProof/>
                <w:webHidden/>
              </w:rPr>
              <w:tab/>
            </w:r>
            <w:r w:rsidR="004B684F" w:rsidRPr="00363404">
              <w:rPr>
                <w:rFonts w:ascii="Verdana" w:hAnsi="Verdana"/>
                <w:noProof/>
                <w:webHidden/>
              </w:rPr>
              <w:fldChar w:fldCharType="begin"/>
            </w:r>
            <w:r w:rsidR="004B684F" w:rsidRPr="00363404">
              <w:rPr>
                <w:rFonts w:ascii="Verdana" w:hAnsi="Verdana"/>
                <w:noProof/>
                <w:webHidden/>
              </w:rPr>
              <w:instrText xml:space="preserve"> PAGEREF _Toc63782252 \h </w:instrText>
            </w:r>
            <w:r w:rsidR="004B684F" w:rsidRPr="00363404">
              <w:rPr>
                <w:rFonts w:ascii="Verdana" w:hAnsi="Verdana"/>
                <w:noProof/>
                <w:webHidden/>
              </w:rPr>
            </w:r>
            <w:r w:rsidR="004B684F" w:rsidRPr="00363404">
              <w:rPr>
                <w:rFonts w:ascii="Verdana" w:hAnsi="Verdana"/>
                <w:noProof/>
                <w:webHidden/>
              </w:rPr>
              <w:fldChar w:fldCharType="separate"/>
            </w:r>
            <w:r w:rsidR="00EB6B6F">
              <w:rPr>
                <w:rFonts w:ascii="Verdana" w:hAnsi="Verdana"/>
                <w:noProof/>
                <w:webHidden/>
              </w:rPr>
              <w:t>18</w:t>
            </w:r>
            <w:r w:rsidR="004B684F" w:rsidRPr="00363404">
              <w:rPr>
                <w:rFonts w:ascii="Verdana" w:hAnsi="Verdana"/>
                <w:noProof/>
                <w:webHidden/>
              </w:rPr>
              <w:fldChar w:fldCharType="end"/>
            </w:r>
          </w:hyperlink>
        </w:p>
        <w:p w14:paraId="4D1C43E4" w14:textId="77777777" w:rsidR="003B24C3" w:rsidRPr="003B24C3" w:rsidRDefault="003B24C3" w:rsidP="003B24C3"/>
        <w:p w14:paraId="4178DC36" w14:textId="2CE5C704" w:rsidR="004B684F" w:rsidRPr="00363404" w:rsidRDefault="00310F19">
          <w:pPr>
            <w:pStyle w:val="TOC1"/>
            <w:rPr>
              <w:rFonts w:ascii="Verdana" w:hAnsi="Verdana"/>
              <w:b w:val="0"/>
              <w:sz w:val="22"/>
              <w:szCs w:val="22"/>
              <w:lang w:eastAsia="en-GB"/>
            </w:rPr>
          </w:pPr>
          <w:hyperlink w:anchor="_Toc63782253" w:history="1">
            <w:r w:rsidR="004B684F" w:rsidRPr="00363404">
              <w:rPr>
                <w:rStyle w:val="Hyperlink"/>
                <w:rFonts w:ascii="Verdana" w:hAnsi="Verdana"/>
              </w:rPr>
              <w:t>6.0</w:t>
            </w:r>
            <w:r w:rsidR="004B684F" w:rsidRPr="00363404">
              <w:rPr>
                <w:rFonts w:ascii="Verdana" w:hAnsi="Verdana"/>
                <w:b w:val="0"/>
                <w:sz w:val="22"/>
                <w:szCs w:val="22"/>
                <w:lang w:eastAsia="en-GB"/>
              </w:rPr>
              <w:tab/>
            </w:r>
            <w:r w:rsidR="004B684F" w:rsidRPr="00363404">
              <w:rPr>
                <w:rStyle w:val="Hyperlink"/>
                <w:rFonts w:ascii="Verdana" w:hAnsi="Verdana"/>
              </w:rPr>
              <w:t>Disaggregated data</w:t>
            </w:r>
            <w:r w:rsidR="004B684F" w:rsidRPr="00363404">
              <w:rPr>
                <w:rFonts w:ascii="Verdana" w:hAnsi="Verdana"/>
                <w:webHidden/>
              </w:rPr>
              <w:tab/>
            </w:r>
            <w:r w:rsidR="004B684F" w:rsidRPr="00363404">
              <w:rPr>
                <w:rFonts w:ascii="Verdana" w:hAnsi="Verdana"/>
                <w:webHidden/>
              </w:rPr>
              <w:fldChar w:fldCharType="begin"/>
            </w:r>
            <w:r w:rsidR="004B684F" w:rsidRPr="00363404">
              <w:rPr>
                <w:rFonts w:ascii="Verdana" w:hAnsi="Verdana"/>
                <w:webHidden/>
              </w:rPr>
              <w:instrText xml:space="preserve"> PAGEREF _Toc63782253 \h </w:instrText>
            </w:r>
            <w:r w:rsidR="004B684F" w:rsidRPr="00363404">
              <w:rPr>
                <w:rFonts w:ascii="Verdana" w:hAnsi="Verdana"/>
                <w:webHidden/>
              </w:rPr>
            </w:r>
            <w:r w:rsidR="004B684F" w:rsidRPr="00363404">
              <w:rPr>
                <w:rFonts w:ascii="Verdana" w:hAnsi="Verdana"/>
                <w:webHidden/>
              </w:rPr>
              <w:fldChar w:fldCharType="separate"/>
            </w:r>
            <w:r w:rsidR="00EB6B6F">
              <w:rPr>
                <w:rFonts w:ascii="Verdana" w:hAnsi="Verdana"/>
                <w:webHidden/>
              </w:rPr>
              <w:t>19</w:t>
            </w:r>
            <w:r w:rsidR="004B684F" w:rsidRPr="00363404">
              <w:rPr>
                <w:rFonts w:ascii="Verdana" w:hAnsi="Verdana"/>
                <w:webHidden/>
              </w:rPr>
              <w:fldChar w:fldCharType="end"/>
            </w:r>
          </w:hyperlink>
        </w:p>
        <w:p w14:paraId="7F055FB2" w14:textId="77777777" w:rsidR="00CA69C2" w:rsidRDefault="00CA69C2">
          <w:r w:rsidRPr="00562673">
            <w:rPr>
              <w:rFonts w:ascii="Verdana" w:hAnsi="Verdana"/>
              <w:b/>
              <w:bCs/>
              <w:noProof/>
              <w:sz w:val="22"/>
              <w:szCs w:val="22"/>
            </w:rPr>
            <w:fldChar w:fldCharType="end"/>
          </w:r>
        </w:p>
      </w:sdtContent>
    </w:sdt>
    <w:p w14:paraId="0C3528E7" w14:textId="77777777" w:rsidR="001E79A9" w:rsidRPr="00331C61" w:rsidRDefault="001E79A9" w:rsidP="00331C61">
      <w:pPr>
        <w:pStyle w:val="Default"/>
        <w:rPr>
          <w:rFonts w:cs="Arial"/>
          <w:b/>
          <w:color w:val="232120"/>
        </w:rPr>
      </w:pPr>
    </w:p>
    <w:p w14:paraId="6E6ED57F" w14:textId="77777777" w:rsidR="00EA12CE" w:rsidRPr="00331C61" w:rsidRDefault="00EA12CE" w:rsidP="00331C61">
      <w:pPr>
        <w:pStyle w:val="Default"/>
        <w:rPr>
          <w:rFonts w:cs="Arial"/>
          <w:b/>
          <w:color w:val="232120"/>
        </w:rPr>
      </w:pPr>
    </w:p>
    <w:p w14:paraId="2D015017" w14:textId="77777777" w:rsidR="00EA12CE" w:rsidRPr="00331C61" w:rsidRDefault="00EA12CE" w:rsidP="00331C61">
      <w:pPr>
        <w:pStyle w:val="Default"/>
        <w:rPr>
          <w:rFonts w:cs="Arial"/>
          <w:b/>
          <w:color w:val="232120"/>
        </w:rPr>
      </w:pPr>
    </w:p>
    <w:p w14:paraId="266A4C03" w14:textId="77777777" w:rsidR="00EA12CE" w:rsidRPr="00331C61" w:rsidRDefault="00EA12CE" w:rsidP="00331C61">
      <w:pPr>
        <w:pStyle w:val="Default"/>
        <w:rPr>
          <w:rFonts w:cs="Arial"/>
          <w:b/>
          <w:color w:val="232120"/>
        </w:rPr>
      </w:pPr>
    </w:p>
    <w:p w14:paraId="56F2D7C5" w14:textId="77777777" w:rsidR="00EA12CE" w:rsidRPr="00331C61" w:rsidRDefault="00EA12CE" w:rsidP="00331C61">
      <w:pPr>
        <w:pStyle w:val="Default"/>
        <w:rPr>
          <w:rFonts w:cs="Arial"/>
          <w:b/>
          <w:color w:val="232120"/>
        </w:rPr>
      </w:pPr>
    </w:p>
    <w:p w14:paraId="3D4C81C0" w14:textId="77777777" w:rsidR="00EA12CE" w:rsidRPr="00331C61" w:rsidRDefault="00EA12CE" w:rsidP="00331C61">
      <w:pPr>
        <w:pStyle w:val="Default"/>
        <w:rPr>
          <w:rFonts w:cs="Arial"/>
          <w:b/>
          <w:color w:val="232120"/>
        </w:rPr>
      </w:pPr>
    </w:p>
    <w:p w14:paraId="3B1A6CC8" w14:textId="77777777" w:rsidR="00EA12CE" w:rsidRPr="00331C61" w:rsidRDefault="00EA12CE" w:rsidP="00331C61">
      <w:pPr>
        <w:pStyle w:val="Default"/>
        <w:rPr>
          <w:rFonts w:cs="Arial"/>
          <w:b/>
          <w:color w:val="232120"/>
        </w:rPr>
      </w:pPr>
    </w:p>
    <w:p w14:paraId="7FCBF9D0" w14:textId="77777777" w:rsidR="00EA12CE" w:rsidRPr="00331C61" w:rsidRDefault="00EA12CE" w:rsidP="00331C61">
      <w:pPr>
        <w:pStyle w:val="Default"/>
        <w:rPr>
          <w:rFonts w:cs="Arial"/>
          <w:b/>
          <w:color w:val="232120"/>
        </w:rPr>
      </w:pPr>
    </w:p>
    <w:p w14:paraId="4F3B9380" w14:textId="77777777" w:rsidR="00EA12CE" w:rsidRPr="00331C61" w:rsidRDefault="00EA12CE" w:rsidP="00331C61">
      <w:pPr>
        <w:pStyle w:val="Default"/>
        <w:rPr>
          <w:rFonts w:cs="Arial"/>
          <w:b/>
          <w:color w:val="232120"/>
        </w:rPr>
      </w:pPr>
    </w:p>
    <w:p w14:paraId="3B9687EB" w14:textId="77777777" w:rsidR="00EA12CE" w:rsidRPr="00331C61" w:rsidRDefault="00EA12CE" w:rsidP="00331C61">
      <w:pPr>
        <w:pStyle w:val="Default"/>
        <w:rPr>
          <w:rFonts w:cs="Arial"/>
          <w:b/>
          <w:color w:val="232120"/>
        </w:rPr>
      </w:pPr>
    </w:p>
    <w:p w14:paraId="18E903DC" w14:textId="77777777" w:rsidR="00EA12CE" w:rsidRPr="00331C61" w:rsidRDefault="00EA12CE" w:rsidP="00331C61">
      <w:pPr>
        <w:pStyle w:val="Default"/>
        <w:rPr>
          <w:rFonts w:cs="Arial"/>
          <w:b/>
          <w:color w:val="232120"/>
        </w:rPr>
      </w:pPr>
    </w:p>
    <w:p w14:paraId="3E45DF52" w14:textId="77777777" w:rsidR="00EA12CE" w:rsidRPr="00331C61" w:rsidRDefault="00EA12CE" w:rsidP="00331C61">
      <w:pPr>
        <w:pStyle w:val="Default"/>
        <w:rPr>
          <w:rFonts w:cs="Arial"/>
          <w:b/>
          <w:color w:val="232120"/>
        </w:rPr>
      </w:pPr>
    </w:p>
    <w:p w14:paraId="199522CF" w14:textId="77777777" w:rsidR="00EA12CE" w:rsidRPr="00331C61" w:rsidRDefault="00EA12CE" w:rsidP="00331C61">
      <w:pPr>
        <w:pStyle w:val="Default"/>
        <w:rPr>
          <w:rFonts w:cs="Arial"/>
          <w:b/>
          <w:color w:val="232120"/>
        </w:rPr>
      </w:pPr>
    </w:p>
    <w:p w14:paraId="432D0B0A" w14:textId="0E4BB222" w:rsidR="00583DCB" w:rsidRDefault="00583DCB" w:rsidP="00331C61">
      <w:pPr>
        <w:pStyle w:val="Default"/>
        <w:rPr>
          <w:rFonts w:cs="Arial"/>
          <w:b/>
          <w:color w:val="232120"/>
        </w:rPr>
      </w:pPr>
    </w:p>
    <w:p w14:paraId="4ADD9FD4" w14:textId="3FA7C409" w:rsidR="00CA69C2" w:rsidRPr="00363404" w:rsidRDefault="00583DCB" w:rsidP="00562673">
      <w:pPr>
        <w:pStyle w:val="Default"/>
        <w:ind w:left="0" w:firstLine="0"/>
        <w:rPr>
          <w:rFonts w:cs="Arial"/>
          <w:b/>
          <w:color w:val="77328A"/>
          <w:sz w:val="30"/>
          <w:szCs w:val="30"/>
        </w:rPr>
      </w:pPr>
      <w:r w:rsidRPr="00363404">
        <w:rPr>
          <w:rFonts w:cs="Arial"/>
          <w:noProof/>
          <w:color w:val="77328A"/>
          <w:lang w:val="en-GB" w:eastAsia="en-GB"/>
        </w:rPr>
        <w:lastRenderedPageBreak/>
        <mc:AlternateContent>
          <mc:Choice Requires="wps">
            <w:drawing>
              <wp:anchor distT="45720" distB="45720" distL="114300" distR="114300" simplePos="0" relativeHeight="251659264" behindDoc="0" locked="0" layoutInCell="1" allowOverlap="1" wp14:anchorId="76263693" wp14:editId="7CF1A064">
                <wp:simplePos x="0" y="0"/>
                <wp:positionH relativeFrom="margin">
                  <wp:align>right</wp:align>
                </wp:positionH>
                <wp:positionV relativeFrom="paragraph">
                  <wp:posOffset>469265</wp:posOffset>
                </wp:positionV>
                <wp:extent cx="6344285" cy="8428355"/>
                <wp:effectExtent l="0" t="0" r="1841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4285" cy="8428355"/>
                        </a:xfrm>
                        <a:prstGeom prst="rect">
                          <a:avLst/>
                        </a:prstGeom>
                        <a:solidFill>
                          <a:srgbClr val="FFFFFF"/>
                        </a:solidFill>
                        <a:ln w="9525">
                          <a:solidFill>
                            <a:srgbClr val="000000"/>
                          </a:solidFill>
                          <a:miter lim="800000"/>
                          <a:headEnd/>
                          <a:tailEnd/>
                        </a:ln>
                      </wps:spPr>
                      <wps:txbx>
                        <w:txbxContent>
                          <w:p w14:paraId="4ACAA844" w14:textId="77777777" w:rsidR="004B684F" w:rsidRDefault="004B684F" w:rsidP="00583DCB">
                            <w:pPr>
                              <w:rPr>
                                <w:rFonts w:ascii="Verdana" w:hAnsi="Verdana"/>
                                <w:b/>
                              </w:rPr>
                            </w:pPr>
                          </w:p>
                          <w:p w14:paraId="3DAAE196" w14:textId="26CCE4F5" w:rsidR="00583DCB" w:rsidRPr="00363404" w:rsidRDefault="00583DCB" w:rsidP="00363404">
                            <w:pPr>
                              <w:pStyle w:val="ListParagraph"/>
                              <w:numPr>
                                <w:ilvl w:val="1"/>
                                <w:numId w:val="30"/>
                              </w:numPr>
                              <w:rPr>
                                <w:b/>
                              </w:rPr>
                            </w:pPr>
                            <w:r w:rsidRPr="00363404">
                              <w:rPr>
                                <w:b/>
                              </w:rPr>
                              <w:t>The NIHRC recommends the introduction of Domestic Abuse Protection Orders and Notices to provide immediate protection to victims of all forms of domestic abuse and that these are accessible across the criminal justice system.</w:t>
                            </w:r>
                          </w:p>
                          <w:p w14:paraId="5F9D08DD" w14:textId="77777777" w:rsidR="00583DCB" w:rsidRPr="00363404" w:rsidRDefault="00583DCB" w:rsidP="00583DCB">
                            <w:pPr>
                              <w:rPr>
                                <w:rFonts w:ascii="Verdana" w:hAnsi="Verdana"/>
                                <w:b/>
                              </w:rPr>
                            </w:pPr>
                          </w:p>
                          <w:p w14:paraId="2669EA2B" w14:textId="369DF98C" w:rsidR="00583DCB" w:rsidRPr="00363404" w:rsidRDefault="00583DCB" w:rsidP="00363404">
                            <w:pPr>
                              <w:pStyle w:val="ListParagraph"/>
                              <w:numPr>
                                <w:ilvl w:val="1"/>
                                <w:numId w:val="30"/>
                              </w:numPr>
                              <w:rPr>
                                <w:b/>
                              </w:rPr>
                            </w:pPr>
                            <w:r w:rsidRPr="00363404">
                              <w:rPr>
                                <w:b/>
                              </w:rPr>
                              <w:t xml:space="preserve">The NIHRC recommends that Legal Aid is available for applying for a Domestic Abuse Protection Order. </w:t>
                            </w:r>
                          </w:p>
                          <w:p w14:paraId="48492BF8" w14:textId="77777777" w:rsidR="00583DCB" w:rsidRPr="00363404" w:rsidRDefault="00583DCB" w:rsidP="00583DCB">
                            <w:pPr>
                              <w:rPr>
                                <w:rFonts w:ascii="Verdana" w:hAnsi="Verdana"/>
                              </w:rPr>
                            </w:pPr>
                          </w:p>
                          <w:p w14:paraId="3A289359" w14:textId="77777777" w:rsidR="00583DCB" w:rsidRPr="00363404" w:rsidRDefault="00583DCB" w:rsidP="00363404">
                            <w:pPr>
                              <w:numPr>
                                <w:ilvl w:val="1"/>
                                <w:numId w:val="30"/>
                              </w:numPr>
                              <w:rPr>
                                <w:rFonts w:ascii="Verdana" w:hAnsi="Verdana"/>
                                <w:b/>
                              </w:rPr>
                            </w:pPr>
                            <w:r w:rsidRPr="00363404">
                              <w:rPr>
                                <w:rFonts w:ascii="Verdana" w:hAnsi="Verdana"/>
                                <w:b/>
                              </w:rPr>
                              <w:t xml:space="preserve">The NIHRC recommends that the relevant authorities, particularly the police, should be adequately trained to ensure Domestic Abuse Protection Orders and Notices are effectively implemented. </w:t>
                            </w:r>
                          </w:p>
                          <w:p w14:paraId="41A99765" w14:textId="77777777" w:rsidR="00583DCB" w:rsidRPr="00363404" w:rsidRDefault="00583DCB" w:rsidP="00583DCB">
                            <w:pPr>
                              <w:rPr>
                                <w:rFonts w:ascii="Verdana" w:hAnsi="Verdana"/>
                                <w:b/>
                              </w:rPr>
                            </w:pPr>
                          </w:p>
                          <w:p w14:paraId="2221E445" w14:textId="77777777" w:rsidR="00583DCB" w:rsidRPr="00363404" w:rsidRDefault="00583DCB" w:rsidP="00363404">
                            <w:pPr>
                              <w:numPr>
                                <w:ilvl w:val="1"/>
                                <w:numId w:val="30"/>
                              </w:numPr>
                              <w:rPr>
                                <w:rFonts w:ascii="Verdana" w:hAnsi="Verdana"/>
                                <w:b/>
                              </w:rPr>
                            </w:pPr>
                            <w:r w:rsidRPr="00363404">
                              <w:rPr>
                                <w:rFonts w:ascii="Verdana" w:hAnsi="Verdana"/>
                                <w:b/>
                              </w:rPr>
                              <w:t>The NIHRC recommends additional resources are allocated to the police and potential relevant third parties specifically for training and application fees for Domestic Violence Protection Orders and Notices.</w:t>
                            </w:r>
                          </w:p>
                          <w:p w14:paraId="093EF819" w14:textId="77777777" w:rsidR="00583DCB" w:rsidRPr="00363404" w:rsidRDefault="00583DCB" w:rsidP="00583DCB">
                            <w:pPr>
                              <w:rPr>
                                <w:rFonts w:ascii="Verdana" w:hAnsi="Verdana"/>
                                <w:b/>
                              </w:rPr>
                            </w:pPr>
                          </w:p>
                          <w:p w14:paraId="4FC08011" w14:textId="1959E937" w:rsidR="00583DCB" w:rsidRPr="00363404" w:rsidRDefault="00583DCB" w:rsidP="00363404">
                            <w:pPr>
                              <w:numPr>
                                <w:ilvl w:val="1"/>
                                <w:numId w:val="30"/>
                              </w:numPr>
                              <w:rPr>
                                <w:rFonts w:ascii="Verdana" w:hAnsi="Verdana"/>
                                <w:b/>
                              </w:rPr>
                            </w:pPr>
                            <w:r w:rsidRPr="00363404">
                              <w:rPr>
                                <w:rFonts w:ascii="Verdana" w:hAnsi="Verdana"/>
                                <w:b/>
                              </w:rPr>
                              <w:t xml:space="preserve">The NIHRC recommends the Department reconsider such a lengthy and limited piloting exercise, to ensure the Domestic Abuse Protection Orders and Notices can be accessed by all victims of domestic abuse without further delay. </w:t>
                            </w:r>
                          </w:p>
                          <w:p w14:paraId="0A554673" w14:textId="77777777" w:rsidR="00583DCB" w:rsidRPr="00363404" w:rsidRDefault="00583DCB" w:rsidP="00363404">
                            <w:pPr>
                              <w:pStyle w:val="ListParagraph"/>
                              <w:rPr>
                                <w:b/>
                              </w:rPr>
                            </w:pPr>
                          </w:p>
                          <w:p w14:paraId="44883392" w14:textId="0D6D5FD3" w:rsidR="00583DCB" w:rsidRPr="00363404" w:rsidRDefault="00583DCB" w:rsidP="00363404">
                            <w:pPr>
                              <w:pStyle w:val="ListParagraph"/>
                              <w:numPr>
                                <w:ilvl w:val="1"/>
                                <w:numId w:val="31"/>
                              </w:numPr>
                              <w:rPr>
                                <w:b/>
                              </w:rPr>
                            </w:pPr>
                            <w:r w:rsidRPr="00363404">
                              <w:rPr>
                                <w:b/>
                              </w:rPr>
                              <w:t>The NIHRC recommends the Department provide further clarification on which individuals and organisations should be identified as potential relevant thi</w:t>
                            </w:r>
                            <w:r w:rsidR="004B684F" w:rsidRPr="00363404">
                              <w:rPr>
                                <w:b/>
                              </w:rPr>
                              <w:t>rd parties. This should include e</w:t>
                            </w:r>
                            <w:r w:rsidRPr="00363404">
                              <w:rPr>
                                <w:b/>
                              </w:rPr>
                              <w:t>ngaging with organizations supporting victims and victims on implementation issues.</w:t>
                            </w:r>
                          </w:p>
                          <w:p w14:paraId="382F2F26" w14:textId="77777777" w:rsidR="00583DCB" w:rsidRPr="00363404" w:rsidRDefault="00583DCB" w:rsidP="00363404">
                            <w:pPr>
                              <w:ind w:firstLine="0"/>
                              <w:rPr>
                                <w:rFonts w:ascii="Verdana" w:hAnsi="Verdana"/>
                                <w:b/>
                              </w:rPr>
                            </w:pPr>
                          </w:p>
                          <w:p w14:paraId="053086BF" w14:textId="77777777" w:rsidR="00583DCB" w:rsidRPr="00363404" w:rsidRDefault="00583DCB" w:rsidP="00363404">
                            <w:pPr>
                              <w:numPr>
                                <w:ilvl w:val="1"/>
                                <w:numId w:val="31"/>
                              </w:numPr>
                              <w:rPr>
                                <w:rFonts w:ascii="Verdana" w:hAnsi="Verdana"/>
                                <w:b/>
                              </w:rPr>
                            </w:pPr>
                            <w:r w:rsidRPr="00363404">
                              <w:rPr>
                                <w:rFonts w:ascii="Verdana" w:hAnsi="Verdana"/>
                                <w:b/>
                              </w:rPr>
                              <w:t xml:space="preserve">The NIHRC recommends the Department consider potential consequences of third party application negating the victim’s consent recognising the dynamics of domestic abuse and ensure it does not hinder the victim in subsequent legal proceedings. </w:t>
                            </w:r>
                          </w:p>
                          <w:p w14:paraId="31ADFADF" w14:textId="77777777" w:rsidR="00583DCB" w:rsidRPr="00363404" w:rsidRDefault="00583DCB" w:rsidP="00363404">
                            <w:pPr>
                              <w:ind w:firstLine="0"/>
                              <w:rPr>
                                <w:rFonts w:ascii="Verdana" w:hAnsi="Verdana"/>
                                <w:b/>
                              </w:rPr>
                            </w:pPr>
                          </w:p>
                          <w:p w14:paraId="295499FB" w14:textId="77777777" w:rsidR="00583DCB" w:rsidRPr="00583DCB" w:rsidRDefault="00583DCB" w:rsidP="00363404">
                            <w:pPr>
                              <w:ind w:firstLine="0"/>
                              <w:rPr>
                                <w:b/>
                              </w:rPr>
                            </w:pPr>
                          </w:p>
                          <w:p w14:paraId="6792C908" w14:textId="08E02292" w:rsidR="00583DCB" w:rsidRDefault="00583D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263693" id="_x0000_t202" coordsize="21600,21600" o:spt="202" path="m,l,21600r21600,l21600,xe">
                <v:stroke joinstyle="miter"/>
                <v:path gradientshapeok="t" o:connecttype="rect"/>
              </v:shapetype>
              <v:shape id="Text Box 2" o:spid="_x0000_s1026" type="#_x0000_t202" style="position:absolute;margin-left:448.35pt;margin-top:36.95pt;width:499.55pt;height:663.6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ALMJAIAAEcEAAAOAAAAZHJzL2Uyb0RvYy54bWysU9tu2zAMfR+wfxD0vjhx4zY14hRdugwD&#10;ugvQ7gNkWY6FSaImKbG7rx8lu1l2exmmB4EUqUPykFzfDFqRo3BegqnoYjanRBgOjTT7in5+3L1a&#10;UeIDMw1TYERFn4SnN5uXL9a9LUUOHahGOIIgxpe9rWgXgi2zzPNOaOZnYIVBYwtOs4Cq22eNYz2i&#10;a5Xl8/ll1oNrrAMuvMfXu9FINwm/bQUPH9vWi0BURTG3kG6X7jre2WbNyr1jtpN8SoP9QxaaSYNB&#10;T1B3LDBycPI3KC25Aw9tmHHQGbSt5CLVgNUs5r9U89AxK1ItSI63J5r8/4PlH46fHJFNRfPFFSWG&#10;aWzSoxgCeQ0DySM/vfUluj1YdAwDPmOfU63e3gP/4omBbcfMXtw6B30nWIP5LeLP7OzriOMjSN2/&#10;hwbDsEOABDS0TkfykA6C6Ninp1NvYiocHy8vlst8VVDC0bZC8aIoUgxWPn+3zoe3AjSJQkUdNj/B&#10;s+O9DzEdVj67xGgelGx2UqmkuH29VY4cGQ7KLp0J/Sc3ZUhf0esiL0YG/goxT+dPEFoGnHglNZZx&#10;cmJl5O2NadI8BibVKGPKykxERu5GFsNQD1NjamiekFIH42TjJqLQgftGSY9TXVH/9cCcoES9M9iW&#10;68VyGdcgKcviKkfFnVvqcwszHKEqGigZxW1IqxMJM3CL7WtlIjb2ecxkyhWnNfE9bVZch3M9ef3Y&#10;/813AAAA//8DAFBLAwQUAAYACAAAACEAzgOSlN4AAAAIAQAADwAAAGRycy9kb3ducmV2LnhtbEyP&#10;wU7DMBBE70j8g7VIXBB10lZtE+JUCAkENygIrm68TSLsdbDdNPw9ywmOoxnNvKm2k7NixBB7Twry&#10;WQYCqfGmp1bB2+v99QZETJqMtp5QwTdG2NbnZ5UujT/RC4671AouoVhqBV1KQyllbDp0Os78gMTe&#10;wQenE8vQShP0icudlfMsW0mne+KFTg9412HzuTs6BZvl4/gRnxbP783qYIt0tR4fvoJSlxfT7Q2I&#10;hFP6C8MvPqNDzUx7fyQThVXAR5KC9aIAwW5RFDmIPceWWT4HWVfy/4H6BwAA//8DAFBLAQItABQA&#10;BgAIAAAAIQC2gziS/gAAAOEBAAATAAAAAAAAAAAAAAAAAAAAAABbQ29udGVudF9UeXBlc10ueG1s&#10;UEsBAi0AFAAGAAgAAAAhADj9If/WAAAAlAEAAAsAAAAAAAAAAAAAAAAALwEAAF9yZWxzLy5yZWxz&#10;UEsBAi0AFAAGAAgAAAAhAHCUAswkAgAARwQAAA4AAAAAAAAAAAAAAAAALgIAAGRycy9lMm9Eb2Mu&#10;eG1sUEsBAi0AFAAGAAgAAAAhAM4DkpTeAAAACAEAAA8AAAAAAAAAAAAAAAAAfgQAAGRycy9kb3du&#10;cmV2LnhtbFBLBQYAAAAABAAEAPMAAACJBQAAAAA=&#10;">
                <v:textbox>
                  <w:txbxContent>
                    <w:p w14:paraId="4ACAA844" w14:textId="77777777" w:rsidR="004B684F" w:rsidRDefault="004B684F" w:rsidP="00583DCB">
                      <w:pPr>
                        <w:rPr>
                          <w:rFonts w:ascii="Verdana" w:hAnsi="Verdana"/>
                          <w:b/>
                        </w:rPr>
                      </w:pPr>
                    </w:p>
                    <w:p w14:paraId="3DAAE196" w14:textId="26CCE4F5" w:rsidR="00583DCB" w:rsidRPr="00363404" w:rsidRDefault="00583DCB" w:rsidP="00363404">
                      <w:pPr>
                        <w:pStyle w:val="ListParagraph"/>
                        <w:numPr>
                          <w:ilvl w:val="1"/>
                          <w:numId w:val="30"/>
                        </w:numPr>
                        <w:rPr>
                          <w:b/>
                        </w:rPr>
                      </w:pPr>
                      <w:r w:rsidRPr="00363404">
                        <w:rPr>
                          <w:b/>
                        </w:rPr>
                        <w:t>The NIHRC recommends the introduction of Domestic Abuse Protection Orders and Notices to provide immediate protection to victims of all forms of domestic abuse and that these are accessible across the criminal justice system.</w:t>
                      </w:r>
                    </w:p>
                    <w:p w14:paraId="5F9D08DD" w14:textId="77777777" w:rsidR="00583DCB" w:rsidRPr="00363404" w:rsidRDefault="00583DCB" w:rsidP="00583DCB">
                      <w:pPr>
                        <w:rPr>
                          <w:rFonts w:ascii="Verdana" w:hAnsi="Verdana"/>
                          <w:b/>
                        </w:rPr>
                      </w:pPr>
                    </w:p>
                    <w:p w14:paraId="2669EA2B" w14:textId="369DF98C" w:rsidR="00583DCB" w:rsidRPr="00363404" w:rsidRDefault="00583DCB" w:rsidP="00363404">
                      <w:pPr>
                        <w:pStyle w:val="ListParagraph"/>
                        <w:numPr>
                          <w:ilvl w:val="1"/>
                          <w:numId w:val="30"/>
                        </w:numPr>
                        <w:rPr>
                          <w:b/>
                        </w:rPr>
                      </w:pPr>
                      <w:r w:rsidRPr="00363404">
                        <w:rPr>
                          <w:b/>
                        </w:rPr>
                        <w:t xml:space="preserve">The NIHRC recommends that Legal Aid is available for applying for a Domestic Abuse Protection Order. </w:t>
                      </w:r>
                    </w:p>
                    <w:p w14:paraId="48492BF8" w14:textId="77777777" w:rsidR="00583DCB" w:rsidRPr="00363404" w:rsidRDefault="00583DCB" w:rsidP="00583DCB">
                      <w:pPr>
                        <w:rPr>
                          <w:rFonts w:ascii="Verdana" w:hAnsi="Verdana"/>
                        </w:rPr>
                      </w:pPr>
                    </w:p>
                    <w:p w14:paraId="3A289359" w14:textId="77777777" w:rsidR="00583DCB" w:rsidRPr="00363404" w:rsidRDefault="00583DCB" w:rsidP="00363404">
                      <w:pPr>
                        <w:numPr>
                          <w:ilvl w:val="1"/>
                          <w:numId w:val="30"/>
                        </w:numPr>
                        <w:rPr>
                          <w:rFonts w:ascii="Verdana" w:hAnsi="Verdana"/>
                          <w:b/>
                        </w:rPr>
                      </w:pPr>
                      <w:r w:rsidRPr="00363404">
                        <w:rPr>
                          <w:rFonts w:ascii="Verdana" w:hAnsi="Verdana"/>
                          <w:b/>
                        </w:rPr>
                        <w:t xml:space="preserve">The NIHRC recommends that the relevant authorities, particularly the police, should be adequately trained to ensure Domestic Abuse Protection Orders and Notices are effectively implemented. </w:t>
                      </w:r>
                    </w:p>
                    <w:p w14:paraId="41A99765" w14:textId="77777777" w:rsidR="00583DCB" w:rsidRPr="00363404" w:rsidRDefault="00583DCB" w:rsidP="00583DCB">
                      <w:pPr>
                        <w:rPr>
                          <w:rFonts w:ascii="Verdana" w:hAnsi="Verdana"/>
                          <w:b/>
                        </w:rPr>
                      </w:pPr>
                    </w:p>
                    <w:p w14:paraId="2221E445" w14:textId="77777777" w:rsidR="00583DCB" w:rsidRPr="00363404" w:rsidRDefault="00583DCB" w:rsidP="00363404">
                      <w:pPr>
                        <w:numPr>
                          <w:ilvl w:val="1"/>
                          <w:numId w:val="30"/>
                        </w:numPr>
                        <w:rPr>
                          <w:rFonts w:ascii="Verdana" w:hAnsi="Verdana"/>
                          <w:b/>
                        </w:rPr>
                      </w:pPr>
                      <w:r w:rsidRPr="00363404">
                        <w:rPr>
                          <w:rFonts w:ascii="Verdana" w:hAnsi="Verdana"/>
                          <w:b/>
                        </w:rPr>
                        <w:t>The NIHRC recommends additional resources are allocated to the police and potential relevant third parties specifically for training and application fees for Domestic Violence Protection Orders and Notices.</w:t>
                      </w:r>
                    </w:p>
                    <w:p w14:paraId="093EF819" w14:textId="77777777" w:rsidR="00583DCB" w:rsidRPr="00363404" w:rsidRDefault="00583DCB" w:rsidP="00583DCB">
                      <w:pPr>
                        <w:rPr>
                          <w:rFonts w:ascii="Verdana" w:hAnsi="Verdana"/>
                          <w:b/>
                        </w:rPr>
                      </w:pPr>
                    </w:p>
                    <w:p w14:paraId="4FC08011" w14:textId="1959E937" w:rsidR="00583DCB" w:rsidRPr="00363404" w:rsidRDefault="00583DCB" w:rsidP="00363404">
                      <w:pPr>
                        <w:numPr>
                          <w:ilvl w:val="1"/>
                          <w:numId w:val="30"/>
                        </w:numPr>
                        <w:rPr>
                          <w:rFonts w:ascii="Verdana" w:hAnsi="Verdana"/>
                          <w:b/>
                        </w:rPr>
                      </w:pPr>
                      <w:r w:rsidRPr="00363404">
                        <w:rPr>
                          <w:rFonts w:ascii="Verdana" w:hAnsi="Verdana"/>
                          <w:b/>
                        </w:rPr>
                        <w:t xml:space="preserve">The NIHRC recommends the Department reconsider such a lengthy and limited piloting exercise, to ensure the Domestic Abuse Protection Orders and Notices can be accessed by all victims of domestic abuse without further delay. </w:t>
                      </w:r>
                    </w:p>
                    <w:p w14:paraId="0A554673" w14:textId="77777777" w:rsidR="00583DCB" w:rsidRPr="00363404" w:rsidRDefault="00583DCB" w:rsidP="00363404">
                      <w:pPr>
                        <w:pStyle w:val="ListParagraph"/>
                        <w:rPr>
                          <w:b/>
                        </w:rPr>
                      </w:pPr>
                    </w:p>
                    <w:p w14:paraId="44883392" w14:textId="0D6D5FD3" w:rsidR="00583DCB" w:rsidRPr="00363404" w:rsidRDefault="00583DCB" w:rsidP="00363404">
                      <w:pPr>
                        <w:pStyle w:val="ListParagraph"/>
                        <w:numPr>
                          <w:ilvl w:val="1"/>
                          <w:numId w:val="31"/>
                        </w:numPr>
                        <w:rPr>
                          <w:b/>
                        </w:rPr>
                      </w:pPr>
                      <w:r w:rsidRPr="00363404">
                        <w:rPr>
                          <w:b/>
                        </w:rPr>
                        <w:t>The NIHRC recommends the Department provide further clarification on which individuals and organisations should be identified as potential relevant thi</w:t>
                      </w:r>
                      <w:r w:rsidR="004B684F" w:rsidRPr="00363404">
                        <w:rPr>
                          <w:b/>
                        </w:rPr>
                        <w:t>rd parties. This should include e</w:t>
                      </w:r>
                      <w:r w:rsidRPr="00363404">
                        <w:rPr>
                          <w:b/>
                        </w:rPr>
                        <w:t>ngaging with organizations supporting victims and victims on implementation issues.</w:t>
                      </w:r>
                    </w:p>
                    <w:p w14:paraId="382F2F26" w14:textId="77777777" w:rsidR="00583DCB" w:rsidRPr="00363404" w:rsidRDefault="00583DCB" w:rsidP="00363404">
                      <w:pPr>
                        <w:ind w:firstLine="0"/>
                        <w:rPr>
                          <w:rFonts w:ascii="Verdana" w:hAnsi="Verdana"/>
                          <w:b/>
                        </w:rPr>
                      </w:pPr>
                    </w:p>
                    <w:p w14:paraId="053086BF" w14:textId="77777777" w:rsidR="00583DCB" w:rsidRPr="00363404" w:rsidRDefault="00583DCB" w:rsidP="00363404">
                      <w:pPr>
                        <w:numPr>
                          <w:ilvl w:val="1"/>
                          <w:numId w:val="31"/>
                        </w:numPr>
                        <w:rPr>
                          <w:rFonts w:ascii="Verdana" w:hAnsi="Verdana"/>
                          <w:b/>
                        </w:rPr>
                      </w:pPr>
                      <w:r w:rsidRPr="00363404">
                        <w:rPr>
                          <w:rFonts w:ascii="Verdana" w:hAnsi="Verdana"/>
                          <w:b/>
                        </w:rPr>
                        <w:t xml:space="preserve">The NIHRC recommends the Department consider potential consequences of third party application negating the victim’s consent recognising the dynamics of domestic abuse and ensure it does not hinder the victim in subsequent legal proceedings. </w:t>
                      </w:r>
                    </w:p>
                    <w:p w14:paraId="31ADFADF" w14:textId="77777777" w:rsidR="00583DCB" w:rsidRPr="00363404" w:rsidRDefault="00583DCB" w:rsidP="00363404">
                      <w:pPr>
                        <w:ind w:firstLine="0"/>
                        <w:rPr>
                          <w:rFonts w:ascii="Verdana" w:hAnsi="Verdana"/>
                          <w:b/>
                        </w:rPr>
                      </w:pPr>
                    </w:p>
                    <w:p w14:paraId="295499FB" w14:textId="77777777" w:rsidR="00583DCB" w:rsidRPr="00583DCB" w:rsidRDefault="00583DCB" w:rsidP="00363404">
                      <w:pPr>
                        <w:ind w:firstLine="0"/>
                        <w:rPr>
                          <w:b/>
                        </w:rPr>
                      </w:pPr>
                    </w:p>
                    <w:p w14:paraId="6792C908" w14:textId="08E02292" w:rsidR="00583DCB" w:rsidRDefault="00583DCB"/>
                  </w:txbxContent>
                </v:textbox>
                <w10:wrap type="square" anchorx="margin"/>
              </v:shape>
            </w:pict>
          </mc:Fallback>
        </mc:AlternateContent>
      </w:r>
      <w:r w:rsidR="00456DBD" w:rsidRPr="00363404">
        <w:rPr>
          <w:rFonts w:cs="Arial"/>
          <w:b/>
          <w:color w:val="77328A"/>
          <w:sz w:val="30"/>
          <w:szCs w:val="30"/>
        </w:rPr>
        <w:t>Summary of Recommendations</w:t>
      </w:r>
    </w:p>
    <w:p w14:paraId="3349562B" w14:textId="760C82A7" w:rsidR="00456DBD" w:rsidRDefault="00583DCB">
      <w:pPr>
        <w:pStyle w:val="Default"/>
        <w:rPr>
          <w:rFonts w:cs="Arial"/>
          <w:b/>
          <w:color w:val="232120"/>
          <w:sz w:val="30"/>
          <w:szCs w:val="30"/>
        </w:rPr>
      </w:pPr>
      <w:r w:rsidRPr="00583DCB">
        <w:rPr>
          <w:rFonts w:cs="Arial"/>
          <w:b/>
          <w:noProof/>
          <w:color w:val="232120"/>
          <w:sz w:val="30"/>
          <w:szCs w:val="30"/>
          <w:lang w:val="en-GB" w:eastAsia="en-GB"/>
        </w:rPr>
        <w:lastRenderedPageBreak/>
        <mc:AlternateContent>
          <mc:Choice Requires="wps">
            <w:drawing>
              <wp:anchor distT="45720" distB="45720" distL="114300" distR="114300" simplePos="0" relativeHeight="251661312" behindDoc="0" locked="0" layoutInCell="1" allowOverlap="1" wp14:anchorId="58FD26CB" wp14:editId="29E67D34">
                <wp:simplePos x="0" y="0"/>
                <wp:positionH relativeFrom="margin">
                  <wp:align>right</wp:align>
                </wp:positionH>
                <wp:positionV relativeFrom="paragraph">
                  <wp:posOffset>144145</wp:posOffset>
                </wp:positionV>
                <wp:extent cx="6322695" cy="8723630"/>
                <wp:effectExtent l="0" t="0" r="20955" b="203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695" cy="8723630"/>
                        </a:xfrm>
                        <a:prstGeom prst="rect">
                          <a:avLst/>
                        </a:prstGeom>
                        <a:solidFill>
                          <a:srgbClr val="FFFFFF"/>
                        </a:solidFill>
                        <a:ln w="9525">
                          <a:solidFill>
                            <a:srgbClr val="000000"/>
                          </a:solidFill>
                          <a:miter lim="800000"/>
                          <a:headEnd/>
                          <a:tailEnd/>
                        </a:ln>
                      </wps:spPr>
                      <wps:txbx>
                        <w:txbxContent>
                          <w:p w14:paraId="64F7D8B8" w14:textId="26F791FA" w:rsidR="004B684F" w:rsidRDefault="004B684F">
                            <w:pPr>
                              <w:rPr>
                                <w:rFonts w:ascii="Verdana" w:hAnsi="Verdana"/>
                                <w:b/>
                              </w:rPr>
                            </w:pPr>
                          </w:p>
                          <w:p w14:paraId="43E657EE" w14:textId="31F10E61" w:rsidR="00583DCB" w:rsidRDefault="004B684F">
                            <w:pPr>
                              <w:rPr>
                                <w:rFonts w:ascii="Verdana" w:hAnsi="Verdana"/>
                                <w:b/>
                              </w:rPr>
                            </w:pPr>
                            <w:r>
                              <w:rPr>
                                <w:rFonts w:ascii="Verdana" w:hAnsi="Verdana"/>
                                <w:b/>
                              </w:rPr>
                              <w:t xml:space="preserve">4.21 </w:t>
                            </w:r>
                            <w:r w:rsidR="00583DCB" w:rsidRPr="00363404">
                              <w:rPr>
                                <w:rFonts w:ascii="Verdana" w:hAnsi="Verdana"/>
                                <w:b/>
                              </w:rPr>
                              <w:t>The NIHRC recommends that if the regulations are to specify the role of relevant third party organisations in applying for Domestic Abuse Protection Orders, that these organisations are provided with specialised training and adequate funding to fulfil this role.</w:t>
                            </w:r>
                          </w:p>
                          <w:p w14:paraId="240256CF" w14:textId="126E699D" w:rsidR="004B684F" w:rsidRDefault="004B684F">
                            <w:pPr>
                              <w:rPr>
                                <w:rFonts w:ascii="Verdana" w:hAnsi="Verdana"/>
                                <w:b/>
                              </w:rPr>
                            </w:pPr>
                          </w:p>
                          <w:p w14:paraId="30D6564C" w14:textId="0901CA46" w:rsidR="004B684F" w:rsidRDefault="004B684F">
                            <w:pPr>
                              <w:rPr>
                                <w:rFonts w:ascii="Verdana" w:hAnsi="Verdana"/>
                                <w:b/>
                              </w:rPr>
                            </w:pPr>
                            <w:r w:rsidRPr="004B684F">
                              <w:rPr>
                                <w:rFonts w:ascii="Verdana" w:hAnsi="Verdana"/>
                                <w:b/>
                              </w:rPr>
                              <w:t>4.26</w:t>
                            </w:r>
                            <w:r w:rsidRPr="004B684F">
                              <w:rPr>
                                <w:rFonts w:ascii="Verdana" w:hAnsi="Verdana"/>
                                <w:b/>
                              </w:rPr>
                              <w:tab/>
                              <w:t>The NIHRC recommends that any interference with Article 8 ECHR is a measure of last resort and must be in accordance with the law. The NIHRC recommends the Department produce appropriate guidance on the use of Domestic Abuse Protection Notices to ensure compliance with Article 8 ECHR.</w:t>
                            </w:r>
                          </w:p>
                          <w:p w14:paraId="24B99F7F" w14:textId="216A9FF2" w:rsidR="004B684F" w:rsidRDefault="004B684F">
                            <w:pPr>
                              <w:rPr>
                                <w:rFonts w:ascii="Verdana" w:hAnsi="Verdana"/>
                                <w:b/>
                              </w:rPr>
                            </w:pPr>
                          </w:p>
                          <w:p w14:paraId="69C6FBC5" w14:textId="77777777" w:rsidR="004B684F" w:rsidRPr="004B684F" w:rsidRDefault="004B684F" w:rsidP="004B684F">
                            <w:pPr>
                              <w:rPr>
                                <w:rFonts w:ascii="Verdana" w:hAnsi="Verdana"/>
                                <w:b/>
                              </w:rPr>
                            </w:pPr>
                            <w:r w:rsidRPr="004B684F">
                              <w:rPr>
                                <w:rFonts w:ascii="Verdana" w:hAnsi="Verdana"/>
                                <w:b/>
                              </w:rPr>
                              <w:t>5.8</w:t>
                            </w:r>
                            <w:r w:rsidRPr="004B684F">
                              <w:rPr>
                                <w:rFonts w:ascii="Verdana" w:hAnsi="Verdana"/>
                                <w:b/>
                              </w:rPr>
                              <w:tab/>
                              <w:t xml:space="preserve">The NIHRC recommends the Department provides further clarification on the statutory safeguards that would be used if electronic monitoring is implemented and that these reference human rights standards, in particular consideration of Article 8 ECHR. </w:t>
                            </w:r>
                          </w:p>
                          <w:p w14:paraId="11B5B599" w14:textId="77777777" w:rsidR="004B684F" w:rsidRPr="004B684F" w:rsidRDefault="004B684F" w:rsidP="004B684F">
                            <w:pPr>
                              <w:rPr>
                                <w:rFonts w:ascii="Verdana" w:hAnsi="Verdana"/>
                                <w:b/>
                              </w:rPr>
                            </w:pPr>
                          </w:p>
                          <w:p w14:paraId="1286BD04" w14:textId="404FA8AE" w:rsidR="004B684F" w:rsidRDefault="004B684F" w:rsidP="004B684F">
                            <w:pPr>
                              <w:rPr>
                                <w:rFonts w:ascii="Verdana" w:hAnsi="Verdana"/>
                                <w:b/>
                              </w:rPr>
                            </w:pPr>
                            <w:r w:rsidRPr="004B684F">
                              <w:rPr>
                                <w:rFonts w:ascii="Verdana" w:hAnsi="Verdana"/>
                                <w:b/>
                              </w:rPr>
                              <w:t>5.9</w:t>
                            </w:r>
                            <w:r w:rsidRPr="004B684F">
                              <w:rPr>
                                <w:rFonts w:ascii="Verdana" w:hAnsi="Verdana"/>
                                <w:b/>
                              </w:rPr>
                              <w:tab/>
                              <w:t xml:space="preserve">The NIHRC recommends that the Department pilots the introduction of electronic monitoring, nonetheless, it should that it does </w:t>
                            </w:r>
                            <w:r w:rsidR="00845EB8">
                              <w:rPr>
                                <w:rFonts w:ascii="Verdana" w:hAnsi="Verdana"/>
                                <w:b/>
                              </w:rPr>
                              <w:t xml:space="preserve">not </w:t>
                            </w:r>
                            <w:r w:rsidRPr="004B684F">
                              <w:rPr>
                                <w:rFonts w:ascii="Verdana" w:hAnsi="Verdana"/>
                                <w:b/>
                              </w:rPr>
                              <w:t>delay the introduction of Domestic Abuse Protection Orders and Notices.</w:t>
                            </w:r>
                          </w:p>
                          <w:p w14:paraId="37613A65" w14:textId="32264B1A" w:rsidR="004B684F" w:rsidRDefault="004B684F" w:rsidP="004B684F">
                            <w:pPr>
                              <w:rPr>
                                <w:rFonts w:ascii="Verdana" w:hAnsi="Verdana"/>
                                <w:b/>
                              </w:rPr>
                            </w:pPr>
                          </w:p>
                          <w:p w14:paraId="021BE14B" w14:textId="2564CBB9" w:rsidR="004B684F" w:rsidRDefault="004B684F" w:rsidP="004B684F">
                            <w:pPr>
                              <w:rPr>
                                <w:rFonts w:ascii="Verdana" w:hAnsi="Verdana"/>
                                <w:b/>
                              </w:rPr>
                            </w:pPr>
                            <w:r w:rsidRPr="004B684F">
                              <w:rPr>
                                <w:rFonts w:ascii="Verdana" w:hAnsi="Verdana"/>
                                <w:b/>
                              </w:rPr>
                              <w:t>5.14</w:t>
                            </w:r>
                            <w:r w:rsidRPr="004B684F">
                              <w:rPr>
                                <w:rFonts w:ascii="Verdana" w:hAnsi="Verdana"/>
                                <w:b/>
                              </w:rPr>
                              <w:tab/>
                              <w:t>The NIHRC recommends clear guidance is provided to the Police Service NI on what constitutes a breach of a Domestic Abuse Protection Order and Notice to ensure perpetrators receive appropriate sanctions.</w:t>
                            </w:r>
                          </w:p>
                          <w:p w14:paraId="26E85079" w14:textId="1EE84544" w:rsidR="004B684F" w:rsidRDefault="004B684F" w:rsidP="004B684F">
                            <w:pPr>
                              <w:rPr>
                                <w:rFonts w:ascii="Verdana" w:hAnsi="Verdana"/>
                                <w:b/>
                              </w:rPr>
                            </w:pPr>
                          </w:p>
                          <w:p w14:paraId="4FB5FEEB" w14:textId="4240A08F" w:rsidR="004B684F" w:rsidRPr="00363404" w:rsidRDefault="004B684F" w:rsidP="004B684F">
                            <w:pPr>
                              <w:rPr>
                                <w:rFonts w:ascii="Verdana" w:hAnsi="Verdana"/>
                                <w:b/>
                              </w:rPr>
                            </w:pPr>
                            <w:r w:rsidRPr="004B684F">
                              <w:rPr>
                                <w:rFonts w:ascii="Verdana" w:hAnsi="Verdana"/>
                                <w:b/>
                              </w:rPr>
                              <w:t>6.3</w:t>
                            </w:r>
                            <w:r w:rsidRPr="004B684F">
                              <w:rPr>
                                <w:rFonts w:ascii="Verdana" w:hAnsi="Verdana"/>
                                <w:b/>
                              </w:rPr>
                              <w:tab/>
                              <w:t>The NIHRC recommends that the Department works with the relevant public authorities and civil society organisations to systematically collect and publish data on domestic abuse that is disaggregated by sex, gender, ethnicity, disability and age. It should also record the journey of abuse investigations through the criminal justice system, including number of initial reports, number of referrals to the Public Prosecution Service, how many reach different stages of the court process, how many prosecutions, what is the resulting remedy and how many repeat offences.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FD26CB" id="_x0000_t202" coordsize="21600,21600" o:spt="202" path="m,l,21600r21600,l21600,xe">
                <v:stroke joinstyle="miter"/>
                <v:path gradientshapeok="t" o:connecttype="rect"/>
              </v:shapetype>
              <v:shape id="_x0000_s1027" type="#_x0000_t202" style="position:absolute;left:0;text-align:left;margin-left:446.65pt;margin-top:11.35pt;width:497.85pt;height:686.9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G3FKAIAAEwEAAAOAAAAZHJzL2Uyb0RvYy54bWysVNuO2yAQfa/Uf0C8N06cy26sOKtttqkq&#10;bS/Sbj+AYByjAkOBxE6/vgP2plbbp6p+QAwzHGbOmfHmrtOKnIXzEkxJZ5MpJcJwqKQ5lvTr8/7N&#10;LSU+MFMxBUaU9CI8vdu+frVpbSFyaEBVwhEEMb5obUmbEGyRZZ43QjM/ASsMOmtwmgU03TGrHGsR&#10;Xassn05XWQuusg648B5PH3on3Sb8uhY8fK5rLwJRJcXcQlpdWg9xzbYbVhwds43kQxrsH7LQTBp8&#10;9Ar1wAIjJyf/gNKSO/BQhwkHnUFdSy5SDVjNbPpbNU8NsyLVguR4e6XJ/z9Y/un8xRFZoXaUGKZR&#10;omfRBfIWOpJHdlrrCwx6shgWOjyOkbFSbx+Bf/PEwK5h5ijunYO2EazC7GbxZja62uP4CHJoP0KF&#10;z7BTgATU1U5HQCSDIDqqdLkqE1PheLia5/lqvaSEo+/2Jp+v5km7jBUv163z4b0ATeKmpA6lT/Ds&#10;/OhDTIcVLyEpfVCy2kulkuGOh51y5MywTfbpSxVgleMwZUhb0vUyX/YMjH1+DDFN398gtAzY70pq&#10;LOMaxIrI2ztTpW4MTKp+jykrMxAZuetZDN2hGxQb9DlAdUFmHfTtjeOImwbcD0pabO2S+u8n5gQl&#10;6oNBddazxSLOQjIWy5scDTf2HMYeZjhClTRQ0m93Ic1P5M3APapYy8RvlLvPZEgZWzbRPoxXnImx&#10;naJ+/QS2PwEAAP//AwBQSwMEFAAGAAgAAAAhAG/4cKXfAAAACAEAAA8AAABkcnMvZG93bnJldi54&#10;bWxMj8FOwzAQRO9I/IO1SFwQdUhp2oQ4FUICwQ3aCq5uvE0i4nWw3TT8PcsJbjua0eybcj3ZXozo&#10;Q+dIwc0sAYFUO9NRo2C3fbxegQhRk9G9I1TwjQHW1flZqQvjTvSG4yY2gksoFFpBG+NQSBnqFq0O&#10;MzcgsXdw3urI0jfSeH3ictvLNEkyaXVH/KHVAz60WH9ujlbB6vZ5/Agv89f3Ojv0ebxajk9fXqnL&#10;i+n+DkTEKf6F4Ref0aFipr07kgmiV8BDooI0XYJgN88XfOw5Ns+zBciqlP8HVD8AAAD//wMAUEsB&#10;Ai0AFAAGAAgAAAAhALaDOJL+AAAA4QEAABMAAAAAAAAAAAAAAAAAAAAAAFtDb250ZW50X1R5cGVz&#10;XS54bWxQSwECLQAUAAYACAAAACEAOP0h/9YAAACUAQAACwAAAAAAAAAAAAAAAAAvAQAAX3JlbHMv&#10;LnJlbHNQSwECLQAUAAYACAAAACEA8GBtxSgCAABMBAAADgAAAAAAAAAAAAAAAAAuAgAAZHJzL2Uy&#10;b0RvYy54bWxQSwECLQAUAAYACAAAACEAb/hwpd8AAAAIAQAADwAAAAAAAAAAAAAAAACCBAAAZHJz&#10;L2Rvd25yZXYueG1sUEsFBgAAAAAEAAQA8wAAAI4FAAAAAA==&#10;">
                <v:textbox>
                  <w:txbxContent>
                    <w:p w14:paraId="64F7D8B8" w14:textId="26F791FA" w:rsidR="004B684F" w:rsidRDefault="004B684F">
                      <w:pPr>
                        <w:rPr>
                          <w:rFonts w:ascii="Verdana" w:hAnsi="Verdana"/>
                          <w:b/>
                        </w:rPr>
                      </w:pPr>
                    </w:p>
                    <w:p w14:paraId="43E657EE" w14:textId="31F10E61" w:rsidR="00583DCB" w:rsidRDefault="004B684F">
                      <w:pPr>
                        <w:rPr>
                          <w:rFonts w:ascii="Verdana" w:hAnsi="Verdana"/>
                          <w:b/>
                        </w:rPr>
                      </w:pPr>
                      <w:r>
                        <w:rPr>
                          <w:rFonts w:ascii="Verdana" w:hAnsi="Verdana"/>
                          <w:b/>
                        </w:rPr>
                        <w:t xml:space="preserve">4.21 </w:t>
                      </w:r>
                      <w:r w:rsidR="00583DCB" w:rsidRPr="00363404">
                        <w:rPr>
                          <w:rFonts w:ascii="Verdana" w:hAnsi="Verdana"/>
                          <w:b/>
                        </w:rPr>
                        <w:t>The NIHRC recommends that if the regulations are to specify the role of relevant third party organisations in applying for Domestic Abuse Protection Orders, that these organisations are provided with specialised training and adequate funding to fulfil this role.</w:t>
                      </w:r>
                    </w:p>
                    <w:p w14:paraId="240256CF" w14:textId="126E699D" w:rsidR="004B684F" w:rsidRDefault="004B684F">
                      <w:pPr>
                        <w:rPr>
                          <w:rFonts w:ascii="Verdana" w:hAnsi="Verdana"/>
                          <w:b/>
                        </w:rPr>
                      </w:pPr>
                    </w:p>
                    <w:p w14:paraId="30D6564C" w14:textId="0901CA46" w:rsidR="004B684F" w:rsidRDefault="004B684F">
                      <w:pPr>
                        <w:rPr>
                          <w:rFonts w:ascii="Verdana" w:hAnsi="Verdana"/>
                          <w:b/>
                        </w:rPr>
                      </w:pPr>
                      <w:r w:rsidRPr="004B684F">
                        <w:rPr>
                          <w:rFonts w:ascii="Verdana" w:hAnsi="Verdana"/>
                          <w:b/>
                        </w:rPr>
                        <w:t>4.26</w:t>
                      </w:r>
                      <w:r w:rsidRPr="004B684F">
                        <w:rPr>
                          <w:rFonts w:ascii="Verdana" w:hAnsi="Verdana"/>
                          <w:b/>
                        </w:rPr>
                        <w:tab/>
                        <w:t>The NIHRC recommends that any interference with Article 8 ECHR is a measure of last resort and must be in accordance with the law. The NIHRC recommends the Department produce appropriate guidance on the use of Domestic Abuse Protection Notices to ensure compliance with Article 8 ECHR.</w:t>
                      </w:r>
                    </w:p>
                    <w:p w14:paraId="24B99F7F" w14:textId="216A9FF2" w:rsidR="004B684F" w:rsidRDefault="004B684F">
                      <w:pPr>
                        <w:rPr>
                          <w:rFonts w:ascii="Verdana" w:hAnsi="Verdana"/>
                          <w:b/>
                        </w:rPr>
                      </w:pPr>
                    </w:p>
                    <w:p w14:paraId="69C6FBC5" w14:textId="77777777" w:rsidR="004B684F" w:rsidRPr="004B684F" w:rsidRDefault="004B684F" w:rsidP="004B684F">
                      <w:pPr>
                        <w:rPr>
                          <w:rFonts w:ascii="Verdana" w:hAnsi="Verdana"/>
                          <w:b/>
                        </w:rPr>
                      </w:pPr>
                      <w:r w:rsidRPr="004B684F">
                        <w:rPr>
                          <w:rFonts w:ascii="Verdana" w:hAnsi="Verdana"/>
                          <w:b/>
                        </w:rPr>
                        <w:t>5.8</w:t>
                      </w:r>
                      <w:r w:rsidRPr="004B684F">
                        <w:rPr>
                          <w:rFonts w:ascii="Verdana" w:hAnsi="Verdana"/>
                          <w:b/>
                        </w:rPr>
                        <w:tab/>
                        <w:t xml:space="preserve">The NIHRC recommends the Department provides further clarification on the statutory safeguards that would be used if electronic monitoring is implemented and that these reference human rights standards, in particular consideration of Article 8 ECHR. </w:t>
                      </w:r>
                    </w:p>
                    <w:p w14:paraId="11B5B599" w14:textId="77777777" w:rsidR="004B684F" w:rsidRPr="004B684F" w:rsidRDefault="004B684F" w:rsidP="004B684F">
                      <w:pPr>
                        <w:rPr>
                          <w:rFonts w:ascii="Verdana" w:hAnsi="Verdana"/>
                          <w:b/>
                        </w:rPr>
                      </w:pPr>
                    </w:p>
                    <w:p w14:paraId="1286BD04" w14:textId="404FA8AE" w:rsidR="004B684F" w:rsidRDefault="004B684F" w:rsidP="004B684F">
                      <w:pPr>
                        <w:rPr>
                          <w:rFonts w:ascii="Verdana" w:hAnsi="Verdana"/>
                          <w:b/>
                        </w:rPr>
                      </w:pPr>
                      <w:r w:rsidRPr="004B684F">
                        <w:rPr>
                          <w:rFonts w:ascii="Verdana" w:hAnsi="Verdana"/>
                          <w:b/>
                        </w:rPr>
                        <w:t>5.9</w:t>
                      </w:r>
                      <w:r w:rsidRPr="004B684F">
                        <w:rPr>
                          <w:rFonts w:ascii="Verdana" w:hAnsi="Verdana"/>
                          <w:b/>
                        </w:rPr>
                        <w:tab/>
                        <w:t xml:space="preserve">The NIHRC recommends that the Department pilots the introduction of electronic monitoring, nonetheless, it should that it does </w:t>
                      </w:r>
                      <w:r w:rsidR="00845EB8">
                        <w:rPr>
                          <w:rFonts w:ascii="Verdana" w:hAnsi="Verdana"/>
                          <w:b/>
                        </w:rPr>
                        <w:t xml:space="preserve">not </w:t>
                      </w:r>
                      <w:r w:rsidRPr="004B684F">
                        <w:rPr>
                          <w:rFonts w:ascii="Verdana" w:hAnsi="Verdana"/>
                          <w:b/>
                        </w:rPr>
                        <w:t>delay the introduction of Domestic Abuse Protection Orders and Notices.</w:t>
                      </w:r>
                    </w:p>
                    <w:p w14:paraId="37613A65" w14:textId="32264B1A" w:rsidR="004B684F" w:rsidRDefault="004B684F" w:rsidP="004B684F">
                      <w:pPr>
                        <w:rPr>
                          <w:rFonts w:ascii="Verdana" w:hAnsi="Verdana"/>
                          <w:b/>
                        </w:rPr>
                      </w:pPr>
                    </w:p>
                    <w:p w14:paraId="021BE14B" w14:textId="2564CBB9" w:rsidR="004B684F" w:rsidRDefault="004B684F" w:rsidP="004B684F">
                      <w:pPr>
                        <w:rPr>
                          <w:rFonts w:ascii="Verdana" w:hAnsi="Verdana"/>
                          <w:b/>
                        </w:rPr>
                      </w:pPr>
                      <w:r w:rsidRPr="004B684F">
                        <w:rPr>
                          <w:rFonts w:ascii="Verdana" w:hAnsi="Verdana"/>
                          <w:b/>
                        </w:rPr>
                        <w:t>5.14</w:t>
                      </w:r>
                      <w:r w:rsidRPr="004B684F">
                        <w:rPr>
                          <w:rFonts w:ascii="Verdana" w:hAnsi="Verdana"/>
                          <w:b/>
                        </w:rPr>
                        <w:tab/>
                        <w:t>The NIHRC recommends clear guidance is provided to the Police Service NI on what constitutes a breach of a Domestic Abuse Protection Order and Notice to ensure perpetrators receive appropriate sanctions.</w:t>
                      </w:r>
                    </w:p>
                    <w:p w14:paraId="26E85079" w14:textId="1EE84544" w:rsidR="004B684F" w:rsidRDefault="004B684F" w:rsidP="004B684F">
                      <w:pPr>
                        <w:rPr>
                          <w:rFonts w:ascii="Verdana" w:hAnsi="Verdana"/>
                          <w:b/>
                        </w:rPr>
                      </w:pPr>
                    </w:p>
                    <w:p w14:paraId="4FB5FEEB" w14:textId="4240A08F" w:rsidR="004B684F" w:rsidRPr="00363404" w:rsidRDefault="004B684F" w:rsidP="004B684F">
                      <w:pPr>
                        <w:rPr>
                          <w:rFonts w:ascii="Verdana" w:hAnsi="Verdana"/>
                          <w:b/>
                        </w:rPr>
                      </w:pPr>
                      <w:r w:rsidRPr="004B684F">
                        <w:rPr>
                          <w:rFonts w:ascii="Verdana" w:hAnsi="Verdana"/>
                          <w:b/>
                        </w:rPr>
                        <w:t>6.3</w:t>
                      </w:r>
                      <w:r w:rsidRPr="004B684F">
                        <w:rPr>
                          <w:rFonts w:ascii="Verdana" w:hAnsi="Verdana"/>
                          <w:b/>
                        </w:rPr>
                        <w:tab/>
                        <w:t>The NIHRC recommends that the Department works with the relevant public authorities and civil society organisations to systematically collect and publish data on domestic abuse that is disaggregated by sex, gender, ethnicity, disability and age. It should also record the journey of abuse investigations through the criminal justice system, including number of initial reports, number of referrals to the Public Prosecution Service, how many reach different stages of the court process, how many prosecutions, what is the resulting remedy and how many repeat offences.</w:t>
                      </w:r>
                    </w:p>
                  </w:txbxContent>
                </v:textbox>
                <w10:wrap type="square" anchorx="margin"/>
              </v:shape>
            </w:pict>
          </mc:Fallback>
        </mc:AlternateContent>
      </w:r>
    </w:p>
    <w:p w14:paraId="4455A0EC" w14:textId="77777777" w:rsidR="007569C1" w:rsidRPr="00540106" w:rsidRDefault="00F51A88">
      <w:pPr>
        <w:pStyle w:val="Heading1"/>
        <w:numPr>
          <w:ilvl w:val="1"/>
          <w:numId w:val="9"/>
        </w:numPr>
        <w:spacing w:before="24"/>
        <w:rPr>
          <w:color w:val="77328A"/>
        </w:rPr>
      </w:pPr>
      <w:bookmarkStart w:id="1" w:name="_Toc63782213"/>
      <w:bookmarkStart w:id="2" w:name="_Toc63782214"/>
      <w:bookmarkStart w:id="3" w:name="_Toc63782215"/>
      <w:bookmarkStart w:id="4" w:name="_Toc63782216"/>
      <w:bookmarkStart w:id="5" w:name="_Toc63782217"/>
      <w:bookmarkStart w:id="6" w:name="_Toc63782218"/>
      <w:bookmarkStart w:id="7" w:name="_Toc63782219"/>
      <w:bookmarkStart w:id="8" w:name="_Toc63782220"/>
      <w:bookmarkStart w:id="9" w:name="_Toc63782221"/>
      <w:bookmarkStart w:id="10" w:name="_Toc63782222"/>
      <w:bookmarkStart w:id="11" w:name="_Toc63782223"/>
      <w:bookmarkStart w:id="12" w:name="_Toc63782224"/>
      <w:bookmarkStart w:id="13" w:name="_Toc63782225"/>
      <w:bookmarkStart w:id="14" w:name="_Toc63782226"/>
      <w:bookmarkStart w:id="15" w:name="_Toc63782227"/>
      <w:bookmarkStart w:id="16" w:name="_Toc63782228"/>
      <w:bookmarkStart w:id="17" w:name="_Toc63782229"/>
      <w:bookmarkStart w:id="18" w:name="_Toc63782230"/>
      <w:bookmarkStart w:id="19" w:name="_Toc63782231"/>
      <w:bookmarkStart w:id="20" w:name="_Toc63782232"/>
      <w:bookmarkStart w:id="21" w:name="_Toc63782233"/>
      <w:bookmarkStart w:id="22" w:name="_Toc63782234"/>
      <w:bookmarkStart w:id="23" w:name="_Toc63782235"/>
      <w:bookmarkStart w:id="24" w:name="_Toc63782236"/>
      <w:bookmarkStart w:id="25" w:name="_Toc63782237"/>
      <w:bookmarkStart w:id="26" w:name="_Toc63782238"/>
      <w:bookmarkStart w:id="27" w:name="_Toc63782239"/>
      <w:bookmarkStart w:id="28" w:name="_Toc63782240"/>
      <w:bookmarkStart w:id="29" w:name="_Toc63351589"/>
      <w:bookmarkStart w:id="30" w:name="_Toc63351612"/>
      <w:bookmarkStart w:id="31" w:name="_Toc63351807"/>
      <w:bookmarkStart w:id="32" w:name="_Toc63422467"/>
      <w:bookmarkStart w:id="33" w:name="_Toc63351590"/>
      <w:bookmarkStart w:id="34" w:name="_Toc63351613"/>
      <w:bookmarkStart w:id="35" w:name="_Toc63351808"/>
      <w:bookmarkStart w:id="36" w:name="_Toc63422468"/>
      <w:bookmarkStart w:id="37" w:name="_Toc6378224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540106">
        <w:rPr>
          <w:color w:val="77328A"/>
        </w:rPr>
        <w:lastRenderedPageBreak/>
        <w:t>Introduction</w:t>
      </w:r>
      <w:bookmarkEnd w:id="37"/>
    </w:p>
    <w:p w14:paraId="240B67C3" w14:textId="77777777" w:rsidR="00F51A88" w:rsidRPr="00540106" w:rsidRDefault="00F51A88">
      <w:pPr>
        <w:pStyle w:val="BasicParagraph"/>
        <w:suppressAutoHyphens/>
        <w:rPr>
          <w:rFonts w:ascii="Verdana" w:hAnsi="Verdana" w:cs="Arial"/>
          <w:color w:val="77328A"/>
          <w:sz w:val="30"/>
          <w:szCs w:val="30"/>
        </w:rPr>
      </w:pPr>
    </w:p>
    <w:p w14:paraId="64985823" w14:textId="77777777" w:rsidR="00F51A88" w:rsidRPr="00540106" w:rsidRDefault="00F51A88">
      <w:pPr>
        <w:widowControl w:val="0"/>
        <w:numPr>
          <w:ilvl w:val="1"/>
          <w:numId w:val="9"/>
        </w:numPr>
        <w:autoSpaceDE w:val="0"/>
        <w:autoSpaceDN w:val="0"/>
        <w:adjustRightInd w:val="0"/>
        <w:rPr>
          <w:rFonts w:ascii="Verdana" w:eastAsia="MS Mincho" w:hAnsi="Verdana" w:cs="Arial"/>
          <w:lang w:val="en-US"/>
        </w:rPr>
      </w:pPr>
      <w:r w:rsidRPr="00540106">
        <w:rPr>
          <w:rFonts w:ascii="Verdana" w:eastAsia="MS Mincho" w:hAnsi="Verdana" w:cs="Arial"/>
          <w:lang w:val="en-US"/>
        </w:rPr>
        <w:t>The Northern Ireland Human Rights Commission (NIHRC), pursuant to section 69(1) of the Northern Ireland Act 1998, reviews the adequacy and effectiveness of law and practice relating to the protection of human rights in Northern Ireland (NI). In accordance with this function, the following advice is submitted in response to Department of Justice’s consultation on</w:t>
      </w:r>
      <w:r w:rsidR="000B5EB5" w:rsidRPr="00540106">
        <w:rPr>
          <w:rFonts w:ascii="Verdana" w:eastAsia="MS Mincho" w:hAnsi="Verdana" w:cs="Arial"/>
          <w:lang w:val="en-US"/>
        </w:rPr>
        <w:t xml:space="preserve"> enhancing legal protections for victims of domestic abuse</w:t>
      </w:r>
      <w:r w:rsidRPr="00540106">
        <w:rPr>
          <w:rFonts w:ascii="Verdana" w:eastAsia="MS Mincho" w:hAnsi="Verdana" w:cs="Arial"/>
          <w:lang w:val="en-US"/>
        </w:rPr>
        <w:t xml:space="preserve">. </w:t>
      </w:r>
    </w:p>
    <w:p w14:paraId="437A2EAD" w14:textId="77777777" w:rsidR="00F51A88" w:rsidRPr="00540106" w:rsidRDefault="00F51A88">
      <w:pPr>
        <w:widowControl w:val="0"/>
        <w:autoSpaceDE w:val="0"/>
        <w:autoSpaceDN w:val="0"/>
        <w:adjustRightInd w:val="0"/>
        <w:rPr>
          <w:rFonts w:ascii="Verdana" w:eastAsia="MS Mincho" w:hAnsi="Verdana" w:cs="Arial"/>
          <w:lang w:val="en-US"/>
        </w:rPr>
      </w:pPr>
    </w:p>
    <w:p w14:paraId="415D7545" w14:textId="77777777" w:rsidR="00F51A88" w:rsidRPr="00540106" w:rsidRDefault="00F51A88">
      <w:pPr>
        <w:widowControl w:val="0"/>
        <w:numPr>
          <w:ilvl w:val="1"/>
          <w:numId w:val="9"/>
        </w:numPr>
        <w:autoSpaceDE w:val="0"/>
        <w:autoSpaceDN w:val="0"/>
        <w:adjustRightInd w:val="0"/>
        <w:rPr>
          <w:rFonts w:ascii="Verdana" w:eastAsia="MS Mincho" w:hAnsi="Verdana" w:cs="Arial"/>
          <w:b/>
          <w:lang w:val="en-US"/>
        </w:rPr>
      </w:pPr>
      <w:r w:rsidRPr="00540106">
        <w:rPr>
          <w:rFonts w:ascii="Verdana" w:eastAsia="MS Mincho" w:hAnsi="Verdana" w:cs="Arial"/>
          <w:lang w:val="en-US"/>
        </w:rPr>
        <w:t>The NIHRC bases its advice on the full range of internationally accepted human rights standards, including the European Convention on Human Rights, as incorporated by the Human Rights Act 1998, and the treaty obligations of the Council of Europe (CoE) and United Nations (UN). The relevant regional and international treaties in this context include:</w:t>
      </w:r>
    </w:p>
    <w:p w14:paraId="3968AA6A" w14:textId="77777777" w:rsidR="00F51A88" w:rsidRPr="00540106" w:rsidRDefault="00F51A88">
      <w:pPr>
        <w:contextualSpacing/>
        <w:rPr>
          <w:rFonts w:ascii="Verdana" w:eastAsia="MS Mincho" w:hAnsi="Verdana" w:cs="Arial"/>
        </w:rPr>
      </w:pPr>
    </w:p>
    <w:p w14:paraId="7F5E6FE2" w14:textId="77777777" w:rsidR="00F51A88" w:rsidRPr="00540106" w:rsidRDefault="00F51A88">
      <w:pPr>
        <w:widowControl w:val="0"/>
        <w:numPr>
          <w:ilvl w:val="0"/>
          <w:numId w:val="10"/>
        </w:numPr>
        <w:autoSpaceDE w:val="0"/>
        <w:autoSpaceDN w:val="0"/>
        <w:adjustRightInd w:val="0"/>
        <w:rPr>
          <w:rFonts w:ascii="Verdana" w:eastAsia="MS Mincho" w:hAnsi="Verdana" w:cs="Arial"/>
          <w:b/>
          <w:lang w:val="en-US"/>
        </w:rPr>
      </w:pPr>
      <w:r w:rsidRPr="00540106">
        <w:rPr>
          <w:rFonts w:ascii="Verdana" w:eastAsia="MS Mincho" w:hAnsi="Verdana" w:cs="Arial"/>
          <w:lang w:val="en-US"/>
        </w:rPr>
        <w:t>European Convention on Human Rights (ECHR);</w:t>
      </w:r>
      <w:r w:rsidRPr="00540106">
        <w:rPr>
          <w:rFonts w:ascii="Verdana" w:eastAsia="MS Mincho" w:hAnsi="Verdana" w:cs="Arial"/>
          <w:vertAlign w:val="superscript"/>
          <w:lang w:val="en-US"/>
        </w:rPr>
        <w:footnoteReference w:id="2"/>
      </w:r>
      <w:r w:rsidRPr="00540106">
        <w:rPr>
          <w:rFonts w:ascii="Verdana" w:eastAsia="MS Mincho" w:hAnsi="Verdana" w:cs="Arial"/>
          <w:lang w:val="en-US"/>
        </w:rPr>
        <w:t xml:space="preserve"> </w:t>
      </w:r>
    </w:p>
    <w:p w14:paraId="64F726F6" w14:textId="77777777" w:rsidR="00F51A88" w:rsidRPr="00540106" w:rsidRDefault="00F51A88">
      <w:pPr>
        <w:widowControl w:val="0"/>
        <w:numPr>
          <w:ilvl w:val="0"/>
          <w:numId w:val="10"/>
        </w:numPr>
        <w:autoSpaceDE w:val="0"/>
        <w:autoSpaceDN w:val="0"/>
        <w:adjustRightInd w:val="0"/>
        <w:rPr>
          <w:rFonts w:ascii="Verdana" w:eastAsia="MS Mincho" w:hAnsi="Verdana" w:cs="Arial"/>
          <w:lang w:val="en-US"/>
        </w:rPr>
      </w:pPr>
      <w:r w:rsidRPr="00540106">
        <w:rPr>
          <w:rFonts w:ascii="Verdana" w:eastAsia="MS Mincho" w:hAnsi="Verdana" w:cs="Arial"/>
          <w:lang w:val="en-US"/>
        </w:rPr>
        <w:t>CoE Convention on Preventing and Combating Violence against Women (Istanbul Convention);</w:t>
      </w:r>
      <w:r w:rsidRPr="00540106">
        <w:rPr>
          <w:rFonts w:ascii="Verdana" w:eastAsia="MS Mincho" w:hAnsi="Verdana" w:cs="Arial"/>
          <w:vertAlign w:val="superscript"/>
          <w:lang w:val="en-US"/>
        </w:rPr>
        <w:footnoteReference w:id="3"/>
      </w:r>
    </w:p>
    <w:p w14:paraId="789EA0ED" w14:textId="77777777" w:rsidR="00F51A88" w:rsidRPr="00540106" w:rsidRDefault="00F51A88">
      <w:pPr>
        <w:widowControl w:val="0"/>
        <w:numPr>
          <w:ilvl w:val="0"/>
          <w:numId w:val="10"/>
        </w:numPr>
        <w:autoSpaceDE w:val="0"/>
        <w:autoSpaceDN w:val="0"/>
        <w:adjustRightInd w:val="0"/>
        <w:rPr>
          <w:rFonts w:ascii="Verdana" w:eastAsia="MS Mincho" w:hAnsi="Verdana" w:cs="Arial"/>
          <w:lang w:val="en-US"/>
        </w:rPr>
      </w:pPr>
      <w:r w:rsidRPr="00540106">
        <w:rPr>
          <w:rFonts w:ascii="Verdana" w:eastAsia="MS Mincho" w:hAnsi="Verdana" w:cs="Arial"/>
          <w:lang w:val="en-US"/>
        </w:rPr>
        <w:t>UN Convention on Civil and Political Rights (UN ICCPR);</w:t>
      </w:r>
      <w:r w:rsidRPr="00540106">
        <w:rPr>
          <w:rFonts w:ascii="Verdana" w:eastAsia="MS Mincho" w:hAnsi="Verdana" w:cs="Arial"/>
          <w:vertAlign w:val="superscript"/>
          <w:lang w:val="en-US"/>
        </w:rPr>
        <w:footnoteReference w:id="4"/>
      </w:r>
    </w:p>
    <w:p w14:paraId="7890A412" w14:textId="77777777" w:rsidR="00F51A88" w:rsidRPr="00540106" w:rsidRDefault="00F51A88">
      <w:pPr>
        <w:widowControl w:val="0"/>
        <w:numPr>
          <w:ilvl w:val="0"/>
          <w:numId w:val="10"/>
        </w:numPr>
        <w:autoSpaceDE w:val="0"/>
        <w:autoSpaceDN w:val="0"/>
        <w:adjustRightInd w:val="0"/>
        <w:rPr>
          <w:rFonts w:ascii="Verdana" w:eastAsia="MS Mincho" w:hAnsi="Verdana" w:cs="Arial"/>
          <w:lang w:val="en-US"/>
        </w:rPr>
      </w:pPr>
      <w:r w:rsidRPr="00540106">
        <w:rPr>
          <w:rFonts w:ascii="Verdana" w:eastAsia="MS Mincho" w:hAnsi="Verdana" w:cs="Verdana"/>
          <w:color w:val="000000"/>
          <w:lang w:val="en-US"/>
        </w:rPr>
        <w:t>UN Convention on Elimination of Discrimination against Women (UN CEDAW);</w:t>
      </w:r>
      <w:r w:rsidRPr="00540106">
        <w:rPr>
          <w:rFonts w:ascii="Verdana" w:eastAsia="MS Mincho" w:hAnsi="Verdana" w:cs="Verdana"/>
          <w:color w:val="000000"/>
          <w:vertAlign w:val="superscript"/>
          <w:lang w:val="en-US"/>
        </w:rPr>
        <w:footnoteReference w:id="5"/>
      </w:r>
    </w:p>
    <w:p w14:paraId="5FF35008" w14:textId="77777777" w:rsidR="00F51A88" w:rsidRPr="00540106" w:rsidRDefault="00F51A88">
      <w:pPr>
        <w:widowControl w:val="0"/>
        <w:numPr>
          <w:ilvl w:val="0"/>
          <w:numId w:val="10"/>
        </w:numPr>
        <w:autoSpaceDE w:val="0"/>
        <w:autoSpaceDN w:val="0"/>
        <w:adjustRightInd w:val="0"/>
        <w:rPr>
          <w:rFonts w:ascii="Verdana" w:eastAsia="MS Mincho" w:hAnsi="Verdana" w:cs="Arial"/>
          <w:lang w:val="en-US"/>
        </w:rPr>
      </w:pPr>
      <w:r w:rsidRPr="00540106">
        <w:rPr>
          <w:rFonts w:ascii="Verdana" w:eastAsia="MS Mincho" w:hAnsi="Verdana" w:cs="Verdana"/>
          <w:color w:val="000000"/>
          <w:lang w:val="en-US"/>
        </w:rPr>
        <w:t>UN Convention against Torture (UN CAT);</w:t>
      </w:r>
      <w:r w:rsidRPr="00540106">
        <w:rPr>
          <w:rFonts w:ascii="Verdana" w:eastAsia="MS Mincho" w:hAnsi="Verdana" w:cs="Verdana"/>
          <w:color w:val="000000"/>
          <w:vertAlign w:val="superscript"/>
          <w:lang w:val="en-US"/>
        </w:rPr>
        <w:footnoteReference w:id="6"/>
      </w:r>
    </w:p>
    <w:p w14:paraId="145228BD" w14:textId="77777777" w:rsidR="00F51A88" w:rsidRPr="00540106" w:rsidRDefault="00F51A88">
      <w:pPr>
        <w:widowControl w:val="0"/>
        <w:numPr>
          <w:ilvl w:val="0"/>
          <w:numId w:val="10"/>
        </w:numPr>
        <w:autoSpaceDE w:val="0"/>
        <w:autoSpaceDN w:val="0"/>
        <w:adjustRightInd w:val="0"/>
        <w:rPr>
          <w:rFonts w:ascii="Verdana" w:eastAsia="MS Mincho" w:hAnsi="Verdana" w:cs="Arial"/>
          <w:lang w:val="en-US"/>
        </w:rPr>
      </w:pPr>
      <w:r w:rsidRPr="00540106">
        <w:rPr>
          <w:rFonts w:ascii="Verdana" w:eastAsia="MS Mincho" w:hAnsi="Verdana" w:cs="Verdana"/>
          <w:color w:val="000000"/>
          <w:lang w:val="en-US"/>
        </w:rPr>
        <w:t>UN Convention on the Rights of the Child (UN CRC);</w:t>
      </w:r>
      <w:r w:rsidRPr="00540106">
        <w:rPr>
          <w:rFonts w:ascii="Verdana" w:eastAsia="MS Mincho" w:hAnsi="Verdana" w:cs="Verdana"/>
          <w:color w:val="000000"/>
          <w:vertAlign w:val="superscript"/>
          <w:lang w:val="en-US"/>
        </w:rPr>
        <w:footnoteReference w:id="7"/>
      </w:r>
      <w:r w:rsidRPr="00540106">
        <w:rPr>
          <w:rFonts w:ascii="Verdana" w:eastAsia="MS Mincho" w:hAnsi="Verdana" w:cs="Verdana"/>
          <w:color w:val="000000"/>
          <w:lang w:val="en-US"/>
        </w:rPr>
        <w:t xml:space="preserve"> and</w:t>
      </w:r>
    </w:p>
    <w:p w14:paraId="2EF1885E" w14:textId="77777777" w:rsidR="00F51A88" w:rsidRPr="00540106" w:rsidRDefault="00F51A88">
      <w:pPr>
        <w:widowControl w:val="0"/>
        <w:numPr>
          <w:ilvl w:val="0"/>
          <w:numId w:val="10"/>
        </w:numPr>
        <w:autoSpaceDE w:val="0"/>
        <w:autoSpaceDN w:val="0"/>
        <w:adjustRightInd w:val="0"/>
        <w:rPr>
          <w:rFonts w:ascii="Verdana" w:eastAsia="MS Mincho" w:hAnsi="Verdana" w:cs="Arial"/>
          <w:lang w:val="en-US"/>
        </w:rPr>
      </w:pPr>
      <w:r w:rsidRPr="00540106">
        <w:rPr>
          <w:rFonts w:ascii="Verdana" w:eastAsia="MS Mincho" w:hAnsi="Verdana" w:cs="Verdana"/>
          <w:color w:val="000000"/>
          <w:lang w:val="en-US"/>
        </w:rPr>
        <w:t>UN Convention on the Rights of Persons with Disabilities (UN CRPD).</w:t>
      </w:r>
      <w:r w:rsidRPr="00540106">
        <w:rPr>
          <w:rFonts w:ascii="Verdana" w:eastAsia="MS Mincho" w:hAnsi="Verdana" w:cs="Verdana"/>
          <w:color w:val="000000"/>
          <w:vertAlign w:val="superscript"/>
          <w:lang w:val="en-US"/>
        </w:rPr>
        <w:footnoteReference w:id="8"/>
      </w:r>
    </w:p>
    <w:p w14:paraId="03095059" w14:textId="77777777" w:rsidR="00F51A88" w:rsidRPr="00540106" w:rsidRDefault="00F51A88">
      <w:pPr>
        <w:contextualSpacing/>
        <w:rPr>
          <w:rFonts w:ascii="Verdana" w:eastAsia="MS Mincho" w:hAnsi="Verdana" w:cs="Arial"/>
        </w:rPr>
      </w:pPr>
    </w:p>
    <w:p w14:paraId="175C23C7" w14:textId="77777777" w:rsidR="00F51A88" w:rsidRPr="00540106" w:rsidRDefault="00F51A88">
      <w:pPr>
        <w:numPr>
          <w:ilvl w:val="1"/>
          <w:numId w:val="9"/>
        </w:numPr>
        <w:contextualSpacing/>
        <w:rPr>
          <w:rFonts w:ascii="Verdana" w:eastAsia="MS Mincho" w:hAnsi="Verdana" w:cs="Arial"/>
          <w:lang w:val="en-US"/>
        </w:rPr>
      </w:pPr>
      <w:r w:rsidRPr="00540106">
        <w:rPr>
          <w:rFonts w:ascii="Verdana" w:eastAsia="MS Mincho" w:hAnsi="Verdana" w:cs="Arial"/>
          <w:lang w:val="en-US"/>
        </w:rPr>
        <w:t xml:space="preserve">In addition to these treaty standards, there exists a body of ‘soft law’ developed by the human rights bodies of the CoE and UN. These </w:t>
      </w:r>
      <w:r w:rsidRPr="00540106">
        <w:rPr>
          <w:rFonts w:ascii="Verdana" w:eastAsia="MS Mincho" w:hAnsi="Verdana" w:cs="Arial"/>
          <w:lang w:val="en-US"/>
        </w:rPr>
        <w:lastRenderedPageBreak/>
        <w:t>declarations and principles are non-binding, but provide further guidance in respect of specific areas. The relevant standards in this context include:</w:t>
      </w:r>
    </w:p>
    <w:p w14:paraId="44D53AAC" w14:textId="77777777" w:rsidR="00F51A88" w:rsidRPr="00540106" w:rsidRDefault="00F51A88">
      <w:pPr>
        <w:contextualSpacing/>
        <w:rPr>
          <w:rFonts w:ascii="Verdana" w:eastAsia="MS Mincho" w:hAnsi="Verdana" w:cs="Arial"/>
          <w:lang w:val="en-US"/>
        </w:rPr>
      </w:pPr>
    </w:p>
    <w:p w14:paraId="4338BDDD" w14:textId="77777777" w:rsidR="00F51A88" w:rsidRPr="00540106" w:rsidRDefault="00F51A88">
      <w:pPr>
        <w:numPr>
          <w:ilvl w:val="0"/>
          <w:numId w:val="11"/>
        </w:numPr>
        <w:contextualSpacing/>
        <w:rPr>
          <w:rFonts w:ascii="Verdana" w:eastAsia="MS Mincho" w:hAnsi="Verdana" w:cs="Arial"/>
          <w:lang w:val="en-US"/>
        </w:rPr>
      </w:pPr>
      <w:r w:rsidRPr="00540106">
        <w:rPr>
          <w:rFonts w:ascii="Verdana" w:eastAsia="MS Mincho" w:hAnsi="Verdana" w:cs="Arial"/>
          <w:lang w:val="en-US"/>
        </w:rPr>
        <w:t>UN CAT Committee Concluding Observations 2019;</w:t>
      </w:r>
      <w:r w:rsidRPr="00540106">
        <w:rPr>
          <w:rFonts w:ascii="Verdana" w:eastAsia="MS Mincho" w:hAnsi="Verdana" w:cs="Arial"/>
          <w:vertAlign w:val="superscript"/>
          <w:lang w:val="en-US"/>
        </w:rPr>
        <w:footnoteReference w:id="9"/>
      </w:r>
    </w:p>
    <w:p w14:paraId="72D897E8" w14:textId="77777777" w:rsidR="00F51A88" w:rsidRPr="00540106" w:rsidRDefault="00F51A88">
      <w:pPr>
        <w:numPr>
          <w:ilvl w:val="0"/>
          <w:numId w:val="11"/>
        </w:numPr>
        <w:contextualSpacing/>
        <w:rPr>
          <w:rFonts w:ascii="Verdana" w:eastAsia="MS Mincho" w:hAnsi="Verdana" w:cs="Arial"/>
          <w:lang w:val="en-US"/>
        </w:rPr>
      </w:pPr>
      <w:r w:rsidRPr="00540106">
        <w:rPr>
          <w:rFonts w:ascii="Verdana" w:eastAsia="MS Mincho" w:hAnsi="Verdana" w:cs="Arial"/>
          <w:lang w:val="en-US"/>
        </w:rPr>
        <w:t>UN CEDAW Committee Concluding Observations 2019;</w:t>
      </w:r>
      <w:r w:rsidRPr="00540106">
        <w:rPr>
          <w:rFonts w:ascii="Verdana" w:eastAsia="MS Mincho" w:hAnsi="Verdana" w:cs="Arial"/>
          <w:vertAlign w:val="superscript"/>
          <w:lang w:val="en-US"/>
        </w:rPr>
        <w:footnoteReference w:id="10"/>
      </w:r>
    </w:p>
    <w:p w14:paraId="7A488A33" w14:textId="77777777" w:rsidR="00F51A88" w:rsidRPr="00540106" w:rsidRDefault="00F51A88">
      <w:pPr>
        <w:numPr>
          <w:ilvl w:val="0"/>
          <w:numId w:val="11"/>
        </w:numPr>
        <w:contextualSpacing/>
        <w:rPr>
          <w:rFonts w:ascii="Verdana" w:eastAsia="MS Mincho" w:hAnsi="Verdana" w:cs="Arial"/>
          <w:lang w:val="en-US"/>
        </w:rPr>
      </w:pPr>
      <w:r w:rsidRPr="00540106">
        <w:rPr>
          <w:rFonts w:ascii="Verdana" w:eastAsia="MS Mincho" w:hAnsi="Verdana" w:cs="Arial"/>
          <w:lang w:val="en-US"/>
        </w:rPr>
        <w:t>UN CEDAW Committee General Recommendation No 35;</w:t>
      </w:r>
      <w:r w:rsidRPr="00540106">
        <w:rPr>
          <w:rStyle w:val="FootnoteReference"/>
          <w:rFonts w:ascii="Verdana" w:eastAsia="MS Mincho" w:hAnsi="Verdana" w:cs="Arial"/>
          <w:lang w:val="en-US"/>
        </w:rPr>
        <w:footnoteReference w:id="11"/>
      </w:r>
    </w:p>
    <w:p w14:paraId="4BEACE86" w14:textId="77777777" w:rsidR="00F51A88" w:rsidRPr="00540106" w:rsidRDefault="00F51A88">
      <w:pPr>
        <w:numPr>
          <w:ilvl w:val="0"/>
          <w:numId w:val="11"/>
        </w:numPr>
        <w:contextualSpacing/>
        <w:rPr>
          <w:rFonts w:ascii="Verdana" w:eastAsia="MS Mincho" w:hAnsi="Verdana" w:cs="Arial"/>
          <w:lang w:val="en-US"/>
        </w:rPr>
      </w:pPr>
      <w:r w:rsidRPr="00540106">
        <w:rPr>
          <w:rFonts w:ascii="Verdana" w:eastAsia="MS Mincho" w:hAnsi="Verdana" w:cs="Arial"/>
          <w:lang w:val="en-US"/>
        </w:rPr>
        <w:t>UN Human Rights Committee General Comment No 32;</w:t>
      </w:r>
      <w:r w:rsidRPr="00540106">
        <w:rPr>
          <w:rFonts w:ascii="Verdana" w:eastAsia="MS Mincho" w:hAnsi="Verdana" w:cs="Arial"/>
          <w:vertAlign w:val="superscript"/>
          <w:lang w:val="en-US"/>
        </w:rPr>
        <w:footnoteReference w:id="12"/>
      </w:r>
      <w:r w:rsidRPr="00540106">
        <w:rPr>
          <w:rFonts w:ascii="Verdana" w:eastAsia="MS Mincho" w:hAnsi="Verdana" w:cs="Arial"/>
          <w:lang w:val="en-US"/>
        </w:rPr>
        <w:t xml:space="preserve"> and </w:t>
      </w:r>
    </w:p>
    <w:p w14:paraId="0A01B83C" w14:textId="77777777" w:rsidR="00F51A88" w:rsidRPr="00540106" w:rsidRDefault="00F51A88">
      <w:pPr>
        <w:numPr>
          <w:ilvl w:val="0"/>
          <w:numId w:val="11"/>
        </w:numPr>
        <w:contextualSpacing/>
        <w:rPr>
          <w:rFonts w:ascii="Verdana" w:eastAsia="MS Mincho" w:hAnsi="Verdana" w:cs="Arial"/>
          <w:lang w:val="en-US"/>
        </w:rPr>
      </w:pPr>
      <w:r w:rsidRPr="00540106">
        <w:rPr>
          <w:rFonts w:ascii="Verdana" w:eastAsia="MS Mincho" w:hAnsi="Verdana" w:cs="Arial"/>
          <w:lang w:val="en-US"/>
        </w:rPr>
        <w:t>UN Declaration on the Elimination of Violence against Women.</w:t>
      </w:r>
      <w:r w:rsidRPr="00540106">
        <w:rPr>
          <w:rFonts w:ascii="Verdana" w:eastAsia="MS Mincho" w:hAnsi="Verdana" w:cs="Arial"/>
          <w:vertAlign w:val="superscript"/>
          <w:lang w:val="en-US"/>
        </w:rPr>
        <w:footnoteReference w:id="13"/>
      </w:r>
    </w:p>
    <w:p w14:paraId="7F058932" w14:textId="77777777" w:rsidR="00F51A88" w:rsidRPr="00540106" w:rsidRDefault="00F51A88">
      <w:pPr>
        <w:pStyle w:val="Default"/>
        <w:rPr>
          <w:rFonts w:cs="Arial"/>
          <w:color w:val="232120"/>
        </w:rPr>
      </w:pPr>
    </w:p>
    <w:p w14:paraId="126D343C" w14:textId="77777777" w:rsidR="00F51A88" w:rsidRPr="00540106" w:rsidRDefault="00F51A88">
      <w:pPr>
        <w:pStyle w:val="ListParagraph"/>
        <w:numPr>
          <w:ilvl w:val="1"/>
          <w:numId w:val="9"/>
        </w:numPr>
        <w:rPr>
          <w:rFonts w:cs="Arial"/>
          <w:lang w:val="en-US"/>
        </w:rPr>
      </w:pPr>
      <w:r w:rsidRPr="00540106">
        <w:rPr>
          <w:rFonts w:cs="Arial"/>
          <w:lang w:val="en-US"/>
        </w:rPr>
        <w:t xml:space="preserve">The NIHRC welcomes the introduction of legislation to strengthen </w:t>
      </w:r>
      <w:r w:rsidR="000B5EB5" w:rsidRPr="00540106">
        <w:rPr>
          <w:rFonts w:cs="Arial"/>
          <w:lang w:val="en-US"/>
        </w:rPr>
        <w:t xml:space="preserve">legal </w:t>
      </w:r>
      <w:r w:rsidRPr="00540106">
        <w:rPr>
          <w:rFonts w:cs="Arial"/>
          <w:lang w:val="en-US"/>
        </w:rPr>
        <w:t>protections</w:t>
      </w:r>
      <w:r w:rsidR="000B5EB5" w:rsidRPr="00540106">
        <w:rPr>
          <w:rFonts w:cs="Arial"/>
          <w:lang w:val="en-US"/>
        </w:rPr>
        <w:t xml:space="preserve"> for victims of domestic abuse, </w:t>
      </w:r>
      <w:r w:rsidRPr="00540106">
        <w:rPr>
          <w:rFonts w:cs="Arial"/>
          <w:lang w:val="en-US"/>
        </w:rPr>
        <w:t>in particular t</w:t>
      </w:r>
      <w:r w:rsidR="000B5EB5" w:rsidRPr="00540106">
        <w:rPr>
          <w:rFonts w:cs="Arial"/>
          <w:lang w:val="en-US"/>
        </w:rPr>
        <w:t>o implement provisions around Domestic Abuse Protection Notices and Orders</w:t>
      </w:r>
      <w:r w:rsidR="00A465D1" w:rsidRPr="00540106">
        <w:rPr>
          <w:rFonts w:cs="Arial"/>
          <w:lang w:val="en-US"/>
        </w:rPr>
        <w:t>.</w:t>
      </w:r>
      <w:r w:rsidR="000B5EB5" w:rsidRPr="00540106">
        <w:rPr>
          <w:rFonts w:cs="Arial"/>
          <w:lang w:val="en-US"/>
        </w:rPr>
        <w:t xml:space="preserve"> </w:t>
      </w:r>
    </w:p>
    <w:p w14:paraId="02799906" w14:textId="77777777" w:rsidR="000B5EB5" w:rsidRPr="00540106" w:rsidRDefault="000B5EB5">
      <w:pPr>
        <w:pStyle w:val="ListParagraph"/>
        <w:rPr>
          <w:rFonts w:cs="Arial"/>
          <w:lang w:val="en-US"/>
        </w:rPr>
      </w:pPr>
    </w:p>
    <w:p w14:paraId="0DF029A3" w14:textId="73E7F8F3" w:rsidR="000B5EB5" w:rsidRPr="00540106" w:rsidRDefault="000B5EB5">
      <w:pPr>
        <w:pStyle w:val="ListParagraph"/>
        <w:numPr>
          <w:ilvl w:val="1"/>
          <w:numId w:val="9"/>
        </w:numPr>
        <w:rPr>
          <w:rFonts w:cs="Arial"/>
          <w:lang w:val="en-US"/>
        </w:rPr>
      </w:pPr>
      <w:r w:rsidRPr="00540106">
        <w:rPr>
          <w:rFonts w:cs="Arial"/>
          <w:lang w:val="en-US"/>
        </w:rPr>
        <w:t>Considering the range of practical issues in the consultation, the NIHRC has sought to highlight relevant human rights standards and principles, where they may be of assistance in developing</w:t>
      </w:r>
      <w:r w:rsidR="008B4B8E" w:rsidRPr="00540106">
        <w:rPr>
          <w:rFonts w:cs="Arial"/>
          <w:lang w:val="en-US"/>
        </w:rPr>
        <w:t xml:space="preserve"> the </w:t>
      </w:r>
      <w:r w:rsidR="0076746C">
        <w:rPr>
          <w:rFonts w:cs="Arial"/>
          <w:lang w:val="en-US"/>
        </w:rPr>
        <w:t>D</w:t>
      </w:r>
      <w:r w:rsidR="008B4B8E" w:rsidRPr="00540106">
        <w:rPr>
          <w:rFonts w:cs="Arial"/>
          <w:lang w:val="en-US"/>
        </w:rPr>
        <w:t xml:space="preserve">omestic </w:t>
      </w:r>
      <w:r w:rsidR="0076746C">
        <w:rPr>
          <w:rFonts w:cs="Arial"/>
          <w:lang w:val="en-US"/>
        </w:rPr>
        <w:t>A</w:t>
      </w:r>
      <w:r w:rsidR="008B4B8E" w:rsidRPr="00540106">
        <w:rPr>
          <w:rFonts w:cs="Arial"/>
          <w:lang w:val="en-US"/>
        </w:rPr>
        <w:t xml:space="preserve">buse protection Orders and Notices. Therefore, </w:t>
      </w:r>
      <w:r w:rsidRPr="00540106">
        <w:rPr>
          <w:rFonts w:cs="Arial"/>
          <w:lang w:val="en-US"/>
        </w:rPr>
        <w:t>the NIHRC’</w:t>
      </w:r>
      <w:r w:rsidR="00AA28AF">
        <w:rPr>
          <w:rFonts w:cs="Arial"/>
          <w:lang w:val="en-US"/>
        </w:rPr>
        <w:t>s response to some of the questions</w:t>
      </w:r>
      <w:r w:rsidRPr="00540106">
        <w:rPr>
          <w:rFonts w:cs="Arial"/>
          <w:lang w:val="en-US"/>
        </w:rPr>
        <w:t xml:space="preserve"> have been grouped together.</w:t>
      </w:r>
      <w:r w:rsidR="008B4B8E" w:rsidRPr="00540106">
        <w:rPr>
          <w:rFonts w:cs="Arial"/>
          <w:lang w:val="en-US"/>
        </w:rPr>
        <w:t xml:space="preserve"> </w:t>
      </w:r>
    </w:p>
    <w:p w14:paraId="517A1D5F" w14:textId="77777777" w:rsidR="007569C1" w:rsidRPr="00540106" w:rsidRDefault="007569C1">
      <w:pPr>
        <w:pStyle w:val="BasicParagraph"/>
        <w:suppressAutoHyphens/>
        <w:rPr>
          <w:rFonts w:ascii="Verdana" w:hAnsi="Verdana" w:cs="Arial"/>
          <w:b/>
          <w:color w:val="77328A"/>
        </w:rPr>
      </w:pPr>
    </w:p>
    <w:p w14:paraId="54C5971C" w14:textId="77777777" w:rsidR="008B4B8E" w:rsidRPr="00CE32B2" w:rsidRDefault="00456DBD" w:rsidP="00562673">
      <w:pPr>
        <w:pStyle w:val="Heading1"/>
        <w:numPr>
          <w:ilvl w:val="1"/>
          <w:numId w:val="12"/>
        </w:numPr>
        <w:suppressAutoHyphens/>
        <w:spacing w:before="24"/>
        <w:ind w:left="720" w:hanging="720"/>
        <w:rPr>
          <w:color w:val="77328A"/>
        </w:rPr>
      </w:pPr>
      <w:bookmarkStart w:id="38" w:name="_Toc63782242"/>
      <w:r w:rsidRPr="00CE32B2">
        <w:rPr>
          <w:color w:val="77328A"/>
        </w:rPr>
        <w:t>Background</w:t>
      </w:r>
      <w:bookmarkEnd w:id="38"/>
      <w:r w:rsidRPr="00CE32B2">
        <w:rPr>
          <w:color w:val="77328A"/>
        </w:rPr>
        <w:t xml:space="preserve"> </w:t>
      </w:r>
    </w:p>
    <w:p w14:paraId="3B42DF98" w14:textId="77777777" w:rsidR="005F5F0D" w:rsidRPr="00540106" w:rsidRDefault="005F5F0D">
      <w:pPr>
        <w:rPr>
          <w:rFonts w:ascii="Verdana" w:hAnsi="Verdana"/>
        </w:rPr>
      </w:pPr>
    </w:p>
    <w:p w14:paraId="6D7F6456" w14:textId="4063B910" w:rsidR="00365643" w:rsidRPr="002A4451" w:rsidRDefault="00DC0730" w:rsidP="0052668C">
      <w:pPr>
        <w:pStyle w:val="ListParagraph"/>
        <w:numPr>
          <w:ilvl w:val="1"/>
          <w:numId w:val="12"/>
        </w:numPr>
        <w:spacing w:line="305" w:lineRule="auto"/>
        <w:ind w:left="720" w:hanging="720"/>
      </w:pPr>
      <w:r w:rsidRPr="002A4451">
        <w:rPr>
          <w:rFonts w:eastAsiaTheme="minorEastAsia" w:cs="Arial"/>
        </w:rPr>
        <w:t>New figures show that incidences of domestic vi</w:t>
      </w:r>
      <w:r w:rsidR="0052668C" w:rsidRPr="002A4451">
        <w:rPr>
          <w:rFonts w:eastAsiaTheme="minorEastAsia" w:cs="Arial"/>
        </w:rPr>
        <w:t>olence are</w:t>
      </w:r>
      <w:r w:rsidRPr="002A4451">
        <w:rPr>
          <w:rFonts w:eastAsiaTheme="minorEastAsia" w:cs="Arial"/>
        </w:rPr>
        <w:t xml:space="preserve"> at an all-time high in Northern Ireland</w:t>
      </w:r>
      <w:r w:rsidR="0052668C" w:rsidRPr="002A4451">
        <w:rPr>
          <w:rFonts w:eastAsiaTheme="minorEastAsia" w:cs="Arial"/>
        </w:rPr>
        <w:t>.</w:t>
      </w:r>
      <w:r w:rsidRPr="002A4451">
        <w:rPr>
          <w:rFonts w:eastAsiaTheme="minorEastAsia" w:cs="Arial"/>
        </w:rPr>
        <w:t xml:space="preserve"> </w:t>
      </w:r>
      <w:r w:rsidR="00365643" w:rsidRPr="002A4451">
        <w:t xml:space="preserve">In 2019/2020 </w:t>
      </w:r>
      <w:r w:rsidR="0052668C" w:rsidRPr="002A4451">
        <w:t>there were 31,817 domestic abuse incidents recorded, this figure is 52 per cent higher than the level of 20,959 recorded at the start of the data series in 2004/05.</w:t>
      </w:r>
      <w:r w:rsidR="0052668C" w:rsidRPr="002A4451">
        <w:rPr>
          <w:rStyle w:val="FootnoteReference"/>
        </w:rPr>
        <w:footnoteReference w:id="14"/>
      </w:r>
      <w:r w:rsidR="0052668C" w:rsidRPr="002A4451">
        <w:t xml:space="preserve"> There were 18,640 domestic abuse crimes recorded in 2019/20 which is also the highest level recorded since the series began in 2004/05. This figure is 93 </w:t>
      </w:r>
      <w:r w:rsidR="0052668C" w:rsidRPr="002A4451">
        <w:lastRenderedPageBreak/>
        <w:t>per cent higher than 2004/05 and represents 17 per cent of all crimes recorded within the financial year.</w:t>
      </w:r>
      <w:r w:rsidR="0052668C" w:rsidRPr="002A4451">
        <w:rPr>
          <w:rStyle w:val="FootnoteReference"/>
        </w:rPr>
        <w:footnoteReference w:id="15"/>
      </w:r>
    </w:p>
    <w:p w14:paraId="7B983E9B" w14:textId="77777777" w:rsidR="00DC0730" w:rsidRDefault="00DC0730" w:rsidP="00DC0730">
      <w:pPr>
        <w:pStyle w:val="ListParagraph"/>
      </w:pPr>
    </w:p>
    <w:p w14:paraId="0F889C91" w14:textId="0DAF240E" w:rsidR="0086753D" w:rsidRDefault="0086753D" w:rsidP="00562673">
      <w:pPr>
        <w:pStyle w:val="ListParagraph"/>
        <w:numPr>
          <w:ilvl w:val="1"/>
          <w:numId w:val="12"/>
        </w:numPr>
        <w:ind w:left="720" w:hanging="720"/>
      </w:pPr>
      <w:r w:rsidRPr="0086753D">
        <w:t>Domestic Violence Protection and Protection Orders have been operational in En</w:t>
      </w:r>
      <w:r>
        <w:t xml:space="preserve">gland and Wales since 2014. However, they are currently in the process of being </w:t>
      </w:r>
      <w:r w:rsidRPr="0086753D">
        <w:t>replace</w:t>
      </w:r>
      <w:r>
        <w:t xml:space="preserve">d </w:t>
      </w:r>
      <w:r w:rsidRPr="0086753D">
        <w:t xml:space="preserve">with the broader reaching Domestic Abuse </w:t>
      </w:r>
      <w:r>
        <w:t>Protection Notices and Orders and</w:t>
      </w:r>
      <w:r w:rsidRPr="0086753D">
        <w:t xml:space="preserve"> are currently being pil</w:t>
      </w:r>
      <w:r>
        <w:t xml:space="preserve">oted in England and Wales. </w:t>
      </w:r>
    </w:p>
    <w:p w14:paraId="06EB320F" w14:textId="77777777" w:rsidR="0086753D" w:rsidRDefault="0086753D" w:rsidP="00562673">
      <w:pPr>
        <w:pStyle w:val="ListParagraph"/>
      </w:pPr>
    </w:p>
    <w:p w14:paraId="07EC1297" w14:textId="77777777" w:rsidR="005D3BCB" w:rsidRPr="005D3BCB" w:rsidRDefault="00F01986" w:rsidP="00562673">
      <w:pPr>
        <w:pStyle w:val="ListParagraph"/>
        <w:numPr>
          <w:ilvl w:val="1"/>
          <w:numId w:val="12"/>
        </w:numPr>
        <w:ind w:left="720" w:hanging="720"/>
      </w:pPr>
      <w:r w:rsidRPr="00540106">
        <w:t>Currently</w:t>
      </w:r>
      <w:r w:rsidR="007A5EDB">
        <w:t xml:space="preserve"> in Northern Ireland (NI)</w:t>
      </w:r>
      <w:r w:rsidR="0086753D">
        <w:t>,</w:t>
      </w:r>
      <w:r w:rsidR="007A5EDB">
        <w:t xml:space="preserve"> </w:t>
      </w:r>
      <w:r w:rsidR="005F5F0D" w:rsidRPr="00540106">
        <w:t xml:space="preserve">a number of court orders are available for protecting victims of domestic abuse </w:t>
      </w:r>
      <w:r w:rsidR="0086753D">
        <w:t>provided u</w:t>
      </w:r>
      <w:r w:rsidR="005F5F0D" w:rsidRPr="00540106">
        <w:t>nder the Family Homes and Domestic Violence (Northern Ireland) Order 1998</w:t>
      </w:r>
      <w:r w:rsidR="0086753D">
        <w:t xml:space="preserve">. Firstly, a non-molestation order can be applied for through the </w:t>
      </w:r>
      <w:r w:rsidR="005F5F0D" w:rsidRPr="00540106">
        <w:t>family court to prevent a</w:t>
      </w:r>
      <w:r w:rsidR="005D3BCB">
        <w:t xml:space="preserve"> </w:t>
      </w:r>
      <w:r w:rsidR="005F5F0D" w:rsidRPr="00540106">
        <w:t>partner</w:t>
      </w:r>
      <w:r w:rsidR="0086753D">
        <w:t xml:space="preserve"> or ex-partner</w:t>
      </w:r>
      <w:r w:rsidR="005F5F0D" w:rsidRPr="00540106">
        <w:t xml:space="preserve">, </w:t>
      </w:r>
      <w:r w:rsidR="0086753D">
        <w:t xml:space="preserve">a </w:t>
      </w:r>
      <w:r w:rsidR="005F5F0D" w:rsidRPr="00540106">
        <w:t xml:space="preserve">relative or household member from harassing or </w:t>
      </w:r>
      <w:r w:rsidR="0086753D">
        <w:t xml:space="preserve">causing harm. In some cases, a </w:t>
      </w:r>
      <w:r w:rsidR="0086753D" w:rsidRPr="0086753D">
        <w:t xml:space="preserve">family court may </w:t>
      </w:r>
      <w:r w:rsidR="0086753D">
        <w:t>issue a</w:t>
      </w:r>
      <w:r w:rsidR="0086753D" w:rsidRPr="0086753D">
        <w:t xml:space="preserve"> non-molestation order of its own volit</w:t>
      </w:r>
      <w:r w:rsidR="005D3BCB">
        <w:t>ion through</w:t>
      </w:r>
      <w:r w:rsidR="0086753D">
        <w:t xml:space="preserve"> </w:t>
      </w:r>
      <w:r w:rsidR="0086753D" w:rsidRPr="0086753D">
        <w:t xml:space="preserve">family proceedings </w:t>
      </w:r>
      <w:r w:rsidR="0086753D">
        <w:t xml:space="preserve">involving the perpetrator. </w:t>
      </w:r>
      <w:r w:rsidR="005D3BCB" w:rsidRPr="005D3BCB">
        <w:t>Breach of a non-molestation order is a criminal offence and the individual can be arrested and prosecuted if sufficient evidence is available.</w:t>
      </w:r>
    </w:p>
    <w:p w14:paraId="0691D39F" w14:textId="77777777" w:rsidR="005D3BCB" w:rsidRDefault="005D3BCB" w:rsidP="00562673">
      <w:pPr>
        <w:pStyle w:val="ListParagraph"/>
      </w:pPr>
    </w:p>
    <w:p w14:paraId="2370270C" w14:textId="77777777" w:rsidR="005D3BCB" w:rsidRPr="005D3BCB" w:rsidRDefault="0086753D" w:rsidP="00562673">
      <w:pPr>
        <w:pStyle w:val="ListParagraph"/>
        <w:numPr>
          <w:ilvl w:val="1"/>
          <w:numId w:val="12"/>
        </w:numPr>
        <w:ind w:left="720" w:hanging="720"/>
      </w:pPr>
      <w:r>
        <w:t xml:space="preserve">The second option is </w:t>
      </w:r>
      <w:r w:rsidR="005D3BCB">
        <w:t xml:space="preserve">for a victim </w:t>
      </w:r>
      <w:r>
        <w:t>to apply for a</w:t>
      </w:r>
      <w:r w:rsidR="005F5F0D" w:rsidRPr="00540106">
        <w:t xml:space="preserve">n occupation order to decide who should live in the family home. </w:t>
      </w:r>
      <w:r w:rsidR="005D3BCB">
        <w:t>However, a b</w:t>
      </w:r>
      <w:r w:rsidR="005D3BCB" w:rsidRPr="005D3BCB">
        <w:t xml:space="preserve">reach of an occupation order is not a criminal offence unless a power of arrest has been attached to the order. </w:t>
      </w:r>
    </w:p>
    <w:p w14:paraId="2096B840" w14:textId="77777777" w:rsidR="005D3BCB" w:rsidRDefault="005D3BCB" w:rsidP="00562673">
      <w:pPr>
        <w:pStyle w:val="ListParagraph"/>
      </w:pPr>
    </w:p>
    <w:p w14:paraId="51272E44" w14:textId="77777777" w:rsidR="005F5F0D" w:rsidRPr="001933A8" w:rsidRDefault="005D3BCB" w:rsidP="00562673">
      <w:pPr>
        <w:pStyle w:val="ListParagraph"/>
        <w:numPr>
          <w:ilvl w:val="1"/>
          <w:numId w:val="12"/>
        </w:numPr>
        <w:ind w:left="720" w:hanging="720"/>
      </w:pPr>
      <w:r>
        <w:t>Furthermore, i</w:t>
      </w:r>
      <w:r w:rsidR="005F5F0D" w:rsidRPr="00540106">
        <w:t xml:space="preserve">n </w:t>
      </w:r>
      <w:r w:rsidR="0086753D">
        <w:t xml:space="preserve">emergency situations an ex-parte injunction can be granted by the court </w:t>
      </w:r>
      <w:r w:rsidR="005F5F0D" w:rsidRPr="00540106">
        <w:t>without the</w:t>
      </w:r>
      <w:r w:rsidR="0086753D">
        <w:t xml:space="preserve"> perpetrator</w:t>
      </w:r>
      <w:r w:rsidR="005F5F0D" w:rsidRPr="00540106">
        <w:t xml:space="preserve"> being </w:t>
      </w:r>
      <w:r w:rsidR="0086753D">
        <w:t xml:space="preserve">brought to </w:t>
      </w:r>
      <w:r w:rsidR="005F5F0D" w:rsidRPr="00540106">
        <w:t>court</w:t>
      </w:r>
      <w:r w:rsidR="0086753D">
        <w:t xml:space="preserve"> but </w:t>
      </w:r>
      <w:r w:rsidR="005F5F0D" w:rsidRPr="00540106">
        <w:t xml:space="preserve">with a full hearing </w:t>
      </w:r>
      <w:r>
        <w:t xml:space="preserve">up to </w:t>
      </w:r>
      <w:r w:rsidR="005F5F0D" w:rsidRPr="00540106">
        <w:t xml:space="preserve">six weeks later. In addition, a criminal court may issue a restraining order but this can only be granted at the conclusion of criminal proceedings. </w:t>
      </w:r>
      <w:r>
        <w:t xml:space="preserve">Legal Aid is available to victims of domestic abuse to </w:t>
      </w:r>
      <w:r w:rsidRPr="005D3BCB">
        <w:t>apply for</w:t>
      </w:r>
      <w:r>
        <w:t xml:space="preserve"> all types of</w:t>
      </w:r>
      <w:r w:rsidRPr="005D3BCB">
        <w:t xml:space="preserve"> orders.</w:t>
      </w:r>
    </w:p>
    <w:p w14:paraId="70E501D2" w14:textId="3B6BB27D" w:rsidR="00DC0730" w:rsidRDefault="00DC0730" w:rsidP="00DC0730">
      <w:pPr>
        <w:pStyle w:val="ListParagraph"/>
      </w:pPr>
    </w:p>
    <w:p w14:paraId="05002422" w14:textId="30F391FD" w:rsidR="00DC0730" w:rsidRDefault="00F01986" w:rsidP="00562673">
      <w:pPr>
        <w:pStyle w:val="ListParagraph"/>
        <w:numPr>
          <w:ilvl w:val="1"/>
          <w:numId w:val="12"/>
        </w:numPr>
        <w:spacing w:line="305" w:lineRule="auto"/>
        <w:ind w:left="720" w:hanging="720"/>
      </w:pPr>
      <w:r w:rsidRPr="00540106">
        <w:t>Th</w:t>
      </w:r>
      <w:r w:rsidR="00B54ED9">
        <w:t>rough engagement with civil society organisations supporting victims of domestic abuse, the</w:t>
      </w:r>
      <w:r w:rsidRPr="00540106">
        <w:t xml:space="preserve"> NIHRC has</w:t>
      </w:r>
      <w:r w:rsidR="00CB104F" w:rsidRPr="00540106">
        <w:t xml:space="preserve"> </w:t>
      </w:r>
      <w:r w:rsidR="00B54ED9">
        <w:t xml:space="preserve">learned </w:t>
      </w:r>
      <w:r w:rsidR="00CB104F" w:rsidRPr="00540106">
        <w:t xml:space="preserve">that when reporting breaches to the Police Service NI victims felt that not enough was being done and arrests were not being made, which hindered their confidence in reporting </w:t>
      </w:r>
      <w:r w:rsidR="00CB104F" w:rsidRPr="00540106">
        <w:lastRenderedPageBreak/>
        <w:t>to the police. The Police Ombudsman for NI’s statistics on complaints and allegations received show that domestic violence related complaints, though small in number, have significantly increased. In April to September 2018, 18 complaints with domestic violence as an underlying factor were received, this increased to 27 in April to September 2019.</w:t>
      </w:r>
      <w:r w:rsidR="00CB104F" w:rsidRPr="00540106">
        <w:rPr>
          <w:vertAlign w:val="superscript"/>
        </w:rPr>
        <w:footnoteReference w:id="16"/>
      </w:r>
      <w:r w:rsidR="00CB104F" w:rsidRPr="00540106">
        <w:t xml:space="preserve"> In 2018/19, the Police Ombudsman also recommended that the Service Procedure relating to police response to stalking and harassment is </w:t>
      </w:r>
      <w:r w:rsidR="00824435">
        <w:t>r</w:t>
      </w:r>
      <w:r w:rsidR="00CB104F" w:rsidRPr="00540106">
        <w:t>eviewed and updated, to which a response is awaited.</w:t>
      </w:r>
      <w:r w:rsidR="00CB104F" w:rsidRPr="00540106">
        <w:rPr>
          <w:vertAlign w:val="superscript"/>
        </w:rPr>
        <w:footnoteReference w:id="17"/>
      </w:r>
    </w:p>
    <w:p w14:paraId="41420D60" w14:textId="1DAC6C51" w:rsidR="00CE32B2" w:rsidRDefault="00CE32B2" w:rsidP="00DC0730">
      <w:pPr>
        <w:pStyle w:val="ListParagraph"/>
        <w:spacing w:line="305" w:lineRule="auto"/>
        <w:ind w:firstLine="0"/>
      </w:pPr>
    </w:p>
    <w:p w14:paraId="7AC4306C" w14:textId="77777777" w:rsidR="00DC0730" w:rsidRPr="00540106" w:rsidRDefault="00DC0730" w:rsidP="00DC0730">
      <w:pPr>
        <w:pStyle w:val="ListParagraph"/>
        <w:spacing w:line="305" w:lineRule="auto"/>
        <w:ind w:firstLine="0"/>
      </w:pPr>
    </w:p>
    <w:p w14:paraId="1E07F2CB" w14:textId="57288485" w:rsidR="00613801" w:rsidRPr="005D20DD" w:rsidRDefault="00CE32B2" w:rsidP="00562673">
      <w:pPr>
        <w:pStyle w:val="Heading1"/>
        <w:spacing w:before="24"/>
        <w:rPr>
          <w:color w:val="77328A"/>
        </w:rPr>
      </w:pPr>
      <w:bookmarkStart w:id="39" w:name="_Toc63351593"/>
      <w:bookmarkStart w:id="40" w:name="_Toc63351616"/>
      <w:bookmarkStart w:id="41" w:name="_Toc63782243"/>
      <w:bookmarkEnd w:id="39"/>
      <w:bookmarkEnd w:id="40"/>
      <w:r w:rsidRPr="00363404">
        <w:rPr>
          <w:color w:val="77328A"/>
        </w:rPr>
        <w:t xml:space="preserve">3.0 </w:t>
      </w:r>
      <w:r w:rsidR="009607F6" w:rsidRPr="005D20DD">
        <w:rPr>
          <w:color w:val="77328A"/>
        </w:rPr>
        <w:t>Human Rights Standards</w:t>
      </w:r>
      <w:bookmarkEnd w:id="41"/>
      <w:r w:rsidR="009607F6" w:rsidRPr="005D20DD">
        <w:rPr>
          <w:color w:val="77328A"/>
        </w:rPr>
        <w:t xml:space="preserve"> </w:t>
      </w:r>
    </w:p>
    <w:p w14:paraId="31FA2432" w14:textId="77777777" w:rsidR="00613801" w:rsidRPr="001933A8" w:rsidRDefault="00613801" w:rsidP="00562673"/>
    <w:p w14:paraId="644B72D2" w14:textId="77777777" w:rsidR="00613801" w:rsidRPr="00613801" w:rsidRDefault="00613801">
      <w:pPr>
        <w:pStyle w:val="Heading2"/>
        <w:spacing w:before="24"/>
      </w:pPr>
      <w:bookmarkStart w:id="42" w:name="_Toc63782244"/>
      <w:r>
        <w:t>European Convention Human Rights</w:t>
      </w:r>
      <w:bookmarkEnd w:id="42"/>
      <w:r>
        <w:t xml:space="preserve"> </w:t>
      </w:r>
    </w:p>
    <w:p w14:paraId="3D80C844" w14:textId="77777777" w:rsidR="00D37C17" w:rsidRPr="00540106" w:rsidRDefault="00D37C17">
      <w:pPr>
        <w:pStyle w:val="ListParagraph"/>
        <w:rPr>
          <w:rFonts w:eastAsia="Verdana" w:cs="Verdana"/>
          <w:color w:val="000000"/>
        </w:rPr>
      </w:pPr>
    </w:p>
    <w:p w14:paraId="108FBAB6" w14:textId="77777777" w:rsidR="001313A6" w:rsidRPr="001933A8" w:rsidRDefault="001313A6" w:rsidP="00562673">
      <w:pPr>
        <w:pStyle w:val="ListParagraph"/>
        <w:numPr>
          <w:ilvl w:val="1"/>
          <w:numId w:val="28"/>
        </w:numPr>
        <w:spacing w:line="240" w:lineRule="auto"/>
        <w:rPr>
          <w:rFonts w:cs="Arial"/>
          <w:color w:val="000000"/>
        </w:rPr>
      </w:pPr>
      <w:r w:rsidRPr="00562673">
        <w:rPr>
          <w:rFonts w:eastAsia="Times New Roman" w:cs="Arial"/>
        </w:rPr>
        <w:t>Articles 2 ECHR protects the right to life and Article 3 ECHR protects freedom from torture, cruel, inhuman or degrading treatment and punishment.</w:t>
      </w:r>
      <w:r w:rsidRPr="001313A6">
        <w:rPr>
          <w:vertAlign w:val="superscript"/>
        </w:rPr>
        <w:footnoteReference w:id="18"/>
      </w:r>
      <w:r w:rsidRPr="00562673">
        <w:rPr>
          <w:rFonts w:eastAsia="Times New Roman" w:cs="Arial"/>
        </w:rPr>
        <w:t xml:space="preserve"> </w:t>
      </w:r>
      <w:r w:rsidRPr="00F836A2">
        <w:rPr>
          <w:rFonts w:cs="Arial"/>
          <w:color w:val="000000"/>
        </w:rPr>
        <w:t>The European Court of Human Rights (ECtHR) has been clear that these provisions contain positive obligations</w:t>
      </w:r>
      <w:r w:rsidR="001933A8">
        <w:rPr>
          <w:rFonts w:cs="Arial"/>
          <w:color w:val="000000"/>
        </w:rPr>
        <w:t xml:space="preserve"> on the State</w:t>
      </w:r>
      <w:r w:rsidRPr="001933A8">
        <w:rPr>
          <w:rFonts w:cs="Arial"/>
          <w:color w:val="000000"/>
        </w:rPr>
        <w:t xml:space="preserve"> to ensure these fundamental rights are protected. </w:t>
      </w:r>
    </w:p>
    <w:p w14:paraId="74FAA212" w14:textId="77777777" w:rsidR="001313A6" w:rsidRPr="001313A6" w:rsidRDefault="001313A6">
      <w:pPr>
        <w:widowControl w:val="0"/>
        <w:autoSpaceDE w:val="0"/>
        <w:autoSpaceDN w:val="0"/>
        <w:adjustRightInd w:val="0"/>
        <w:ind w:left="873" w:firstLine="0"/>
        <w:rPr>
          <w:rFonts w:ascii="Verdana" w:hAnsi="Verdana" w:cs="Arial"/>
          <w:lang w:val="en-US"/>
        </w:rPr>
      </w:pPr>
    </w:p>
    <w:p w14:paraId="4E287118" w14:textId="77777777" w:rsidR="001313A6" w:rsidRPr="001933A8" w:rsidRDefault="001313A6" w:rsidP="00562673">
      <w:pPr>
        <w:pStyle w:val="ListParagraph"/>
        <w:widowControl w:val="0"/>
        <w:numPr>
          <w:ilvl w:val="1"/>
          <w:numId w:val="28"/>
        </w:numPr>
        <w:autoSpaceDE w:val="0"/>
        <w:autoSpaceDN w:val="0"/>
        <w:adjustRightInd w:val="0"/>
        <w:spacing w:line="240" w:lineRule="auto"/>
        <w:rPr>
          <w:rFonts w:cs="Arial"/>
          <w:lang w:val="en-US"/>
        </w:rPr>
      </w:pPr>
      <w:r w:rsidRPr="00562673">
        <w:rPr>
          <w:rFonts w:cs="Arial"/>
          <w:color w:val="000000"/>
        </w:rPr>
        <w:t>The ECtHR has provided that there are positive obligations under Article 2 ECHR to take appropriate steps to safeguard the lives of those within its jurisdiction to apply in the context of any activity, whether public or not, in which the right to life may be at stake.</w:t>
      </w:r>
      <w:r w:rsidRPr="001313A6">
        <w:rPr>
          <w:vertAlign w:val="superscript"/>
        </w:rPr>
        <w:footnoteReference w:id="19"/>
      </w:r>
      <w:r w:rsidRPr="00562673">
        <w:rPr>
          <w:rFonts w:cs="Arial"/>
          <w:color w:val="000000"/>
        </w:rPr>
        <w:t xml:space="preserve"> This requires public authorities to take reasonable steps when they know of or ought to have known of real and immediate threats to life, including by a third party non-State actor.</w:t>
      </w:r>
      <w:r w:rsidRPr="001313A6">
        <w:rPr>
          <w:vertAlign w:val="superscript"/>
        </w:rPr>
        <w:footnoteReference w:id="20"/>
      </w:r>
      <w:r w:rsidRPr="00562673">
        <w:rPr>
          <w:rFonts w:cs="Arial"/>
          <w:color w:val="000000"/>
        </w:rPr>
        <w:t xml:space="preserve"> </w:t>
      </w:r>
      <w:r w:rsidRPr="001933A8">
        <w:rPr>
          <w:rFonts w:cs="Arial"/>
          <w:lang w:val="en-US"/>
        </w:rPr>
        <w:t>Article 3 ECHR is an absolute right</w:t>
      </w:r>
      <w:r w:rsidR="001933A8">
        <w:rPr>
          <w:rFonts w:cs="Arial"/>
          <w:lang w:val="en-US"/>
        </w:rPr>
        <w:t>,</w:t>
      </w:r>
      <w:r w:rsidRPr="001933A8">
        <w:rPr>
          <w:rFonts w:cs="Arial"/>
          <w:lang w:val="en-US"/>
        </w:rPr>
        <w:t xml:space="preserve"> which provides that this right must never be interfered with under any circumstances.</w:t>
      </w:r>
      <w:r w:rsidRPr="001313A6">
        <w:rPr>
          <w:vertAlign w:val="superscript"/>
          <w:lang w:val="en-US"/>
        </w:rPr>
        <w:footnoteReference w:id="21"/>
      </w:r>
    </w:p>
    <w:p w14:paraId="00877692" w14:textId="77777777" w:rsidR="001313A6" w:rsidRPr="001313A6" w:rsidRDefault="001313A6" w:rsidP="00562673">
      <w:pPr>
        <w:ind w:firstLine="0"/>
        <w:contextualSpacing/>
        <w:rPr>
          <w:rFonts w:ascii="Verdana" w:eastAsia="Times New Roman" w:hAnsi="Verdana" w:cs="Arial"/>
        </w:rPr>
      </w:pPr>
    </w:p>
    <w:p w14:paraId="67DC7223" w14:textId="77777777" w:rsidR="001313A6" w:rsidRPr="001313A6" w:rsidRDefault="001313A6" w:rsidP="00562673">
      <w:pPr>
        <w:widowControl w:val="0"/>
        <w:numPr>
          <w:ilvl w:val="1"/>
          <w:numId w:val="28"/>
        </w:numPr>
        <w:autoSpaceDE w:val="0"/>
        <w:autoSpaceDN w:val="0"/>
        <w:adjustRightInd w:val="0"/>
        <w:spacing w:line="240" w:lineRule="auto"/>
        <w:rPr>
          <w:rFonts w:ascii="Verdana" w:hAnsi="Verdana" w:cs="Arial"/>
          <w:color w:val="000000"/>
        </w:rPr>
      </w:pPr>
      <w:r w:rsidRPr="001313A6">
        <w:rPr>
          <w:rFonts w:ascii="Verdana" w:hAnsi="Verdana" w:cs="Arial"/>
          <w:color w:val="000000"/>
        </w:rPr>
        <w:t>Article 8 ECHR ensures protection of a private and family life.</w:t>
      </w:r>
      <w:r w:rsidRPr="001313A6">
        <w:rPr>
          <w:rFonts w:ascii="Verdana" w:hAnsi="Verdana" w:cs="Arial"/>
          <w:color w:val="000000"/>
          <w:vertAlign w:val="superscript"/>
        </w:rPr>
        <w:footnoteReference w:id="22"/>
      </w:r>
      <w:r w:rsidRPr="001313A6">
        <w:rPr>
          <w:rFonts w:ascii="Verdana" w:hAnsi="Verdana" w:cs="Arial"/>
          <w:color w:val="000000"/>
        </w:rPr>
        <w:t xml:space="preserve"> It is a qualified right, which means limitations are allowed if they are “in accordance with the law” and are “necessary in a democratic society” for the protection of one of the objectives set out in Article 8(2) ECHR, in this </w:t>
      </w:r>
      <w:r w:rsidRPr="001313A6">
        <w:rPr>
          <w:rFonts w:ascii="Verdana" w:hAnsi="Verdana" w:cs="Arial"/>
          <w:color w:val="000000"/>
        </w:rPr>
        <w:lastRenderedPageBreak/>
        <w:t>instance “for the prevention of disorder or crime” and “the protection of the rights and freedoms of others” The ECtHR clarified that “necessary” in this context does not have the flexibility of such expressions as “useful”, “reasonable”, or “desirable” but implies the existence of a “pressing social need” for the interference in question.</w:t>
      </w:r>
      <w:r w:rsidRPr="001313A6">
        <w:rPr>
          <w:rFonts w:ascii="Verdana" w:hAnsi="Verdana" w:cs="Arial"/>
          <w:color w:val="000000"/>
          <w:vertAlign w:val="superscript"/>
        </w:rPr>
        <w:footnoteReference w:id="23"/>
      </w:r>
    </w:p>
    <w:p w14:paraId="0F13A447" w14:textId="77777777" w:rsidR="001313A6" w:rsidRPr="001313A6" w:rsidRDefault="001313A6" w:rsidP="00562673">
      <w:pPr>
        <w:ind w:firstLine="0"/>
        <w:contextualSpacing/>
        <w:rPr>
          <w:rFonts w:ascii="Verdana" w:eastAsia="Times New Roman" w:hAnsi="Verdana" w:cs="Arial"/>
        </w:rPr>
      </w:pPr>
    </w:p>
    <w:p w14:paraId="7F91E486" w14:textId="77777777" w:rsidR="001313A6" w:rsidRPr="001313A6" w:rsidRDefault="001313A6" w:rsidP="00562673">
      <w:pPr>
        <w:widowControl w:val="0"/>
        <w:numPr>
          <w:ilvl w:val="1"/>
          <w:numId w:val="28"/>
        </w:numPr>
        <w:autoSpaceDE w:val="0"/>
        <w:autoSpaceDN w:val="0"/>
        <w:adjustRightInd w:val="0"/>
        <w:spacing w:line="240" w:lineRule="auto"/>
        <w:rPr>
          <w:rFonts w:ascii="Verdana" w:hAnsi="Verdana" w:cs="Arial"/>
          <w:color w:val="000000"/>
        </w:rPr>
      </w:pPr>
      <w:r w:rsidRPr="001313A6">
        <w:rPr>
          <w:rFonts w:ascii="Verdana" w:hAnsi="Verdana" w:cs="Arial"/>
          <w:color w:val="000000"/>
        </w:rPr>
        <w:t>The ECtHR has held that the State has a responsibility to protect individuals from violence by third parties. This has been particularly true in cases involving victims of domestic violence. While there are often violations of Articles 2 and 3 ECHR in such cases, Article 8 ECHR is also applied because violence threatens the bodily integrity aspect of the right to respect for private life.</w:t>
      </w:r>
      <w:r w:rsidRPr="001313A6">
        <w:rPr>
          <w:rFonts w:ascii="Verdana" w:hAnsi="Verdana" w:cs="Arial"/>
          <w:color w:val="000000"/>
          <w:vertAlign w:val="superscript"/>
        </w:rPr>
        <w:footnoteReference w:id="24"/>
      </w:r>
      <w:r w:rsidRPr="001313A6">
        <w:rPr>
          <w:rFonts w:ascii="Verdana" w:hAnsi="Verdana" w:cs="Arial"/>
          <w:color w:val="000000"/>
        </w:rPr>
        <w:t xml:space="preserve"> Under Article 8 ECHR, States have a duty to protect the physical and moral integrity of an individual from other persons, which requires affording protection against acts of violence by private individuals.</w:t>
      </w:r>
      <w:r w:rsidRPr="001313A6">
        <w:rPr>
          <w:rFonts w:ascii="Verdana" w:hAnsi="Verdana" w:cs="Arial"/>
          <w:color w:val="000000"/>
          <w:vertAlign w:val="superscript"/>
        </w:rPr>
        <w:footnoteReference w:id="25"/>
      </w:r>
    </w:p>
    <w:p w14:paraId="1AF8D361" w14:textId="77777777" w:rsidR="001313A6" w:rsidRPr="001313A6" w:rsidRDefault="001313A6">
      <w:pPr>
        <w:widowControl w:val="0"/>
        <w:autoSpaceDE w:val="0"/>
        <w:autoSpaceDN w:val="0"/>
        <w:adjustRightInd w:val="0"/>
        <w:ind w:left="0" w:firstLine="0"/>
        <w:rPr>
          <w:rFonts w:ascii="Verdana" w:hAnsi="Verdana" w:cs="Arial"/>
          <w:color w:val="000000"/>
        </w:rPr>
      </w:pPr>
    </w:p>
    <w:p w14:paraId="56D1FCE4" w14:textId="77777777" w:rsidR="001313A6" w:rsidRDefault="001313A6" w:rsidP="00562673">
      <w:pPr>
        <w:widowControl w:val="0"/>
        <w:numPr>
          <w:ilvl w:val="1"/>
          <w:numId w:val="28"/>
        </w:numPr>
        <w:autoSpaceDE w:val="0"/>
        <w:autoSpaceDN w:val="0"/>
        <w:adjustRightInd w:val="0"/>
        <w:spacing w:line="240" w:lineRule="auto"/>
        <w:rPr>
          <w:rFonts w:ascii="Verdana" w:hAnsi="Verdana" w:cs="Arial"/>
          <w:color w:val="000000"/>
        </w:rPr>
      </w:pPr>
      <w:r w:rsidRPr="001313A6">
        <w:rPr>
          <w:rFonts w:ascii="Verdana" w:hAnsi="Verdana" w:cs="Arial"/>
          <w:color w:val="000000"/>
        </w:rPr>
        <w:t>The ECtHR has provided that safeguarding physical integrity under Article 8 ECHR requires an effective criminal investigation.</w:t>
      </w:r>
      <w:r w:rsidRPr="001313A6">
        <w:rPr>
          <w:rFonts w:ascii="Verdana" w:hAnsi="Verdana" w:cs="Arial"/>
          <w:color w:val="000000"/>
          <w:vertAlign w:val="superscript"/>
        </w:rPr>
        <w:footnoteReference w:id="26"/>
      </w:r>
      <w:r w:rsidRPr="001313A6">
        <w:rPr>
          <w:rFonts w:ascii="Verdana" w:hAnsi="Verdana" w:cs="Arial"/>
          <w:color w:val="000000"/>
        </w:rPr>
        <w:t xml:space="preserve"> Compliance with Article 8 ECHR in the sphere of protection against acts of individuals is within the State’s margin of appreciation, yet effective deterrence against grave acts, where fundamental values and essential aspects of private life are at stake, requires efficient criminal law provisions.</w:t>
      </w:r>
      <w:r w:rsidRPr="001313A6">
        <w:rPr>
          <w:rFonts w:ascii="Verdana" w:hAnsi="Verdana" w:cs="Arial"/>
          <w:color w:val="000000"/>
          <w:vertAlign w:val="superscript"/>
        </w:rPr>
        <w:footnoteReference w:id="27"/>
      </w:r>
      <w:r w:rsidRPr="001313A6">
        <w:rPr>
          <w:rFonts w:ascii="Verdana" w:hAnsi="Verdana" w:cs="Arial"/>
          <w:color w:val="000000"/>
        </w:rPr>
        <w:t xml:space="preserve"> </w:t>
      </w:r>
    </w:p>
    <w:p w14:paraId="50DF89B3" w14:textId="77777777" w:rsidR="00613801" w:rsidRDefault="00613801" w:rsidP="00562673">
      <w:pPr>
        <w:pStyle w:val="ListParagraph"/>
        <w:rPr>
          <w:rFonts w:cs="Arial"/>
          <w:color w:val="000000"/>
        </w:rPr>
      </w:pPr>
    </w:p>
    <w:p w14:paraId="2AB26DD2" w14:textId="77777777" w:rsidR="00613801" w:rsidRPr="001313A6" w:rsidRDefault="00613801" w:rsidP="00562673">
      <w:pPr>
        <w:pStyle w:val="Heading2"/>
        <w:spacing w:before="24"/>
      </w:pPr>
      <w:bookmarkStart w:id="43" w:name="_Toc63782245"/>
      <w:r>
        <w:t>International Human Rights Standards</w:t>
      </w:r>
      <w:bookmarkEnd w:id="43"/>
      <w:r>
        <w:t xml:space="preserve"> </w:t>
      </w:r>
    </w:p>
    <w:p w14:paraId="1A2BEA4E" w14:textId="77777777" w:rsidR="00B54ED9" w:rsidRPr="00562673" w:rsidRDefault="00B54ED9" w:rsidP="00562673">
      <w:pPr>
        <w:pStyle w:val="ListParagraph"/>
        <w:ind w:left="360" w:firstLine="0"/>
        <w:rPr>
          <w:rFonts w:eastAsia="Verdana" w:cs="Verdana"/>
          <w:color w:val="000000"/>
        </w:rPr>
      </w:pPr>
    </w:p>
    <w:p w14:paraId="21C88416" w14:textId="77777777" w:rsidR="00B40012" w:rsidRPr="00562673" w:rsidRDefault="00F56664" w:rsidP="00562673">
      <w:pPr>
        <w:pStyle w:val="ListParagraph"/>
        <w:numPr>
          <w:ilvl w:val="1"/>
          <w:numId w:val="28"/>
        </w:numPr>
        <w:rPr>
          <w:rFonts w:eastAsia="Verdana" w:cs="Verdana"/>
          <w:color w:val="000000"/>
        </w:rPr>
      </w:pPr>
      <w:r w:rsidRPr="00540106">
        <w:rPr>
          <w:rFonts w:eastAsia="Verdana" w:cs="Verdana"/>
          <w:color w:val="000000"/>
        </w:rPr>
        <w:t>The UN C</w:t>
      </w:r>
      <w:r w:rsidR="002B3D88" w:rsidRPr="00540106">
        <w:rPr>
          <w:rFonts w:eastAsia="Verdana" w:cs="Verdana"/>
          <w:color w:val="000000"/>
        </w:rPr>
        <w:t xml:space="preserve">ommittee </w:t>
      </w:r>
      <w:r w:rsidR="00B40012" w:rsidRPr="00540106">
        <w:rPr>
          <w:rFonts w:eastAsia="Verdana" w:cs="Verdana"/>
          <w:color w:val="000000"/>
        </w:rPr>
        <w:t>against</w:t>
      </w:r>
      <w:r w:rsidR="002B3D88" w:rsidRPr="00540106">
        <w:rPr>
          <w:rFonts w:eastAsia="Verdana" w:cs="Verdana"/>
          <w:color w:val="000000"/>
        </w:rPr>
        <w:t xml:space="preserve"> </w:t>
      </w:r>
      <w:r w:rsidRPr="00540106">
        <w:rPr>
          <w:rFonts w:eastAsia="Verdana" w:cs="Verdana"/>
          <w:color w:val="000000"/>
        </w:rPr>
        <w:t>T</w:t>
      </w:r>
      <w:r w:rsidR="002B3D88" w:rsidRPr="00540106">
        <w:rPr>
          <w:rFonts w:eastAsia="Verdana" w:cs="Verdana"/>
          <w:color w:val="000000"/>
        </w:rPr>
        <w:t>orture (UN CAT)</w:t>
      </w:r>
      <w:r w:rsidR="00CC7929">
        <w:rPr>
          <w:rFonts w:eastAsia="Verdana" w:cs="Verdana"/>
          <w:color w:val="000000"/>
        </w:rPr>
        <w:t>,</w:t>
      </w:r>
      <w:r w:rsidR="002B3D88" w:rsidRPr="00540106">
        <w:rPr>
          <w:rFonts w:eastAsia="Verdana" w:cs="Verdana"/>
          <w:color w:val="000000"/>
        </w:rPr>
        <w:t xml:space="preserve"> </w:t>
      </w:r>
      <w:r w:rsidRPr="00540106">
        <w:rPr>
          <w:rFonts w:eastAsia="Verdana" w:cs="Verdana"/>
          <w:color w:val="000000"/>
        </w:rPr>
        <w:t>in its 2019 Co</w:t>
      </w:r>
      <w:r w:rsidR="002B3D88" w:rsidRPr="00540106">
        <w:rPr>
          <w:rFonts w:eastAsia="Verdana" w:cs="Verdana"/>
          <w:color w:val="000000"/>
        </w:rPr>
        <w:t xml:space="preserve">ncluding Observations on the UK, </w:t>
      </w:r>
      <w:r w:rsidRPr="00540106">
        <w:rPr>
          <w:rFonts w:eastAsia="Verdana" w:cs="Verdana"/>
          <w:color w:val="000000"/>
        </w:rPr>
        <w:t>stated it is concerned</w:t>
      </w:r>
      <w:r w:rsidR="002B3D88" w:rsidRPr="00540106">
        <w:rPr>
          <w:rFonts w:eastAsia="Verdana" w:cs="Verdana"/>
          <w:color w:val="000000"/>
        </w:rPr>
        <w:t xml:space="preserve"> about reports of </w:t>
      </w:r>
      <w:r w:rsidRPr="00540106">
        <w:rPr>
          <w:rFonts w:eastAsia="Verdana" w:cs="Verdana"/>
          <w:color w:val="000000"/>
        </w:rPr>
        <w:t>increasing numbers of d</w:t>
      </w:r>
      <w:r w:rsidR="002B3D88" w:rsidRPr="00540106">
        <w:rPr>
          <w:rFonts w:eastAsia="Verdana" w:cs="Verdana"/>
          <w:color w:val="000000"/>
        </w:rPr>
        <w:t>omestic abuse crimes and sexual offences, mainly against women, while also recording low prosecution. T</w:t>
      </w:r>
      <w:r w:rsidR="00CB104F" w:rsidRPr="00540106">
        <w:rPr>
          <w:rFonts w:eastAsia="Verdana" w:cs="Verdana"/>
          <w:color w:val="000000"/>
        </w:rPr>
        <w:t xml:space="preserve">he Committee </w:t>
      </w:r>
      <w:r w:rsidR="00CB104F" w:rsidRPr="00540106">
        <w:t>recommended that the UK encourage “the reporting of domestic violence cases, inter alia by informing women of their rights and the existing legal avenues through which they can receive protection”.</w:t>
      </w:r>
      <w:r w:rsidR="00CB104F" w:rsidRPr="00540106">
        <w:rPr>
          <w:vertAlign w:val="superscript"/>
        </w:rPr>
        <w:footnoteReference w:id="28"/>
      </w:r>
      <w:r w:rsidR="00CB104F" w:rsidRPr="00540106">
        <w:t xml:space="preserve"> The UN CAT Committee further recommended “that all domestic violence cases, in all United Kingdom (UK) territories and dependencies, are thoroughly investigated, that perpetrators are prosecuted and, if they are convicted, </w:t>
      </w:r>
      <w:r w:rsidR="00CB104F" w:rsidRPr="00540106">
        <w:lastRenderedPageBreak/>
        <w:t>are punished with appropriate sanctions”.</w:t>
      </w:r>
      <w:r w:rsidR="00CB104F" w:rsidRPr="00540106">
        <w:rPr>
          <w:vertAlign w:val="superscript"/>
        </w:rPr>
        <w:footnoteReference w:id="29"/>
      </w:r>
      <w:r w:rsidR="00CB104F" w:rsidRPr="00540106">
        <w:t xml:space="preserve"> Furthermore, that </w:t>
      </w:r>
      <w:r w:rsidR="00CC7929">
        <w:t>“</w:t>
      </w:r>
      <w:r w:rsidR="00CB104F" w:rsidRPr="00540106">
        <w:t>victims have access to effective remedies and means of protection, including strong police protection”.</w:t>
      </w:r>
      <w:r w:rsidR="00CB104F" w:rsidRPr="00540106">
        <w:rPr>
          <w:vertAlign w:val="superscript"/>
        </w:rPr>
        <w:footnoteReference w:id="30"/>
      </w:r>
      <w:r w:rsidR="00F01986" w:rsidRPr="00540106">
        <w:t xml:space="preserve"> </w:t>
      </w:r>
    </w:p>
    <w:p w14:paraId="247FF9FD" w14:textId="77777777" w:rsidR="00FC6A56" w:rsidRPr="00540106" w:rsidRDefault="00FC6A56">
      <w:pPr>
        <w:ind w:left="0" w:firstLine="0"/>
        <w:rPr>
          <w:rFonts w:ascii="Verdana" w:hAnsi="Verdana"/>
        </w:rPr>
      </w:pPr>
    </w:p>
    <w:p w14:paraId="5CA62903" w14:textId="77777777" w:rsidR="00B40012" w:rsidRPr="00540106" w:rsidRDefault="00F56664" w:rsidP="00562673">
      <w:pPr>
        <w:pStyle w:val="ListParagraph"/>
        <w:numPr>
          <w:ilvl w:val="1"/>
          <w:numId w:val="28"/>
        </w:numPr>
        <w:rPr>
          <w:rFonts w:eastAsia="Verdana" w:cs="Verdana"/>
          <w:color w:val="000000"/>
        </w:rPr>
      </w:pPr>
      <w:r w:rsidRPr="00540106">
        <w:t>The UN CEDAW Committee</w:t>
      </w:r>
      <w:r w:rsidR="00CC7929">
        <w:t>,</w:t>
      </w:r>
      <w:r w:rsidRPr="00540106">
        <w:t xml:space="preserve"> in its 2019 Concluding Observations on the UK,</w:t>
      </w:r>
      <w:r w:rsidR="00B40012" w:rsidRPr="00540106">
        <w:rPr>
          <w:rFonts w:eastAsia="Verdana" w:cs="Verdana"/>
          <w:color w:val="000000"/>
        </w:rPr>
        <w:t xml:space="preserve"> </w:t>
      </w:r>
      <w:r w:rsidRPr="00540106">
        <w:t>noted “with particular concern the inadequacy of laws and policies to</w:t>
      </w:r>
      <w:r w:rsidR="002B3D88" w:rsidRPr="00540106">
        <w:t xml:space="preserve"> </w:t>
      </w:r>
      <w:r w:rsidRPr="00540106">
        <w:t>protect women in Northern Ireland (from gender-based violence)” and</w:t>
      </w:r>
      <w:r w:rsidR="002B3D88" w:rsidRPr="00540106">
        <w:t xml:space="preserve"> </w:t>
      </w:r>
      <w:r w:rsidRPr="00540106">
        <w:t>recommended that the UK r</w:t>
      </w:r>
      <w:r w:rsidR="002B3D88" w:rsidRPr="00540106">
        <w:t>atify the Istanbul Convention.</w:t>
      </w:r>
      <w:r w:rsidR="00B40012" w:rsidRPr="00540106">
        <w:rPr>
          <w:rStyle w:val="FootnoteReference"/>
        </w:rPr>
        <w:footnoteReference w:id="31"/>
      </w:r>
    </w:p>
    <w:p w14:paraId="6D804A94" w14:textId="77777777" w:rsidR="00B40012" w:rsidRPr="00540106" w:rsidRDefault="00B40012">
      <w:pPr>
        <w:pStyle w:val="ListParagraph"/>
      </w:pPr>
    </w:p>
    <w:p w14:paraId="6DB9FE95" w14:textId="77777777" w:rsidR="00B40012" w:rsidRPr="00540106" w:rsidRDefault="0041116F" w:rsidP="00562673">
      <w:pPr>
        <w:pStyle w:val="ListParagraph"/>
        <w:numPr>
          <w:ilvl w:val="1"/>
          <w:numId w:val="28"/>
        </w:numPr>
        <w:rPr>
          <w:rFonts w:eastAsia="Verdana" w:cs="Verdana"/>
          <w:color w:val="000000"/>
        </w:rPr>
      </w:pPr>
      <w:r w:rsidRPr="00540106">
        <w:t>The Council of Europe Convention on preventing and combating violence against women and domestic violence (Istanbul Convention) provides a legal framework at pan-European level to protect women against all forms of violence, and prevent, prosecute and eliminate violence against women and domestic violence. The UK Government has made it clear that it intends to ratify the Istanbul Convention and is currently in the process of addressing existing areas of non-compliance, such as extending its protections regardless of immigration status, criminalisation of psychological control across the UK, ensuring extraterritorial application, and protecting those that are reliant on spousal/partner support for residence status.</w:t>
      </w:r>
      <w:r w:rsidRPr="00540106">
        <w:rPr>
          <w:rStyle w:val="FootnoteReference"/>
        </w:rPr>
        <w:footnoteReference w:id="32"/>
      </w:r>
    </w:p>
    <w:p w14:paraId="13688CD9" w14:textId="77777777" w:rsidR="00B40012" w:rsidRDefault="00B40012">
      <w:pPr>
        <w:pStyle w:val="ListParagraph"/>
        <w:rPr>
          <w:rFonts w:eastAsia="Verdana" w:cs="Verdana"/>
          <w:color w:val="000000"/>
        </w:rPr>
      </w:pPr>
    </w:p>
    <w:p w14:paraId="2CF017E8" w14:textId="77777777" w:rsidR="003E2DD3" w:rsidRPr="00540106" w:rsidRDefault="003E2DD3" w:rsidP="00562673">
      <w:pPr>
        <w:pStyle w:val="Heading2"/>
        <w:spacing w:before="24"/>
      </w:pPr>
      <w:bookmarkStart w:id="44" w:name="_Toc63782246"/>
      <w:r>
        <w:t>Istanbul Convention</w:t>
      </w:r>
      <w:bookmarkEnd w:id="44"/>
    </w:p>
    <w:p w14:paraId="11D1E62B" w14:textId="77777777" w:rsidR="00B40012" w:rsidRPr="00540106" w:rsidRDefault="00B40012">
      <w:pPr>
        <w:pStyle w:val="ListParagraph"/>
      </w:pPr>
    </w:p>
    <w:p w14:paraId="3C77ACA7" w14:textId="77777777" w:rsidR="0003410C" w:rsidRPr="00562673" w:rsidRDefault="0041116F" w:rsidP="00562673">
      <w:pPr>
        <w:pStyle w:val="ListParagraph"/>
        <w:numPr>
          <w:ilvl w:val="1"/>
          <w:numId w:val="28"/>
        </w:numPr>
        <w:rPr>
          <w:rFonts w:eastAsia="Verdana" w:cs="Verdana"/>
          <w:color w:val="000000"/>
        </w:rPr>
      </w:pPr>
      <w:r w:rsidRPr="00540106">
        <w:t xml:space="preserve">The Istanbul Convention is specific </w:t>
      </w:r>
      <w:r w:rsidR="00CC7929">
        <w:t>on the issue of</w:t>
      </w:r>
      <w:r w:rsidR="00CC7929" w:rsidRPr="00540106">
        <w:t xml:space="preserve"> </w:t>
      </w:r>
      <w:r w:rsidRPr="00540106">
        <w:t>protecting women and girls from violence. It can also be used as an indicator of best practice more broadly in providing guidance on how to develop legislation in relation to developing appropriate</w:t>
      </w:r>
      <w:r w:rsidR="00B40012" w:rsidRPr="00540106">
        <w:t xml:space="preserve"> protection</w:t>
      </w:r>
      <w:r w:rsidRPr="00540106">
        <w:t xml:space="preserve"> measures in relation to </w:t>
      </w:r>
      <w:r w:rsidR="00B40012" w:rsidRPr="00540106">
        <w:t xml:space="preserve">domestic </w:t>
      </w:r>
      <w:r w:rsidR="00AC4270" w:rsidRPr="00540106">
        <w:t xml:space="preserve">abuse </w:t>
      </w:r>
      <w:r w:rsidR="00B40012" w:rsidRPr="00540106">
        <w:t xml:space="preserve">and </w:t>
      </w:r>
      <w:r w:rsidRPr="00540106">
        <w:t>gender based violence.</w:t>
      </w:r>
    </w:p>
    <w:p w14:paraId="562762E0" w14:textId="77777777" w:rsidR="0003410C" w:rsidRPr="0003410C" w:rsidRDefault="0003410C" w:rsidP="00562673">
      <w:pPr>
        <w:ind w:left="0" w:firstLine="0"/>
      </w:pPr>
    </w:p>
    <w:p w14:paraId="40090DE8" w14:textId="77777777" w:rsidR="0003410C" w:rsidRPr="00562673" w:rsidRDefault="0003410C" w:rsidP="00562673">
      <w:pPr>
        <w:pStyle w:val="ListParagraph"/>
        <w:numPr>
          <w:ilvl w:val="1"/>
          <w:numId w:val="28"/>
        </w:numPr>
        <w:rPr>
          <w:rFonts w:eastAsia="Verdana" w:cs="Verdana"/>
          <w:color w:val="000000"/>
        </w:rPr>
      </w:pPr>
      <w:r w:rsidRPr="00562673">
        <w:rPr>
          <w:rFonts w:eastAsia="Times New Roman" w:cs="Arial"/>
          <w:bCs/>
          <w:color w:val="161616"/>
          <w:lang w:eastAsia="en-GB"/>
        </w:rPr>
        <w:t>In particular</w:t>
      </w:r>
      <w:r w:rsidR="0076746C">
        <w:rPr>
          <w:rFonts w:eastAsia="Times New Roman" w:cs="Arial"/>
          <w:bCs/>
          <w:color w:val="161616"/>
          <w:lang w:eastAsia="en-GB"/>
        </w:rPr>
        <w:t>,</w:t>
      </w:r>
      <w:r w:rsidRPr="00562673">
        <w:rPr>
          <w:rFonts w:eastAsia="Times New Roman" w:cs="Arial"/>
          <w:bCs/>
          <w:color w:val="161616"/>
          <w:lang w:eastAsia="en-GB"/>
        </w:rPr>
        <w:t xml:space="preserve"> Article 52 of the Istanbul Convention concerns emergency barring orders and provides that: </w:t>
      </w:r>
    </w:p>
    <w:p w14:paraId="366751A7" w14:textId="77777777" w:rsidR="00BB259F" w:rsidRPr="00562673" w:rsidRDefault="00BB259F" w:rsidP="00562673">
      <w:pPr>
        <w:ind w:left="0" w:firstLine="0"/>
        <w:rPr>
          <w:rFonts w:eastAsia="Verdana" w:cs="Verdana"/>
          <w:color w:val="000000"/>
        </w:rPr>
      </w:pPr>
    </w:p>
    <w:p w14:paraId="34B43B60" w14:textId="77777777" w:rsidR="0003410C" w:rsidRDefault="0003410C" w:rsidP="00562673">
      <w:pPr>
        <w:pStyle w:val="Quote"/>
        <w:spacing w:before="24" w:after="24"/>
        <w:ind w:left="862" w:right="862" w:firstLine="0"/>
        <w:rPr>
          <w:lang w:eastAsia="en-GB"/>
        </w:rPr>
      </w:pPr>
      <w:r w:rsidRPr="00562673">
        <w:rPr>
          <w:lang w:eastAsia="en-GB"/>
        </w:rPr>
        <w:t>Parties shall take the necessary legislative or other measures to ensure that the competent authorities are granted the power to order, in situations of immediate danger, a perpetrator of domestic violence to vacate the residence of the victim or person at risk for a sufficient period of time and to prohibit the perpetrator from entering the residence of or contacting the victim or person at risk. Measures taken pursuant to this article shall give priority to the safety of victims or persons at risk.</w:t>
      </w:r>
    </w:p>
    <w:p w14:paraId="0156A533" w14:textId="77777777" w:rsidR="00BB259F" w:rsidRPr="00BB259F" w:rsidRDefault="00BB259F" w:rsidP="00562673">
      <w:pPr>
        <w:rPr>
          <w:lang w:eastAsia="en-GB"/>
        </w:rPr>
      </w:pPr>
    </w:p>
    <w:p w14:paraId="740C4867" w14:textId="77777777" w:rsidR="0003410C" w:rsidRPr="00562673" w:rsidRDefault="0003410C" w:rsidP="00562673">
      <w:pPr>
        <w:pStyle w:val="ListParagraph"/>
        <w:numPr>
          <w:ilvl w:val="1"/>
          <w:numId w:val="28"/>
        </w:numPr>
        <w:rPr>
          <w:rFonts w:eastAsiaTheme="minorEastAsia" w:cstheme="minorBidi"/>
          <w:lang w:eastAsia="en-GB"/>
        </w:rPr>
      </w:pPr>
      <w:r w:rsidRPr="00562673">
        <w:rPr>
          <w:bCs/>
          <w:lang w:eastAsia="en-GB"/>
        </w:rPr>
        <w:t>Articl</w:t>
      </w:r>
      <w:r w:rsidRPr="001933A8">
        <w:rPr>
          <w:bCs/>
          <w:lang w:eastAsia="en-GB"/>
        </w:rPr>
        <w:t xml:space="preserve">e 53 </w:t>
      </w:r>
      <w:r>
        <w:rPr>
          <w:bCs/>
          <w:lang w:eastAsia="en-GB"/>
        </w:rPr>
        <w:t>of the Istanbul Convention concerns r</w:t>
      </w:r>
      <w:r w:rsidRPr="00562673">
        <w:rPr>
          <w:bCs/>
          <w:lang w:eastAsia="en-GB"/>
        </w:rPr>
        <w:t>estraining or protection orders</w:t>
      </w:r>
      <w:r w:rsidR="00BB259F">
        <w:rPr>
          <w:bCs/>
          <w:lang w:eastAsia="en-GB"/>
        </w:rPr>
        <w:t xml:space="preserve"> requiring </w:t>
      </w:r>
      <w:r w:rsidR="00BB259F">
        <w:rPr>
          <w:lang w:eastAsia="en-GB"/>
        </w:rPr>
        <w:t>p</w:t>
      </w:r>
      <w:r w:rsidR="00BB259F" w:rsidRPr="001933A8">
        <w:rPr>
          <w:lang w:eastAsia="en-GB"/>
        </w:rPr>
        <w:t xml:space="preserve">arties </w:t>
      </w:r>
      <w:r w:rsidR="00BB259F">
        <w:rPr>
          <w:lang w:eastAsia="en-GB"/>
        </w:rPr>
        <w:t xml:space="preserve">to </w:t>
      </w:r>
      <w:r w:rsidRPr="00562673">
        <w:rPr>
          <w:lang w:eastAsia="en-GB"/>
        </w:rPr>
        <w:t>take the necessary legislative or other measures to ensure that appropriate restraining or protection orders are available to vi</w:t>
      </w:r>
      <w:r w:rsidR="00BB259F" w:rsidRPr="001933A8">
        <w:rPr>
          <w:lang w:eastAsia="en-GB"/>
        </w:rPr>
        <w:t>ctims of all forms of violence</w:t>
      </w:r>
      <w:r w:rsidR="00BB259F">
        <w:rPr>
          <w:lang w:eastAsia="en-GB"/>
        </w:rPr>
        <w:t xml:space="preserve">. </w:t>
      </w:r>
      <w:r w:rsidR="00BB259F">
        <w:rPr>
          <w:rFonts w:eastAsia="Times New Roman" w:cs="Arial"/>
          <w:color w:val="161616"/>
          <w:lang w:eastAsia="en-GB"/>
        </w:rPr>
        <w:t>The Convention provides that these are a</w:t>
      </w:r>
      <w:r w:rsidRPr="00562673">
        <w:rPr>
          <w:rFonts w:eastAsia="Times New Roman" w:cs="Arial"/>
          <w:color w:val="161616"/>
          <w:lang w:eastAsia="en-GB"/>
        </w:rPr>
        <w:t>vailable for immediate protection and without undue financial or administrative burdens placed on the victim;</w:t>
      </w:r>
      <w:r w:rsidR="00BB259F">
        <w:rPr>
          <w:rFonts w:eastAsia="Times New Roman" w:cs="Arial"/>
          <w:color w:val="161616"/>
          <w:lang w:eastAsia="en-GB"/>
        </w:rPr>
        <w:t xml:space="preserve"> </w:t>
      </w:r>
      <w:r w:rsidRPr="00562673">
        <w:rPr>
          <w:rFonts w:eastAsia="Times New Roman" w:cs="Arial"/>
          <w:color w:val="161616"/>
          <w:lang w:eastAsia="en-GB"/>
        </w:rPr>
        <w:t>issued for a specified period or until modified or discharged;</w:t>
      </w:r>
      <w:r w:rsidR="00BB259F">
        <w:rPr>
          <w:rFonts w:eastAsia="Times New Roman" w:cs="Arial"/>
          <w:color w:val="161616"/>
          <w:lang w:eastAsia="en-GB"/>
        </w:rPr>
        <w:t xml:space="preserve"> </w:t>
      </w:r>
      <w:r w:rsidRPr="00562673">
        <w:rPr>
          <w:rFonts w:eastAsia="Times New Roman" w:cs="Arial"/>
          <w:color w:val="161616"/>
          <w:lang w:eastAsia="en-GB"/>
        </w:rPr>
        <w:t>where necessary, issued on an ex parte basis which has immediate effect;</w:t>
      </w:r>
      <w:r w:rsidR="00BB259F">
        <w:rPr>
          <w:rFonts w:eastAsia="Times New Roman" w:cs="Arial"/>
          <w:color w:val="161616"/>
          <w:lang w:eastAsia="en-GB"/>
        </w:rPr>
        <w:t xml:space="preserve"> </w:t>
      </w:r>
      <w:r w:rsidRPr="00562673">
        <w:rPr>
          <w:rFonts w:eastAsia="Times New Roman" w:cs="Arial"/>
          <w:color w:val="161616"/>
          <w:lang w:eastAsia="en-GB"/>
        </w:rPr>
        <w:t>available irrespective of, or in addition to, other legal proceedings</w:t>
      </w:r>
      <w:r w:rsidR="00BB259F">
        <w:rPr>
          <w:rFonts w:eastAsia="Times New Roman" w:cs="Arial"/>
          <w:color w:val="161616"/>
          <w:lang w:eastAsia="en-GB"/>
        </w:rPr>
        <w:t xml:space="preserve"> and </w:t>
      </w:r>
      <w:r w:rsidRPr="00562673">
        <w:rPr>
          <w:rFonts w:eastAsia="Times New Roman" w:cs="Arial"/>
          <w:color w:val="161616"/>
          <w:lang w:eastAsia="en-GB"/>
        </w:rPr>
        <w:t>allowed to be introduced in subsequent legal proceedings.</w:t>
      </w:r>
    </w:p>
    <w:p w14:paraId="16427E13" w14:textId="77777777" w:rsidR="00613801" w:rsidRDefault="00613801" w:rsidP="00562673">
      <w:pPr>
        <w:ind w:left="0" w:firstLine="0"/>
        <w:rPr>
          <w:lang w:eastAsia="en-GB"/>
        </w:rPr>
      </w:pPr>
    </w:p>
    <w:p w14:paraId="218FD068" w14:textId="0DE91B38" w:rsidR="00583DCB" w:rsidRPr="00540106" w:rsidRDefault="00583DCB">
      <w:pPr>
        <w:ind w:left="0" w:firstLine="0"/>
        <w:rPr>
          <w:rFonts w:ascii="Verdana" w:eastAsia="Verdana" w:hAnsi="Verdana" w:cs="Verdana"/>
          <w:color w:val="000000"/>
        </w:rPr>
      </w:pPr>
    </w:p>
    <w:p w14:paraId="27309417" w14:textId="77777777" w:rsidR="00CB104F" w:rsidRPr="00540106" w:rsidRDefault="00456DBD" w:rsidP="00562673">
      <w:pPr>
        <w:pStyle w:val="Heading1"/>
        <w:numPr>
          <w:ilvl w:val="0"/>
          <w:numId w:val="29"/>
        </w:numPr>
        <w:spacing w:before="24"/>
        <w:rPr>
          <w:color w:val="77328A"/>
        </w:rPr>
      </w:pPr>
      <w:bookmarkStart w:id="45" w:name="_Toc63782247"/>
      <w:r w:rsidRPr="00540106">
        <w:rPr>
          <w:color w:val="77328A"/>
        </w:rPr>
        <w:t>Introduction of Domestic Abuse Protection Orders and Notices</w:t>
      </w:r>
      <w:bookmarkEnd w:id="45"/>
    </w:p>
    <w:p w14:paraId="0DAE027C" w14:textId="77777777" w:rsidR="005F5F0D" w:rsidRPr="00540106" w:rsidRDefault="005F5F0D">
      <w:pPr>
        <w:rPr>
          <w:rFonts w:ascii="Verdana" w:hAnsi="Verdana"/>
        </w:rPr>
      </w:pPr>
    </w:p>
    <w:p w14:paraId="67A21780" w14:textId="77777777" w:rsidR="005F5F0D" w:rsidRPr="00CE32B2" w:rsidRDefault="00737A80" w:rsidP="00562673">
      <w:pPr>
        <w:pStyle w:val="ListParagraph"/>
        <w:numPr>
          <w:ilvl w:val="1"/>
          <w:numId w:val="29"/>
        </w:numPr>
        <w:rPr>
          <w:rFonts w:eastAsia="Verdana" w:cs="Verdana"/>
          <w:color w:val="000000"/>
        </w:rPr>
      </w:pPr>
      <w:r w:rsidRPr="00540106">
        <w:t>The NIHRC welcomes</w:t>
      </w:r>
      <w:r w:rsidR="005F5F0D" w:rsidRPr="00540106">
        <w:t xml:space="preserve"> the </w:t>
      </w:r>
      <w:r w:rsidRPr="00540106">
        <w:t xml:space="preserve">introduction of </w:t>
      </w:r>
      <w:r w:rsidR="005F5F0D" w:rsidRPr="00540106">
        <w:t>protection orders and notices</w:t>
      </w:r>
      <w:r w:rsidRPr="00540106">
        <w:t xml:space="preserve"> to</w:t>
      </w:r>
      <w:r w:rsidR="005F5F0D" w:rsidRPr="00540106">
        <w:t xml:space="preserve"> provide protective measures in the immediate aftermath of a domestic violence incident and provide a uniform</w:t>
      </w:r>
      <w:r w:rsidRPr="00540106">
        <w:t>, streamline</w:t>
      </w:r>
      <w:r w:rsidR="0076746C">
        <w:t>d</w:t>
      </w:r>
      <w:r w:rsidR="005F5F0D" w:rsidRPr="00540106">
        <w:t xml:space="preserve"> approach t</w:t>
      </w:r>
      <w:r w:rsidRPr="00540106">
        <w:t xml:space="preserve">o the various </w:t>
      </w:r>
      <w:r w:rsidR="005F5F0D" w:rsidRPr="00540106">
        <w:t xml:space="preserve">remedies </w:t>
      </w:r>
      <w:r w:rsidRPr="00540106">
        <w:t xml:space="preserve">that currently exist. </w:t>
      </w:r>
    </w:p>
    <w:p w14:paraId="506C7C24" w14:textId="77777777" w:rsidR="00737A80" w:rsidRPr="00540106" w:rsidRDefault="00737A80">
      <w:pPr>
        <w:pStyle w:val="ListParagraph"/>
        <w:ind w:firstLine="0"/>
        <w:rPr>
          <w:rFonts w:eastAsia="Verdana" w:cs="Verdana"/>
          <w:color w:val="000000"/>
        </w:rPr>
      </w:pPr>
    </w:p>
    <w:p w14:paraId="6CE34778" w14:textId="77777777" w:rsidR="00737A80" w:rsidRPr="00540106" w:rsidRDefault="00737A80" w:rsidP="00562673">
      <w:pPr>
        <w:pStyle w:val="ListParagraph"/>
        <w:numPr>
          <w:ilvl w:val="1"/>
          <w:numId w:val="29"/>
        </w:numPr>
        <w:rPr>
          <w:rFonts w:eastAsia="Verdana" w:cs="Verdana"/>
          <w:color w:val="000000"/>
        </w:rPr>
      </w:pPr>
      <w:r w:rsidRPr="00540106">
        <w:rPr>
          <w:rFonts w:eastAsia="Verdana" w:cs="Verdana"/>
          <w:color w:val="000000"/>
        </w:rPr>
        <w:t>The NIHRC</w:t>
      </w:r>
      <w:r w:rsidR="00F373DE" w:rsidRPr="00540106">
        <w:rPr>
          <w:rFonts w:eastAsia="Verdana" w:cs="Verdana"/>
          <w:color w:val="000000"/>
        </w:rPr>
        <w:t xml:space="preserve"> further</w:t>
      </w:r>
      <w:r w:rsidRPr="00540106">
        <w:rPr>
          <w:rFonts w:eastAsia="Verdana" w:cs="Verdana"/>
          <w:color w:val="000000"/>
        </w:rPr>
        <w:t xml:space="preserve"> welcomes </w:t>
      </w:r>
      <w:r w:rsidR="008F109F" w:rsidRPr="00540106">
        <w:rPr>
          <w:rFonts w:eastAsia="Verdana" w:cs="Verdana"/>
          <w:color w:val="000000"/>
        </w:rPr>
        <w:t>Domestic Abuse and Protection Order</w:t>
      </w:r>
      <w:r w:rsidRPr="00540106">
        <w:rPr>
          <w:rFonts w:eastAsia="Verdana" w:cs="Verdana"/>
          <w:color w:val="000000"/>
        </w:rPr>
        <w:t>s</w:t>
      </w:r>
      <w:r w:rsidR="00F373DE" w:rsidRPr="00540106">
        <w:rPr>
          <w:rFonts w:eastAsia="Verdana" w:cs="Verdana"/>
          <w:color w:val="000000"/>
        </w:rPr>
        <w:t xml:space="preserve"> and Notices</w:t>
      </w:r>
      <w:r w:rsidR="008F109F" w:rsidRPr="00540106">
        <w:rPr>
          <w:rFonts w:eastAsia="Verdana" w:cs="Verdana"/>
          <w:color w:val="000000"/>
        </w:rPr>
        <w:t xml:space="preserve"> that</w:t>
      </w:r>
      <w:r w:rsidRPr="00540106">
        <w:rPr>
          <w:rFonts w:eastAsia="Verdana" w:cs="Verdana"/>
          <w:color w:val="000000"/>
        </w:rPr>
        <w:t xml:space="preserve"> will protect victims from all forms of domestic abuse, including physical violence, the threat of violence as well as non-physical abuse and coercive control.</w:t>
      </w:r>
      <w:r w:rsidR="00E96779" w:rsidRPr="00540106">
        <w:rPr>
          <w:rFonts w:eastAsia="Verdana" w:cs="Verdana"/>
          <w:color w:val="000000"/>
        </w:rPr>
        <w:t xml:space="preserve"> This should be</w:t>
      </w:r>
      <w:r w:rsidR="00607633" w:rsidRPr="00540106">
        <w:rPr>
          <w:rFonts w:eastAsia="Verdana" w:cs="Verdana"/>
          <w:color w:val="000000"/>
        </w:rPr>
        <w:t xml:space="preserve"> linked to the definition of abusive behaviour in the Domestic Abus</w:t>
      </w:r>
      <w:r w:rsidR="00676C08" w:rsidRPr="00540106">
        <w:rPr>
          <w:rFonts w:eastAsia="Verdana" w:cs="Verdana"/>
          <w:color w:val="000000"/>
        </w:rPr>
        <w:t xml:space="preserve">e </w:t>
      </w:r>
      <w:r w:rsidR="00607633" w:rsidRPr="00540106">
        <w:rPr>
          <w:rFonts w:eastAsia="Verdana" w:cs="Verdana"/>
          <w:color w:val="000000"/>
        </w:rPr>
        <w:t>and Family Proceedings Bill and apply to individuals who are</w:t>
      </w:r>
      <w:r w:rsidR="00676C08" w:rsidRPr="00540106">
        <w:rPr>
          <w:rFonts w:eastAsia="Verdana" w:cs="Verdana"/>
          <w:color w:val="000000"/>
        </w:rPr>
        <w:t xml:space="preserve"> </w:t>
      </w:r>
      <w:r w:rsidR="00607633" w:rsidRPr="00540106">
        <w:rPr>
          <w:rFonts w:eastAsia="Verdana" w:cs="Verdana"/>
          <w:color w:val="000000"/>
        </w:rPr>
        <w:t>personally connected as set out in t</w:t>
      </w:r>
      <w:r w:rsidR="00E96779" w:rsidRPr="00540106">
        <w:rPr>
          <w:rFonts w:eastAsia="Verdana" w:cs="Verdana"/>
          <w:color w:val="000000"/>
        </w:rPr>
        <w:t>he Bill.</w:t>
      </w:r>
      <w:r w:rsidR="00AA28AF">
        <w:rPr>
          <w:rStyle w:val="FootnoteReference"/>
          <w:rFonts w:eastAsia="Verdana" w:cs="Verdana"/>
          <w:color w:val="000000"/>
        </w:rPr>
        <w:footnoteReference w:id="33"/>
      </w:r>
      <w:r w:rsidR="00E96779" w:rsidRPr="00540106">
        <w:rPr>
          <w:rFonts w:eastAsia="Verdana" w:cs="Verdana"/>
          <w:color w:val="000000"/>
        </w:rPr>
        <w:t xml:space="preserve"> </w:t>
      </w:r>
      <w:r w:rsidR="00BB259F" w:rsidRPr="00BB259F">
        <w:rPr>
          <w:rFonts w:eastAsia="Verdana" w:cs="Verdana"/>
          <w:color w:val="000000"/>
        </w:rPr>
        <w:t xml:space="preserve">The </w:t>
      </w:r>
      <w:r w:rsidR="00BB259F" w:rsidRPr="00BB259F">
        <w:rPr>
          <w:rFonts w:eastAsia="Verdana" w:cs="Verdana"/>
          <w:color w:val="000000"/>
        </w:rPr>
        <w:lastRenderedPageBreak/>
        <w:t>NIHRC welcome</w:t>
      </w:r>
      <w:r w:rsidR="00BB259F">
        <w:rPr>
          <w:rFonts w:eastAsia="Verdana" w:cs="Verdana"/>
          <w:color w:val="000000"/>
        </w:rPr>
        <w:t>d</w:t>
      </w:r>
      <w:r w:rsidR="00BB259F" w:rsidRPr="00BB259F">
        <w:rPr>
          <w:rFonts w:eastAsia="Verdana" w:cs="Verdana"/>
          <w:color w:val="000000"/>
        </w:rPr>
        <w:t xml:space="preserve"> the introduction of an extensive statutory offence of domestic abuse that includes physical harm, psychological harm, violent behaviour, threatening behaviour and controlling behaviour. The NIHRC welcome</w:t>
      </w:r>
      <w:r w:rsidR="00BB259F">
        <w:rPr>
          <w:rFonts w:eastAsia="Verdana" w:cs="Verdana"/>
          <w:color w:val="000000"/>
        </w:rPr>
        <w:t>d</w:t>
      </w:r>
      <w:r w:rsidR="00BB259F" w:rsidRPr="00BB259F">
        <w:rPr>
          <w:rFonts w:eastAsia="Verdana" w:cs="Verdana"/>
          <w:color w:val="000000"/>
        </w:rPr>
        <w:t xml:space="preserve"> that the offence of controlling behaviour is expansive and includes economic control, in line with the Istanbul Convention.</w:t>
      </w:r>
      <w:r w:rsidR="00BB259F">
        <w:rPr>
          <w:rFonts w:eastAsia="Verdana" w:cs="Verdana"/>
          <w:color w:val="000000"/>
        </w:rPr>
        <w:t xml:space="preserve"> </w:t>
      </w:r>
    </w:p>
    <w:p w14:paraId="6639B0FD" w14:textId="77777777" w:rsidR="00AC4270" w:rsidRPr="00540106" w:rsidRDefault="00AC4270">
      <w:pPr>
        <w:pStyle w:val="ListParagraph"/>
        <w:rPr>
          <w:rFonts w:eastAsia="Verdana" w:cs="Verdana"/>
          <w:color w:val="000000"/>
        </w:rPr>
      </w:pPr>
    </w:p>
    <w:p w14:paraId="4E47D76A" w14:textId="77777777" w:rsidR="00AC4270" w:rsidRPr="00540106" w:rsidRDefault="00AC4270" w:rsidP="00562673">
      <w:pPr>
        <w:pStyle w:val="ListParagraph"/>
        <w:numPr>
          <w:ilvl w:val="1"/>
          <w:numId w:val="29"/>
        </w:numPr>
        <w:rPr>
          <w:rFonts w:eastAsia="Verdana" w:cs="Verdana"/>
          <w:color w:val="000000"/>
        </w:rPr>
      </w:pPr>
      <w:r w:rsidRPr="00540106">
        <w:rPr>
          <w:rFonts w:eastAsia="Verdana" w:cs="Verdana"/>
          <w:color w:val="000000"/>
        </w:rPr>
        <w:t xml:space="preserve">The NIHRC recognises the need for Domestic Abuse Protection Orders and Notices to be made across family, civil and criminal courts to provide a more flexible and comprehensive response to domestic abuse across the justice system. The NIHRC acknowledges the </w:t>
      </w:r>
      <w:r w:rsidR="005D3BCB">
        <w:rPr>
          <w:rFonts w:eastAsia="Verdana" w:cs="Verdana"/>
          <w:color w:val="000000"/>
        </w:rPr>
        <w:t xml:space="preserve">importance of the </w:t>
      </w:r>
      <w:r w:rsidRPr="00540106">
        <w:rPr>
          <w:rFonts w:eastAsia="Verdana" w:cs="Verdana"/>
          <w:color w:val="000000"/>
        </w:rPr>
        <w:t xml:space="preserve">continuance of Legal Aid to victims of domestic abuse when seeking Domestic Abuse Protection Orders. </w:t>
      </w:r>
    </w:p>
    <w:p w14:paraId="351FE0DD" w14:textId="77777777" w:rsidR="00F373DE" w:rsidRPr="00540106" w:rsidRDefault="00F373DE">
      <w:pPr>
        <w:ind w:left="0" w:firstLine="0"/>
        <w:rPr>
          <w:rFonts w:ascii="Verdana" w:eastAsia="Verdana" w:hAnsi="Verdana" w:cs="Verdana"/>
          <w:color w:val="000000"/>
        </w:rPr>
      </w:pPr>
    </w:p>
    <w:p w14:paraId="23025295" w14:textId="77777777" w:rsidR="00664C18" w:rsidRPr="00562673" w:rsidRDefault="00AC4270" w:rsidP="00562673">
      <w:pPr>
        <w:pStyle w:val="ListParagraph"/>
        <w:numPr>
          <w:ilvl w:val="1"/>
          <w:numId w:val="29"/>
        </w:numPr>
        <w:rPr>
          <w:rFonts w:eastAsia="Times New Roman"/>
        </w:rPr>
      </w:pPr>
      <w:r w:rsidRPr="00664C18">
        <w:rPr>
          <w:rFonts w:eastAsia="Verdana" w:cs="Verdana"/>
          <w:color w:val="000000"/>
        </w:rPr>
        <w:t>T</w:t>
      </w:r>
      <w:r w:rsidR="00146A2C" w:rsidRPr="00664C18">
        <w:rPr>
          <w:rFonts w:eastAsia="Verdana" w:cs="Verdana"/>
          <w:color w:val="000000"/>
        </w:rPr>
        <w:t xml:space="preserve">he </w:t>
      </w:r>
      <w:r w:rsidR="00564966" w:rsidRPr="00664C18">
        <w:rPr>
          <w:rFonts w:eastAsia="Verdana" w:cs="Verdana"/>
          <w:color w:val="000000"/>
        </w:rPr>
        <w:t xml:space="preserve">NIHRC </w:t>
      </w:r>
      <w:r w:rsidR="00146A2C" w:rsidRPr="00664C18">
        <w:rPr>
          <w:rFonts w:eastAsia="Verdana" w:cs="Verdana"/>
          <w:color w:val="000000"/>
        </w:rPr>
        <w:t>would highlight the need for the introduction of Domestic Abuse Protection Orders to shift the onus from the victim having to take legal action to protect themselves. Considering this</w:t>
      </w:r>
      <w:r w:rsidR="0076746C">
        <w:rPr>
          <w:rFonts w:eastAsia="Verdana" w:cs="Verdana"/>
          <w:color w:val="000000"/>
        </w:rPr>
        <w:t>,</w:t>
      </w:r>
      <w:r w:rsidR="00146A2C" w:rsidRPr="00664C18">
        <w:rPr>
          <w:rFonts w:eastAsia="Verdana" w:cs="Verdana"/>
          <w:color w:val="000000"/>
        </w:rPr>
        <w:t xml:space="preserve"> the police, the courts and potentially specified service providers acting to protect the victim should be adequately trained and funded to fulfil their role in preventing, escalating and prosecuting domestic abuse.</w:t>
      </w:r>
      <w:r w:rsidR="00824435" w:rsidRPr="00664C18">
        <w:rPr>
          <w:rFonts w:eastAsia="Verdana" w:cs="Verdana"/>
          <w:color w:val="000000"/>
        </w:rPr>
        <w:t xml:space="preserve"> </w:t>
      </w:r>
      <w:r w:rsidR="003E2DD3" w:rsidRPr="00664C18">
        <w:rPr>
          <w:rFonts w:cs="Arial"/>
        </w:rPr>
        <w:t>The UN CAT Committee, in its 2019 Concluding Observations, made specific reference to the need for training on domestic violence and gender based violence. It recommended that the UK Government should “p</w:t>
      </w:r>
      <w:r w:rsidR="003E2DD3" w:rsidRPr="00664C18">
        <w:rPr>
          <w:rFonts w:cs="MinionPro-Regular"/>
          <w:color w:val="000000"/>
        </w:rPr>
        <w:t>rovide mandatory training on the prosecution of gender-based violence to all justice officials and law enforcement personnel and continue awareness-raising campaigns on all forms of violence against women".</w:t>
      </w:r>
      <w:r w:rsidR="003E2DD3" w:rsidRPr="00562673">
        <w:rPr>
          <w:rFonts w:cs="MinionPro-Regular"/>
          <w:vertAlign w:val="superscript"/>
        </w:rPr>
        <w:footnoteReference w:id="34"/>
      </w:r>
      <w:r w:rsidR="003E2DD3">
        <w:t xml:space="preserve"> </w:t>
      </w:r>
    </w:p>
    <w:p w14:paraId="2B26DEDE" w14:textId="77777777" w:rsidR="00E72287" w:rsidRPr="00562673" w:rsidRDefault="00E72287" w:rsidP="00562673">
      <w:pPr>
        <w:ind w:left="0" w:firstLine="0"/>
        <w:rPr>
          <w:rFonts w:eastAsia="Times New Roman"/>
        </w:rPr>
      </w:pPr>
    </w:p>
    <w:p w14:paraId="0D40C218" w14:textId="77777777" w:rsidR="00E72287" w:rsidRDefault="003E2DD3" w:rsidP="00562673">
      <w:pPr>
        <w:pStyle w:val="ListParagraph"/>
        <w:numPr>
          <w:ilvl w:val="1"/>
          <w:numId w:val="29"/>
        </w:numPr>
        <w:rPr>
          <w:rFonts w:eastAsia="Times New Roman"/>
        </w:rPr>
      </w:pPr>
      <w:r w:rsidRPr="003E2DD3">
        <w:rPr>
          <w:rFonts w:eastAsia="Times New Roman"/>
        </w:rPr>
        <w:t>The UN CEDAW Committee within its General Recommendation No 35 on gender-based violence against women, regarding preventative measures, recommended that States should “provide mandatory, recurrent and effective capacity-building, education and training for members of the judiciary, lawyers and law enforcement officers”.</w:t>
      </w:r>
      <w:r w:rsidRPr="003E2DD3">
        <w:rPr>
          <w:rFonts w:eastAsia="Times New Roman"/>
          <w:vertAlign w:val="superscript"/>
        </w:rPr>
        <w:footnoteReference w:id="35"/>
      </w:r>
    </w:p>
    <w:p w14:paraId="0862C539" w14:textId="77777777" w:rsidR="00E72287" w:rsidRPr="001933A8" w:rsidRDefault="00E72287" w:rsidP="00562673">
      <w:pPr>
        <w:pStyle w:val="ListParagraph"/>
        <w:ind w:firstLine="0"/>
        <w:rPr>
          <w:rFonts w:eastAsia="Times New Roman"/>
        </w:rPr>
      </w:pPr>
    </w:p>
    <w:p w14:paraId="5034DF84" w14:textId="77777777" w:rsidR="00E72287" w:rsidRPr="00562673" w:rsidRDefault="00E72287" w:rsidP="00562673">
      <w:pPr>
        <w:pStyle w:val="ListParagraph"/>
        <w:numPr>
          <w:ilvl w:val="1"/>
          <w:numId w:val="29"/>
        </w:numPr>
        <w:rPr>
          <w:rFonts w:eastAsia="Times New Roman" w:cs="Arial"/>
          <w:color w:val="161616"/>
          <w:lang w:eastAsia="en-GB"/>
        </w:rPr>
      </w:pPr>
      <w:r w:rsidRPr="00562673">
        <w:rPr>
          <w:rFonts w:eastAsia="Times New Roman"/>
        </w:rPr>
        <w:t xml:space="preserve">Article 15 Istanbul Convention </w:t>
      </w:r>
      <w:r w:rsidRPr="00E72287">
        <w:rPr>
          <w:rFonts w:eastAsia="Times New Roman"/>
        </w:rPr>
        <w:t>requires states to</w:t>
      </w:r>
      <w:r w:rsidRPr="00562673">
        <w:rPr>
          <w:rFonts w:eastAsia="Times New Roman" w:cs="Arial"/>
          <w:color w:val="161616"/>
          <w:lang w:eastAsia="en-GB"/>
        </w:rPr>
        <w:t xml:space="preserve"> strengthen appropriate training for the relevant professionals dealing with victims or perpetrators of all acts of violence including training on co-ordinated multi-agency co-</w:t>
      </w:r>
      <w:r w:rsidRPr="00562673">
        <w:rPr>
          <w:rFonts w:eastAsia="Times New Roman" w:cs="Arial"/>
          <w:color w:val="161616"/>
          <w:lang w:eastAsia="en-GB"/>
        </w:rPr>
        <w:lastRenderedPageBreak/>
        <w:t xml:space="preserve">operation to allow for a comprehensive and appropriate handling of referrals in cases of violence. </w:t>
      </w:r>
    </w:p>
    <w:p w14:paraId="176FB38E" w14:textId="77777777" w:rsidR="005F5F0D" w:rsidRPr="00540106" w:rsidRDefault="005F5F0D">
      <w:pPr>
        <w:ind w:left="0" w:firstLine="0"/>
        <w:rPr>
          <w:rFonts w:ascii="Verdana" w:hAnsi="Verdana"/>
        </w:rPr>
      </w:pPr>
    </w:p>
    <w:p w14:paraId="334817F1" w14:textId="0EA58AF8" w:rsidR="00824435" w:rsidRDefault="00E96779" w:rsidP="00562673">
      <w:pPr>
        <w:pStyle w:val="ListParagraph"/>
        <w:numPr>
          <w:ilvl w:val="1"/>
          <w:numId w:val="29"/>
        </w:numPr>
      </w:pPr>
      <w:r w:rsidRPr="00991049">
        <w:t>The NIHRC understands the Department is currently consid</w:t>
      </w:r>
      <w:r w:rsidR="007F129C" w:rsidRPr="00991049">
        <w:t xml:space="preserve">ering </w:t>
      </w:r>
      <w:r w:rsidR="00991049">
        <w:t xml:space="preserve">the </w:t>
      </w:r>
      <w:r w:rsidR="00647477" w:rsidRPr="00991049">
        <w:t xml:space="preserve">experience of </w:t>
      </w:r>
      <w:r w:rsidR="007F129C" w:rsidRPr="00991049">
        <w:t xml:space="preserve">Domestic Abuse Protection </w:t>
      </w:r>
      <w:r w:rsidRPr="00991049">
        <w:t>Order</w:t>
      </w:r>
      <w:r w:rsidR="007F129C" w:rsidRPr="00991049">
        <w:t>s</w:t>
      </w:r>
      <w:r w:rsidRPr="00991049">
        <w:t xml:space="preserve"> in England</w:t>
      </w:r>
      <w:r w:rsidR="00AC4270" w:rsidRPr="00991049">
        <w:t xml:space="preserve"> and Wales</w:t>
      </w:r>
      <w:r w:rsidR="00991049">
        <w:t>, where it is being piloted,</w:t>
      </w:r>
      <w:r w:rsidR="00AC4270" w:rsidRPr="00991049">
        <w:t xml:space="preserve"> as well as Scotland. </w:t>
      </w:r>
      <w:r w:rsidR="00824435">
        <w:t xml:space="preserve">The NIHRC would suggest that the Department also look at models of best practice in European countries. </w:t>
      </w:r>
    </w:p>
    <w:p w14:paraId="6FCB4BB8" w14:textId="77777777" w:rsidR="00824435" w:rsidRDefault="00824435" w:rsidP="00562673">
      <w:pPr>
        <w:pStyle w:val="ListParagraph"/>
      </w:pPr>
    </w:p>
    <w:p w14:paraId="6524C382" w14:textId="77777777" w:rsidR="00F373DE" w:rsidRDefault="00AC4270" w:rsidP="00562673">
      <w:pPr>
        <w:pStyle w:val="ListParagraph"/>
        <w:numPr>
          <w:ilvl w:val="1"/>
          <w:numId w:val="29"/>
        </w:numPr>
      </w:pPr>
      <w:r w:rsidRPr="00991049">
        <w:t xml:space="preserve">The Department is proposing </w:t>
      </w:r>
      <w:r w:rsidR="008F109F" w:rsidRPr="00991049">
        <w:t>an initial pilo</w:t>
      </w:r>
      <w:r w:rsidR="00824435">
        <w:t>t</w:t>
      </w:r>
      <w:r w:rsidR="008F109F" w:rsidRPr="00991049">
        <w:t xml:space="preserve"> of the Orders</w:t>
      </w:r>
      <w:r w:rsidR="00991049">
        <w:t xml:space="preserve"> in NI</w:t>
      </w:r>
      <w:r w:rsidR="00F373DE" w:rsidRPr="00991049">
        <w:t xml:space="preserve"> to better understand the costs of implementation and to consider </w:t>
      </w:r>
      <w:r w:rsidRPr="00991049">
        <w:t>learning from other jurisdictions</w:t>
      </w:r>
      <w:r w:rsidR="00F373DE" w:rsidRPr="00991049">
        <w:t xml:space="preserve">. </w:t>
      </w:r>
      <w:r w:rsidR="00824435">
        <w:t>It proposes to do so initially in only a number of areas including one</w:t>
      </w:r>
      <w:r w:rsidR="00167584">
        <w:t xml:space="preserve"> urban</w:t>
      </w:r>
      <w:r w:rsidR="00824435">
        <w:t xml:space="preserve"> and one rural. The NIHRC would suggest the Department monitor the implementation of the Orders in rural areas considering the greater isolation of victims and less frequent court sittings. </w:t>
      </w:r>
      <w:r w:rsidR="00F373DE" w:rsidRPr="00991049">
        <w:t>H</w:t>
      </w:r>
      <w:r w:rsidR="008F109F" w:rsidRPr="00991049">
        <w:t xml:space="preserve">owever, the NIHRC </w:t>
      </w:r>
      <w:r w:rsidR="00F373DE" w:rsidRPr="00991049">
        <w:t xml:space="preserve">is concerned that the length of time proposed </w:t>
      </w:r>
      <w:r w:rsidRPr="00991049">
        <w:t xml:space="preserve">of </w:t>
      </w:r>
      <w:r w:rsidR="00F373DE" w:rsidRPr="00991049">
        <w:t>between one to two years</w:t>
      </w:r>
      <w:r w:rsidR="00824435">
        <w:t xml:space="preserve"> </w:t>
      </w:r>
      <w:r w:rsidR="00F373DE" w:rsidRPr="00991049">
        <w:t xml:space="preserve">is </w:t>
      </w:r>
      <w:r w:rsidR="00AA28AF" w:rsidRPr="00991049">
        <w:t>too long</w:t>
      </w:r>
      <w:r w:rsidRPr="00991049">
        <w:t xml:space="preserve"> and will delay the </w:t>
      </w:r>
      <w:r w:rsidR="00647477" w:rsidRPr="00991049">
        <w:t xml:space="preserve">immediate </w:t>
      </w:r>
      <w:r w:rsidRPr="00991049">
        <w:t xml:space="preserve">support needed to protect victims of domestic abuse. </w:t>
      </w:r>
    </w:p>
    <w:p w14:paraId="4E6D4132" w14:textId="77777777" w:rsidR="00597C1A" w:rsidRDefault="00597C1A" w:rsidP="00562673">
      <w:pPr>
        <w:pStyle w:val="ListParagraph"/>
      </w:pPr>
    </w:p>
    <w:p w14:paraId="506AF561" w14:textId="159AECD8" w:rsidR="00597C1A" w:rsidRPr="002A4451" w:rsidRDefault="0076746C" w:rsidP="00562673">
      <w:pPr>
        <w:pStyle w:val="ListParagraph"/>
        <w:numPr>
          <w:ilvl w:val="1"/>
          <w:numId w:val="29"/>
        </w:numPr>
      </w:pPr>
      <w:r w:rsidRPr="002A4451">
        <w:t xml:space="preserve">To </w:t>
      </w:r>
      <w:r w:rsidR="006253AF" w:rsidRPr="002A4451">
        <w:t>appl</w:t>
      </w:r>
      <w:r w:rsidRPr="002A4451">
        <w:t>y</w:t>
      </w:r>
      <w:r w:rsidR="00597C1A" w:rsidRPr="002A4451">
        <w:t xml:space="preserve"> Domestic Violence Protection Orders and Notices</w:t>
      </w:r>
      <w:r w:rsidR="006253AF" w:rsidRPr="002A4451">
        <w:t xml:space="preserve"> </w:t>
      </w:r>
      <w:r w:rsidR="00597C1A" w:rsidRPr="002A4451">
        <w:t>the victim must be aged 16 years or over and the alleged perpetrator be aged 18 years or over</w:t>
      </w:r>
      <w:r w:rsidR="006253AF" w:rsidRPr="002A4451">
        <w:t xml:space="preserve">. Article 19 of the UN Convention on the Rights of the Child (CRC) requires that “States Parties shall take all appropriate legislative, administrative, social and educational measures to protect the child from all forms of physical or mental violence, injury or abuse”. The Preamble of the Istanbul Convention recognises that children are victims of domestic violence, including as witnesses of violence in the family. Articles 22, 23 and 26 of the Istanbul Convention also call for specialist support for children in such situations. </w:t>
      </w:r>
    </w:p>
    <w:p w14:paraId="32545864" w14:textId="77777777" w:rsidR="009D3B57" w:rsidRDefault="009D3B57">
      <w:pPr>
        <w:pStyle w:val="ListParagraph"/>
      </w:pPr>
    </w:p>
    <w:p w14:paraId="68CFB91C" w14:textId="77777777" w:rsidR="00564966" w:rsidRDefault="009D3B57" w:rsidP="00562673">
      <w:pPr>
        <w:pStyle w:val="ListParagraph"/>
        <w:numPr>
          <w:ilvl w:val="1"/>
          <w:numId w:val="29"/>
        </w:numPr>
        <w:rPr>
          <w:b/>
        </w:rPr>
      </w:pPr>
      <w:r w:rsidRPr="00540106">
        <w:rPr>
          <w:b/>
        </w:rPr>
        <w:t>The NIHRC recommends the introduction of Domestic Abuse Protection Orders and Notices to provide immediate protection to victims of all forms of domestic abuse and that these are accessible across the criminal justice system</w:t>
      </w:r>
      <w:r w:rsidR="00564966">
        <w:rPr>
          <w:b/>
        </w:rPr>
        <w:t>.</w:t>
      </w:r>
    </w:p>
    <w:p w14:paraId="03FD5DA3" w14:textId="77777777" w:rsidR="00564966" w:rsidRPr="00B54ED9" w:rsidRDefault="00564966" w:rsidP="00562673">
      <w:pPr>
        <w:pStyle w:val="ListParagraph"/>
        <w:rPr>
          <w:b/>
        </w:rPr>
      </w:pPr>
    </w:p>
    <w:p w14:paraId="29FDF05C" w14:textId="17629E2A" w:rsidR="009D3B57" w:rsidRPr="00540106" w:rsidRDefault="00564966" w:rsidP="00562673">
      <w:pPr>
        <w:pStyle w:val="ListParagraph"/>
        <w:numPr>
          <w:ilvl w:val="1"/>
          <w:numId w:val="29"/>
        </w:numPr>
        <w:rPr>
          <w:b/>
        </w:rPr>
      </w:pPr>
      <w:r>
        <w:rPr>
          <w:b/>
        </w:rPr>
        <w:t>The NIHRC recommends that</w:t>
      </w:r>
      <w:r w:rsidR="009D3B57" w:rsidRPr="00540106">
        <w:rPr>
          <w:b/>
        </w:rPr>
        <w:t xml:space="preserve"> Legal Aid</w:t>
      </w:r>
      <w:r>
        <w:rPr>
          <w:b/>
        </w:rPr>
        <w:t xml:space="preserve"> is a</w:t>
      </w:r>
      <w:r w:rsidR="0076746C">
        <w:rPr>
          <w:b/>
        </w:rPr>
        <w:t>vailable</w:t>
      </w:r>
      <w:r>
        <w:rPr>
          <w:b/>
        </w:rPr>
        <w:t xml:space="preserve"> </w:t>
      </w:r>
      <w:r w:rsidR="0076746C">
        <w:rPr>
          <w:b/>
        </w:rPr>
        <w:t xml:space="preserve">for </w:t>
      </w:r>
      <w:r>
        <w:rPr>
          <w:b/>
        </w:rPr>
        <w:t>applying for a Domestic Abuse Protection Order</w:t>
      </w:r>
      <w:r w:rsidR="009D3B57" w:rsidRPr="00540106">
        <w:rPr>
          <w:b/>
        </w:rPr>
        <w:t xml:space="preserve">. </w:t>
      </w:r>
    </w:p>
    <w:p w14:paraId="0DFAD177" w14:textId="77777777" w:rsidR="00676C08" w:rsidRPr="009D3B57" w:rsidRDefault="00676C08">
      <w:pPr>
        <w:pStyle w:val="ListParagraph"/>
        <w:ind w:firstLine="0"/>
      </w:pPr>
    </w:p>
    <w:p w14:paraId="6A42861D" w14:textId="77777777" w:rsidR="00AC4270" w:rsidRPr="00540106" w:rsidRDefault="00676C08" w:rsidP="00562673">
      <w:pPr>
        <w:pStyle w:val="ListParagraph"/>
        <w:numPr>
          <w:ilvl w:val="1"/>
          <w:numId w:val="29"/>
        </w:numPr>
        <w:rPr>
          <w:b/>
        </w:rPr>
      </w:pPr>
      <w:r w:rsidRPr="00540106">
        <w:rPr>
          <w:b/>
        </w:rPr>
        <w:lastRenderedPageBreak/>
        <w:t xml:space="preserve">The NIHRC recommends that the relevant authorities, particularly the police, should be adequately trained to ensure Domestic Abuse Protection Orders and Notices are effectively </w:t>
      </w:r>
      <w:r w:rsidR="007F129C" w:rsidRPr="00540106">
        <w:rPr>
          <w:b/>
        </w:rPr>
        <w:t xml:space="preserve">implemented. </w:t>
      </w:r>
    </w:p>
    <w:p w14:paraId="151FF61B" w14:textId="77777777" w:rsidR="00AC4270" w:rsidRPr="00540106" w:rsidRDefault="00AC4270">
      <w:pPr>
        <w:pStyle w:val="ListParagraph"/>
        <w:rPr>
          <w:b/>
        </w:rPr>
      </w:pPr>
    </w:p>
    <w:p w14:paraId="06312F0C" w14:textId="77777777" w:rsidR="00F373DE" w:rsidRPr="00991049" w:rsidRDefault="00F373DE" w:rsidP="00562673">
      <w:pPr>
        <w:pStyle w:val="ListParagraph"/>
        <w:numPr>
          <w:ilvl w:val="1"/>
          <w:numId w:val="29"/>
        </w:numPr>
        <w:rPr>
          <w:b/>
        </w:rPr>
      </w:pPr>
      <w:r w:rsidRPr="00991049">
        <w:rPr>
          <w:b/>
        </w:rPr>
        <w:t xml:space="preserve">The NIHRC recommends additional resources are allocated to the police </w:t>
      </w:r>
      <w:r w:rsidR="00BB259F">
        <w:rPr>
          <w:b/>
        </w:rPr>
        <w:t xml:space="preserve">and </w:t>
      </w:r>
      <w:r w:rsidR="00824435">
        <w:rPr>
          <w:b/>
        </w:rPr>
        <w:t xml:space="preserve">potential </w:t>
      </w:r>
      <w:r w:rsidR="00BB259F">
        <w:rPr>
          <w:b/>
        </w:rPr>
        <w:t xml:space="preserve">relevant third parties </w:t>
      </w:r>
      <w:r w:rsidRPr="00991049">
        <w:rPr>
          <w:b/>
        </w:rPr>
        <w:t>specifically for training and application fees for Domestic Violence Protection Orders and Notices.</w:t>
      </w:r>
    </w:p>
    <w:p w14:paraId="27E68C8B" w14:textId="77777777" w:rsidR="00F373DE" w:rsidRPr="00540106" w:rsidRDefault="00F373DE">
      <w:pPr>
        <w:ind w:left="0" w:firstLine="0"/>
        <w:rPr>
          <w:rFonts w:ascii="Verdana" w:hAnsi="Verdana"/>
          <w:b/>
        </w:rPr>
      </w:pPr>
    </w:p>
    <w:p w14:paraId="52AA7847" w14:textId="77777777" w:rsidR="00F373DE" w:rsidRPr="00540106" w:rsidRDefault="00F373DE" w:rsidP="00562673">
      <w:pPr>
        <w:pStyle w:val="ListParagraph"/>
        <w:numPr>
          <w:ilvl w:val="1"/>
          <w:numId w:val="29"/>
        </w:numPr>
        <w:rPr>
          <w:b/>
        </w:rPr>
      </w:pPr>
      <w:r w:rsidRPr="00540106">
        <w:rPr>
          <w:b/>
        </w:rPr>
        <w:t xml:space="preserve">The NIHRC recommends the Department reconsider such a lengthy and limited piloting exercise, to ensure the Domestic Abuse Protection Orders and Notices can be accessed by all victims of domestic abuse without further delay. </w:t>
      </w:r>
    </w:p>
    <w:p w14:paraId="70D51614" w14:textId="77777777" w:rsidR="00E828D6" w:rsidRPr="00540106" w:rsidRDefault="00E828D6">
      <w:pPr>
        <w:ind w:left="0" w:firstLine="0"/>
        <w:rPr>
          <w:rFonts w:ascii="Verdana" w:hAnsi="Verdana"/>
        </w:rPr>
      </w:pPr>
    </w:p>
    <w:p w14:paraId="39BCF8C0" w14:textId="77777777" w:rsidR="003B7D0E" w:rsidRPr="00540106" w:rsidRDefault="00CB104F">
      <w:pPr>
        <w:pStyle w:val="Heading2"/>
        <w:spacing w:before="24"/>
      </w:pPr>
      <w:bookmarkStart w:id="46" w:name="_Toc63782248"/>
      <w:r w:rsidRPr="00540106">
        <w:t>Third Party</w:t>
      </w:r>
      <w:r w:rsidR="005B2A55" w:rsidRPr="00540106">
        <w:t xml:space="preserve"> Application</w:t>
      </w:r>
      <w:bookmarkEnd w:id="46"/>
      <w:r w:rsidR="005B2A55" w:rsidRPr="00540106">
        <w:t xml:space="preserve"> </w:t>
      </w:r>
    </w:p>
    <w:p w14:paraId="219F9E6A" w14:textId="77777777" w:rsidR="005B2A55" w:rsidRPr="00540106" w:rsidRDefault="005B2A55">
      <w:pPr>
        <w:rPr>
          <w:rFonts w:ascii="Verdana" w:hAnsi="Verdana"/>
        </w:rPr>
      </w:pPr>
    </w:p>
    <w:p w14:paraId="038D18FC" w14:textId="77777777" w:rsidR="005B2A55" w:rsidRPr="00540106" w:rsidRDefault="00FB3A69" w:rsidP="00562673">
      <w:pPr>
        <w:pStyle w:val="ListParagraph"/>
        <w:numPr>
          <w:ilvl w:val="1"/>
          <w:numId w:val="29"/>
        </w:numPr>
      </w:pPr>
      <w:r w:rsidRPr="00540106">
        <w:t>The NIHRC understands the D</w:t>
      </w:r>
      <w:r w:rsidR="00AB7A5E" w:rsidRPr="00540106">
        <w:t xml:space="preserve">epartment is considering </w:t>
      </w:r>
      <w:r w:rsidR="00E96779" w:rsidRPr="00540106">
        <w:t xml:space="preserve">provision for </w:t>
      </w:r>
      <w:r w:rsidR="00AB7A5E" w:rsidRPr="00540106">
        <w:t>a</w:t>
      </w:r>
      <w:r w:rsidR="005B2A55" w:rsidRPr="00540106">
        <w:t xml:space="preserve"> number of specified third parties to apply to the family courts for a D</w:t>
      </w:r>
      <w:r w:rsidR="00786E3A" w:rsidRPr="00540106">
        <w:t xml:space="preserve">omestic </w:t>
      </w:r>
      <w:r w:rsidR="005B2A55" w:rsidRPr="00540106">
        <w:t>A</w:t>
      </w:r>
      <w:r w:rsidR="00786E3A" w:rsidRPr="00540106">
        <w:t xml:space="preserve">buse </w:t>
      </w:r>
      <w:r w:rsidR="005B2A55" w:rsidRPr="00540106">
        <w:t>P</w:t>
      </w:r>
      <w:r w:rsidR="00786E3A" w:rsidRPr="00540106">
        <w:t xml:space="preserve">rotection </w:t>
      </w:r>
      <w:r w:rsidR="005B2A55" w:rsidRPr="00540106">
        <w:t>O</w:t>
      </w:r>
      <w:r w:rsidR="00786E3A" w:rsidRPr="00540106">
        <w:t>rder</w:t>
      </w:r>
      <w:r w:rsidR="005B2A55" w:rsidRPr="00540106">
        <w:t xml:space="preserve"> on the victim’s behalf. </w:t>
      </w:r>
      <w:r w:rsidR="00AB7A5E" w:rsidRPr="00540106">
        <w:t>The NIHRC understands that t</w:t>
      </w:r>
      <w:r w:rsidR="005B2A55" w:rsidRPr="00540106">
        <w:t xml:space="preserve">he availability of third party applications </w:t>
      </w:r>
      <w:r w:rsidR="00941834" w:rsidRPr="00540106">
        <w:t>ha</w:t>
      </w:r>
      <w:r w:rsidR="00941834">
        <w:t>s</w:t>
      </w:r>
      <w:r w:rsidR="00941834" w:rsidRPr="00540106">
        <w:t xml:space="preserve"> </w:t>
      </w:r>
      <w:r w:rsidR="005B2A55" w:rsidRPr="00540106">
        <w:t>the potential to protect victims that are unlikely to approach the police and would enable specified organisations to take action on their behalf</w:t>
      </w:r>
      <w:r w:rsidR="00941834">
        <w:t>.</w:t>
      </w:r>
      <w:r w:rsidR="005B2A55" w:rsidRPr="00540106">
        <w:t xml:space="preserve"> </w:t>
      </w:r>
      <w:r w:rsidR="00824435">
        <w:t xml:space="preserve">This is particularly relevant in NI where some communities </w:t>
      </w:r>
      <w:r w:rsidR="00215A8E">
        <w:t>are less likely to report issues to</w:t>
      </w:r>
      <w:r w:rsidR="00904C81">
        <w:t xml:space="preserve"> the</w:t>
      </w:r>
      <w:r w:rsidR="00215A8E">
        <w:t xml:space="preserve"> Police Service NI.</w:t>
      </w:r>
    </w:p>
    <w:p w14:paraId="5704322B" w14:textId="77777777" w:rsidR="007C3F8E" w:rsidRPr="00540106" w:rsidRDefault="007C3F8E">
      <w:pPr>
        <w:pStyle w:val="ListParagraph"/>
      </w:pPr>
    </w:p>
    <w:p w14:paraId="5705856B" w14:textId="77777777" w:rsidR="00786E3A" w:rsidRPr="00540106" w:rsidRDefault="007C3F8E" w:rsidP="00562673">
      <w:pPr>
        <w:pStyle w:val="ListParagraph"/>
        <w:numPr>
          <w:ilvl w:val="1"/>
          <w:numId w:val="29"/>
        </w:numPr>
      </w:pPr>
      <w:r w:rsidRPr="00540106">
        <w:t xml:space="preserve">The </w:t>
      </w:r>
      <w:r w:rsidR="008F109F" w:rsidRPr="00540106">
        <w:t>Department</w:t>
      </w:r>
      <w:r w:rsidR="00786E3A" w:rsidRPr="00540106">
        <w:t xml:space="preserve"> provides that</w:t>
      </w:r>
      <w:r w:rsidR="008F109F" w:rsidRPr="00540106">
        <w:t xml:space="preserve"> third party applicants</w:t>
      </w:r>
      <w:r w:rsidR="00786E3A" w:rsidRPr="00540106">
        <w:t xml:space="preserve"> could be</w:t>
      </w:r>
      <w:r w:rsidR="008F109F" w:rsidRPr="00540106">
        <w:t xml:space="preserve"> family members and other third-party organisations. </w:t>
      </w:r>
      <w:r w:rsidR="00215A8E">
        <w:t xml:space="preserve">The </w:t>
      </w:r>
      <w:r w:rsidR="008F109F" w:rsidRPr="00540106">
        <w:t xml:space="preserve">Department does not indicate who </w:t>
      </w:r>
      <w:r w:rsidR="00786E3A" w:rsidRPr="00540106">
        <w:t xml:space="preserve">would qualify as a </w:t>
      </w:r>
      <w:r w:rsidR="008F109F" w:rsidRPr="00540106">
        <w:t>third-party organisation</w:t>
      </w:r>
      <w:r w:rsidR="00904C81">
        <w:t xml:space="preserve">. </w:t>
      </w:r>
      <w:r w:rsidR="00215A8E">
        <w:t xml:space="preserve">The NIHRC is concerned that </w:t>
      </w:r>
      <w:r w:rsidR="00904C81">
        <w:t>some individuals or third party organisations</w:t>
      </w:r>
      <w:r w:rsidR="00215A8E">
        <w:t xml:space="preserve"> </w:t>
      </w:r>
      <w:r w:rsidR="00904C81">
        <w:t>may</w:t>
      </w:r>
      <w:r w:rsidR="00215A8E">
        <w:t xml:space="preserve"> not </w:t>
      </w:r>
      <w:r w:rsidR="00904C81">
        <w:t xml:space="preserve">be </w:t>
      </w:r>
      <w:r w:rsidR="00215A8E">
        <w:t xml:space="preserve">appropriately trained in working with domestic abuse victims and would require specialised training to fulfil this role. </w:t>
      </w:r>
    </w:p>
    <w:p w14:paraId="09DC45FF" w14:textId="77777777" w:rsidR="00786E3A" w:rsidRPr="00540106" w:rsidRDefault="00786E3A">
      <w:pPr>
        <w:ind w:left="0" w:firstLine="0"/>
        <w:rPr>
          <w:rFonts w:ascii="Verdana" w:hAnsi="Verdana"/>
        </w:rPr>
      </w:pPr>
    </w:p>
    <w:p w14:paraId="6275FF3B" w14:textId="70B67B3F" w:rsidR="00215A8E" w:rsidRPr="00540106" w:rsidRDefault="00676C08" w:rsidP="00562673">
      <w:pPr>
        <w:pStyle w:val="ListParagraph"/>
        <w:numPr>
          <w:ilvl w:val="1"/>
          <w:numId w:val="29"/>
        </w:numPr>
      </w:pPr>
      <w:r w:rsidRPr="00540106">
        <w:t>The NIHRC understands that a</w:t>
      </w:r>
      <w:r w:rsidR="00786E3A" w:rsidRPr="00540106">
        <w:t>n application for a D</w:t>
      </w:r>
      <w:r w:rsidRPr="00540106">
        <w:t xml:space="preserve">omestic Abuse Protection Order by a third party </w:t>
      </w:r>
      <w:r w:rsidR="00786E3A" w:rsidRPr="00540106">
        <w:t xml:space="preserve">would not </w:t>
      </w:r>
      <w:r w:rsidRPr="00540106">
        <w:t xml:space="preserve">require the victim’s consent. </w:t>
      </w:r>
      <w:r w:rsidR="00786E3A" w:rsidRPr="00540106">
        <w:t xml:space="preserve"> </w:t>
      </w:r>
      <w:r w:rsidR="00384048" w:rsidRPr="00540106">
        <w:t xml:space="preserve">The NIHRC is concerned that </w:t>
      </w:r>
      <w:r w:rsidRPr="00540106">
        <w:t xml:space="preserve">considering </w:t>
      </w:r>
      <w:r w:rsidR="007C3F8E" w:rsidRPr="00540106">
        <w:t>the dynamics of domestic abuse</w:t>
      </w:r>
      <w:r w:rsidR="00E96779" w:rsidRPr="00540106">
        <w:t>,</w:t>
      </w:r>
      <w:r w:rsidR="007C3F8E" w:rsidRPr="00540106">
        <w:t xml:space="preserve"> </w:t>
      </w:r>
      <w:r w:rsidRPr="00540106">
        <w:t xml:space="preserve">if the Order is granted without the victim’s consent, </w:t>
      </w:r>
      <w:r w:rsidR="007C3F8E" w:rsidRPr="00540106">
        <w:t xml:space="preserve">the </w:t>
      </w:r>
      <w:r w:rsidR="00E96779" w:rsidRPr="00540106">
        <w:t>Order could</w:t>
      </w:r>
      <w:r w:rsidRPr="00540106">
        <w:t xml:space="preserve"> be breached by the victim </w:t>
      </w:r>
      <w:r w:rsidR="007C3F8E" w:rsidRPr="00540106">
        <w:t xml:space="preserve">themselves. The NIHRC is concerned </w:t>
      </w:r>
      <w:r w:rsidR="008F109F" w:rsidRPr="00540106">
        <w:t xml:space="preserve">that this may be used against the victim in later court proceedings. </w:t>
      </w:r>
      <w:r w:rsidR="00215A8E">
        <w:t>The NIHRC has learnt through engagement with civil society organisations supporting victims of domestic abuse that the issue of consent and t</w:t>
      </w:r>
      <w:r w:rsidR="000F2502">
        <w:t xml:space="preserve">hird party </w:t>
      </w:r>
      <w:r w:rsidR="000F2502">
        <w:lastRenderedPageBreak/>
        <w:t>application</w:t>
      </w:r>
      <w:r w:rsidR="00215A8E">
        <w:t xml:space="preserve"> is </w:t>
      </w:r>
      <w:r w:rsidR="000F2502">
        <w:t xml:space="preserve">of </w:t>
      </w:r>
      <w:r w:rsidR="00215A8E">
        <w:t>particular concern. The NIHRC would suggest that the Department considers further engagement and consultation directly with victims and organisations supporting victims in regards to this issue</w:t>
      </w:r>
      <w:r w:rsidR="003B24C3">
        <w:t xml:space="preserve"> as it is </w:t>
      </w:r>
      <w:r w:rsidR="003B24C3" w:rsidRPr="002A4451">
        <w:t>essential for the new measures to victim centred</w:t>
      </w:r>
      <w:r w:rsidR="00215A8E" w:rsidRPr="002A4451">
        <w:t>.</w:t>
      </w:r>
      <w:r w:rsidR="00215A8E">
        <w:t xml:space="preserve"> </w:t>
      </w:r>
    </w:p>
    <w:p w14:paraId="63CD7218" w14:textId="77777777" w:rsidR="007C7979" w:rsidRPr="00540106" w:rsidRDefault="007C7979">
      <w:pPr>
        <w:rPr>
          <w:rFonts w:ascii="Verdana" w:hAnsi="Verdana"/>
        </w:rPr>
      </w:pPr>
    </w:p>
    <w:p w14:paraId="5B9EDFA1" w14:textId="77777777" w:rsidR="00CB104F" w:rsidRPr="00540106" w:rsidRDefault="00786E3A" w:rsidP="00562673">
      <w:pPr>
        <w:pStyle w:val="ListParagraph"/>
        <w:numPr>
          <w:ilvl w:val="1"/>
          <w:numId w:val="29"/>
        </w:numPr>
      </w:pPr>
      <w:r w:rsidRPr="00540106">
        <w:rPr>
          <w:rFonts w:cs="Arial"/>
        </w:rPr>
        <w:t xml:space="preserve">Furthermore, if the Department is considering </w:t>
      </w:r>
      <w:r w:rsidR="00607633" w:rsidRPr="00540106">
        <w:rPr>
          <w:rFonts w:cs="Arial"/>
        </w:rPr>
        <w:t xml:space="preserve">that </w:t>
      </w:r>
      <w:r w:rsidRPr="00540106">
        <w:rPr>
          <w:rFonts w:cs="Arial"/>
        </w:rPr>
        <w:t>third party organisations</w:t>
      </w:r>
      <w:r w:rsidR="00676C08" w:rsidRPr="00540106">
        <w:rPr>
          <w:rFonts w:cs="Arial"/>
        </w:rPr>
        <w:t xml:space="preserve"> </w:t>
      </w:r>
      <w:r w:rsidRPr="00540106">
        <w:rPr>
          <w:rFonts w:cs="Arial"/>
        </w:rPr>
        <w:t>can apply on behalf of a victim</w:t>
      </w:r>
      <w:r w:rsidR="007F129C" w:rsidRPr="00540106">
        <w:rPr>
          <w:rFonts w:cs="Arial"/>
        </w:rPr>
        <w:t>,</w:t>
      </w:r>
      <w:r w:rsidR="007C7979" w:rsidRPr="00540106">
        <w:rPr>
          <w:rFonts w:cs="Arial"/>
        </w:rPr>
        <w:t xml:space="preserve"> </w:t>
      </w:r>
      <w:r w:rsidR="007C3F8E" w:rsidRPr="00540106">
        <w:rPr>
          <w:rFonts w:cs="Arial"/>
        </w:rPr>
        <w:t>this wo</w:t>
      </w:r>
      <w:r w:rsidRPr="00540106">
        <w:rPr>
          <w:rFonts w:cs="Arial"/>
        </w:rPr>
        <w:t xml:space="preserve">uld </w:t>
      </w:r>
      <w:r w:rsidR="007C3F8E" w:rsidRPr="00540106">
        <w:rPr>
          <w:rFonts w:cs="Arial"/>
        </w:rPr>
        <w:t>provide</w:t>
      </w:r>
      <w:r w:rsidRPr="00540106">
        <w:rPr>
          <w:rFonts w:cs="Arial"/>
        </w:rPr>
        <w:t xml:space="preserve"> </w:t>
      </w:r>
      <w:r w:rsidR="00E96779" w:rsidRPr="00540106">
        <w:rPr>
          <w:rFonts w:cs="Arial"/>
        </w:rPr>
        <w:t xml:space="preserve">those </w:t>
      </w:r>
      <w:r w:rsidRPr="00540106">
        <w:rPr>
          <w:rFonts w:cs="Arial"/>
        </w:rPr>
        <w:t xml:space="preserve">organisations </w:t>
      </w:r>
      <w:r w:rsidR="007C3F8E" w:rsidRPr="00540106">
        <w:rPr>
          <w:rFonts w:cs="Arial"/>
        </w:rPr>
        <w:t>with a statutory power</w:t>
      </w:r>
      <w:r w:rsidRPr="00540106">
        <w:rPr>
          <w:rFonts w:cs="Arial"/>
        </w:rPr>
        <w:t xml:space="preserve"> in making applications.</w:t>
      </w:r>
      <w:r w:rsidR="00E96779" w:rsidRPr="00540106">
        <w:rPr>
          <w:rFonts w:cs="Arial"/>
        </w:rPr>
        <w:t xml:space="preserve"> The NIHRC is concerned that i</w:t>
      </w:r>
      <w:r w:rsidRPr="00540106">
        <w:rPr>
          <w:rFonts w:cs="Arial"/>
        </w:rPr>
        <w:t>f organisations are to fulfil</w:t>
      </w:r>
      <w:r w:rsidR="007F129C" w:rsidRPr="00540106">
        <w:rPr>
          <w:rFonts w:cs="Arial"/>
        </w:rPr>
        <w:t xml:space="preserve"> a</w:t>
      </w:r>
      <w:r w:rsidRPr="00540106">
        <w:rPr>
          <w:rFonts w:cs="Arial"/>
        </w:rPr>
        <w:t xml:space="preserve"> statutory role </w:t>
      </w:r>
      <w:r w:rsidR="007F129C" w:rsidRPr="00540106">
        <w:rPr>
          <w:rFonts w:cs="Arial"/>
        </w:rPr>
        <w:t xml:space="preserve">in applying for Protection Orders, </w:t>
      </w:r>
      <w:r w:rsidR="00676C08" w:rsidRPr="00540106">
        <w:rPr>
          <w:rFonts w:cs="Arial"/>
        </w:rPr>
        <w:t xml:space="preserve">they </w:t>
      </w:r>
      <w:r w:rsidR="007C3F8E" w:rsidRPr="00540106">
        <w:rPr>
          <w:rFonts w:cs="Arial"/>
        </w:rPr>
        <w:t xml:space="preserve">should be </w:t>
      </w:r>
      <w:r w:rsidR="007F129C" w:rsidRPr="00540106">
        <w:rPr>
          <w:rFonts w:cs="Arial"/>
        </w:rPr>
        <w:t>adequately funded to do so</w:t>
      </w:r>
      <w:r w:rsidR="007C3F8E" w:rsidRPr="00540106">
        <w:rPr>
          <w:rFonts w:cs="Arial"/>
        </w:rPr>
        <w:t xml:space="preserve">. </w:t>
      </w:r>
    </w:p>
    <w:p w14:paraId="78F60651" w14:textId="77777777" w:rsidR="00607633" w:rsidRPr="00540106" w:rsidRDefault="00607633">
      <w:pPr>
        <w:pStyle w:val="ListParagraph"/>
      </w:pPr>
    </w:p>
    <w:p w14:paraId="28EC2651" w14:textId="4917F62F" w:rsidR="0076746C" w:rsidRPr="003B24C3" w:rsidRDefault="00607633" w:rsidP="003B24C3">
      <w:pPr>
        <w:pStyle w:val="ListParagraph"/>
        <w:numPr>
          <w:ilvl w:val="1"/>
          <w:numId w:val="29"/>
        </w:numPr>
        <w:rPr>
          <w:b/>
        </w:rPr>
      </w:pPr>
      <w:r w:rsidRPr="003B24C3">
        <w:rPr>
          <w:b/>
        </w:rPr>
        <w:t xml:space="preserve">The NIHRC recommends the Department provide </w:t>
      </w:r>
      <w:r w:rsidR="00EB4D08" w:rsidRPr="003B24C3">
        <w:rPr>
          <w:b/>
        </w:rPr>
        <w:t xml:space="preserve">further clarification </w:t>
      </w:r>
      <w:r w:rsidR="0076746C" w:rsidRPr="003B24C3">
        <w:rPr>
          <w:b/>
        </w:rPr>
        <w:t xml:space="preserve">on </w:t>
      </w:r>
      <w:r w:rsidR="00EB4D08" w:rsidRPr="003B24C3">
        <w:rPr>
          <w:b/>
        </w:rPr>
        <w:t>which individuals and organisations should be identified as potential relevant third parties.</w:t>
      </w:r>
      <w:r w:rsidR="0076746C" w:rsidRPr="003B24C3">
        <w:rPr>
          <w:b/>
        </w:rPr>
        <w:t xml:space="preserve"> This should include</w:t>
      </w:r>
      <w:r w:rsidR="00583DCB" w:rsidRPr="003B24C3">
        <w:rPr>
          <w:b/>
        </w:rPr>
        <w:t xml:space="preserve"> e</w:t>
      </w:r>
      <w:r w:rsidR="0076746C" w:rsidRPr="003B24C3">
        <w:rPr>
          <w:b/>
        </w:rPr>
        <w:t xml:space="preserve">ngaging with organizations supporting victims and victims on implementation </w:t>
      </w:r>
      <w:r w:rsidR="0083180E" w:rsidRPr="003B24C3">
        <w:rPr>
          <w:b/>
        </w:rPr>
        <w:t>issues.</w:t>
      </w:r>
      <w:r w:rsidR="003B24C3" w:rsidRPr="003B24C3">
        <w:rPr>
          <w:b/>
        </w:rPr>
        <w:t xml:space="preserve"> </w:t>
      </w:r>
      <w:r w:rsidR="003B24C3" w:rsidRPr="002A4451">
        <w:rPr>
          <w:b/>
        </w:rPr>
        <w:t>Any third party organisation fulfilling this role should do so in a way that is compliant with human rights.</w:t>
      </w:r>
    </w:p>
    <w:p w14:paraId="0686B457" w14:textId="77777777" w:rsidR="007F129C" w:rsidRPr="00540106" w:rsidRDefault="007F129C">
      <w:pPr>
        <w:pStyle w:val="ListParagraph"/>
        <w:rPr>
          <w:b/>
        </w:rPr>
      </w:pPr>
    </w:p>
    <w:p w14:paraId="78C128F2" w14:textId="3F661106" w:rsidR="007F129C" w:rsidRPr="00540106" w:rsidRDefault="007F129C" w:rsidP="00562673">
      <w:pPr>
        <w:pStyle w:val="ListParagraph"/>
        <w:numPr>
          <w:ilvl w:val="1"/>
          <w:numId w:val="29"/>
        </w:numPr>
        <w:rPr>
          <w:b/>
        </w:rPr>
      </w:pPr>
      <w:r w:rsidRPr="00540106">
        <w:rPr>
          <w:b/>
        </w:rPr>
        <w:t>The NIHRC recommends the Department consider potential consequences of third party application</w:t>
      </w:r>
      <w:r w:rsidR="000F2502">
        <w:rPr>
          <w:b/>
        </w:rPr>
        <w:t xml:space="preserve"> negating the victim’s consent</w:t>
      </w:r>
      <w:r w:rsidR="0083180E">
        <w:rPr>
          <w:b/>
        </w:rPr>
        <w:t xml:space="preserve"> recognising</w:t>
      </w:r>
      <w:r w:rsidR="000F2502">
        <w:rPr>
          <w:b/>
        </w:rPr>
        <w:t xml:space="preserve"> </w:t>
      </w:r>
      <w:r w:rsidRPr="00540106">
        <w:rPr>
          <w:b/>
        </w:rPr>
        <w:t xml:space="preserve">the dynamics of domestic abuse and ensure </w:t>
      </w:r>
      <w:r w:rsidR="0074780E" w:rsidRPr="00540106">
        <w:rPr>
          <w:b/>
        </w:rPr>
        <w:t xml:space="preserve">it does not hinder </w:t>
      </w:r>
      <w:r w:rsidRPr="00540106">
        <w:rPr>
          <w:b/>
        </w:rPr>
        <w:t xml:space="preserve">the victim in subsequent legal proceedings. </w:t>
      </w:r>
    </w:p>
    <w:p w14:paraId="254CC6B9" w14:textId="77777777" w:rsidR="00607633" w:rsidRPr="00540106" w:rsidRDefault="00607633">
      <w:pPr>
        <w:pStyle w:val="ListParagraph"/>
      </w:pPr>
    </w:p>
    <w:p w14:paraId="0D7075F6" w14:textId="77777777" w:rsidR="00607633" w:rsidRPr="00540106" w:rsidRDefault="00EB4D08" w:rsidP="00562673">
      <w:pPr>
        <w:pStyle w:val="ListParagraph"/>
        <w:numPr>
          <w:ilvl w:val="1"/>
          <w:numId w:val="29"/>
        </w:numPr>
        <w:rPr>
          <w:b/>
        </w:rPr>
      </w:pPr>
      <w:r w:rsidRPr="00540106">
        <w:rPr>
          <w:b/>
        </w:rPr>
        <w:t>T</w:t>
      </w:r>
      <w:r w:rsidR="00E96779" w:rsidRPr="00540106">
        <w:rPr>
          <w:b/>
        </w:rPr>
        <w:t xml:space="preserve">he NIHRC recommends that if the </w:t>
      </w:r>
      <w:r w:rsidRPr="00540106">
        <w:rPr>
          <w:b/>
        </w:rPr>
        <w:t xml:space="preserve">regulations </w:t>
      </w:r>
      <w:r w:rsidR="00E96779" w:rsidRPr="00540106">
        <w:rPr>
          <w:b/>
        </w:rPr>
        <w:t>are to specify</w:t>
      </w:r>
      <w:r w:rsidR="007F129C" w:rsidRPr="00540106">
        <w:rPr>
          <w:b/>
        </w:rPr>
        <w:t xml:space="preserve"> the role of</w:t>
      </w:r>
      <w:r w:rsidR="00E96779" w:rsidRPr="00540106">
        <w:rPr>
          <w:b/>
        </w:rPr>
        <w:t xml:space="preserve"> relevant third party organisations</w:t>
      </w:r>
      <w:r w:rsidR="007F129C" w:rsidRPr="00540106">
        <w:rPr>
          <w:b/>
        </w:rPr>
        <w:t xml:space="preserve"> in applying for </w:t>
      </w:r>
      <w:r w:rsidR="00607633" w:rsidRPr="00540106">
        <w:rPr>
          <w:b/>
        </w:rPr>
        <w:t>D</w:t>
      </w:r>
      <w:r w:rsidR="00E96779" w:rsidRPr="00540106">
        <w:rPr>
          <w:b/>
        </w:rPr>
        <w:t>omestic Abuse Protection Order</w:t>
      </w:r>
      <w:r w:rsidR="007F129C" w:rsidRPr="00540106">
        <w:rPr>
          <w:b/>
        </w:rPr>
        <w:t>s</w:t>
      </w:r>
      <w:r w:rsidR="00E96779" w:rsidRPr="00540106">
        <w:rPr>
          <w:b/>
        </w:rPr>
        <w:t>, that these organisations are</w:t>
      </w:r>
      <w:r w:rsidR="00AA28AF">
        <w:rPr>
          <w:b/>
        </w:rPr>
        <w:t xml:space="preserve"> provided with </w:t>
      </w:r>
      <w:r w:rsidR="00215A8E">
        <w:rPr>
          <w:b/>
        </w:rPr>
        <w:t xml:space="preserve">specialised training </w:t>
      </w:r>
      <w:r w:rsidR="00941834">
        <w:rPr>
          <w:b/>
        </w:rPr>
        <w:t>and adequate</w:t>
      </w:r>
      <w:r w:rsidR="00AA28AF">
        <w:rPr>
          <w:b/>
        </w:rPr>
        <w:t xml:space="preserve"> funding to </w:t>
      </w:r>
      <w:r w:rsidR="00E96779" w:rsidRPr="00540106">
        <w:rPr>
          <w:b/>
        </w:rPr>
        <w:t>fulfil</w:t>
      </w:r>
      <w:r w:rsidR="00AA28AF">
        <w:rPr>
          <w:b/>
        </w:rPr>
        <w:t xml:space="preserve"> this</w:t>
      </w:r>
      <w:r w:rsidR="0074780E" w:rsidRPr="00540106">
        <w:rPr>
          <w:b/>
        </w:rPr>
        <w:t xml:space="preserve"> role.</w:t>
      </w:r>
    </w:p>
    <w:p w14:paraId="2E6A0E2C" w14:textId="77777777" w:rsidR="00786E3A" w:rsidRPr="00540106" w:rsidRDefault="00786E3A">
      <w:pPr>
        <w:pStyle w:val="ListParagraph"/>
        <w:rPr>
          <w:b/>
        </w:rPr>
      </w:pPr>
    </w:p>
    <w:p w14:paraId="4F9CFAE2" w14:textId="1ADE2851" w:rsidR="00456DBD" w:rsidRDefault="00456DBD">
      <w:pPr>
        <w:pStyle w:val="Heading2"/>
        <w:spacing w:before="24"/>
      </w:pPr>
      <w:bookmarkStart w:id="47" w:name="_Toc63782249"/>
      <w:r w:rsidRPr="00540106">
        <w:t>Domestic Abuse Protection Notices</w:t>
      </w:r>
      <w:bookmarkEnd w:id="47"/>
      <w:r w:rsidRPr="00540106">
        <w:t xml:space="preserve"> </w:t>
      </w:r>
    </w:p>
    <w:p w14:paraId="57BD5DDA" w14:textId="77777777" w:rsidR="005D20DD" w:rsidRPr="005D20DD" w:rsidRDefault="005D20DD" w:rsidP="00363404"/>
    <w:p w14:paraId="57E6628F" w14:textId="4A2A5EBB" w:rsidR="00783B86" w:rsidRPr="00562673" w:rsidRDefault="0074780E" w:rsidP="00562673">
      <w:pPr>
        <w:pStyle w:val="ListParagraph"/>
        <w:numPr>
          <w:ilvl w:val="1"/>
          <w:numId w:val="29"/>
        </w:numPr>
      </w:pPr>
      <w:r w:rsidRPr="00540106">
        <w:t>Domestic Abuse Protection Notices</w:t>
      </w:r>
      <w:r w:rsidR="00941834">
        <w:t>,</w:t>
      </w:r>
      <w:r w:rsidRPr="00540106">
        <w:t xml:space="preserve"> </w:t>
      </w:r>
      <w:r w:rsidR="0083180E">
        <w:t xml:space="preserve">are to </w:t>
      </w:r>
      <w:r w:rsidRPr="00540106">
        <w:t xml:space="preserve">be served on the alleged </w:t>
      </w:r>
      <w:r w:rsidR="0046493E">
        <w:t>perpetrator by a police officer at the time of receiving the report</w:t>
      </w:r>
      <w:r w:rsidRPr="00540106">
        <w:t xml:space="preserve">. </w:t>
      </w:r>
      <w:r w:rsidR="00092B27" w:rsidRPr="00540106">
        <w:t xml:space="preserve">It is proposed that the Notice </w:t>
      </w:r>
      <w:r w:rsidR="004147D2" w:rsidRPr="00540106">
        <w:t>c</w:t>
      </w:r>
      <w:r w:rsidR="00092B27" w:rsidRPr="00540106">
        <w:t>ould be served on the perpetrator for up to seven days</w:t>
      </w:r>
      <w:r w:rsidR="00076D06">
        <w:t>,</w:t>
      </w:r>
      <w:r w:rsidR="00092B27" w:rsidRPr="00540106">
        <w:t xml:space="preserve"> as i</w:t>
      </w:r>
      <w:r w:rsidRPr="00540106">
        <w:t>t is considered that a minimum of four days is</w:t>
      </w:r>
      <w:r w:rsidR="00B54ED9">
        <w:t xml:space="preserve"> </w:t>
      </w:r>
      <w:r w:rsidRPr="00540106">
        <w:t xml:space="preserve">required to </w:t>
      </w:r>
      <w:r w:rsidR="00076D06">
        <w:t>make the</w:t>
      </w:r>
      <w:r w:rsidRPr="00540106">
        <w:t xml:space="preserve"> </w:t>
      </w:r>
      <w:r w:rsidR="00092B27" w:rsidRPr="00540106">
        <w:t xml:space="preserve">appropriate application </w:t>
      </w:r>
      <w:r w:rsidRPr="00540106">
        <w:t>and</w:t>
      </w:r>
      <w:r w:rsidR="00B54ED9">
        <w:t xml:space="preserve"> </w:t>
      </w:r>
      <w:r w:rsidR="00076D06">
        <w:t>for</w:t>
      </w:r>
      <w:r w:rsidRPr="00540106">
        <w:t xml:space="preserve"> </w:t>
      </w:r>
      <w:r w:rsidR="00B54ED9">
        <w:t>c</w:t>
      </w:r>
      <w:r w:rsidRPr="00540106">
        <w:t>onsider</w:t>
      </w:r>
      <w:r w:rsidR="00076D06">
        <w:t>ation</w:t>
      </w:r>
      <w:r w:rsidRPr="00540106">
        <w:t xml:space="preserve"> by the court. </w:t>
      </w:r>
      <w:r w:rsidR="00092B27" w:rsidRPr="00540106">
        <w:t>The Department acknowledges that having a Notice</w:t>
      </w:r>
      <w:r w:rsidR="00092B27" w:rsidRPr="00540106">
        <w:rPr>
          <w:rFonts w:cs="Arial"/>
          <w:color w:val="232120"/>
        </w:rPr>
        <w:t xml:space="preserve"> in place f</w:t>
      </w:r>
      <w:r w:rsidR="0046493E">
        <w:rPr>
          <w:rFonts w:cs="Arial"/>
          <w:color w:val="232120"/>
        </w:rPr>
        <w:t xml:space="preserve">or </w:t>
      </w:r>
      <w:r w:rsidR="00076D06">
        <w:rPr>
          <w:rFonts w:cs="Arial"/>
          <w:color w:val="232120"/>
        </w:rPr>
        <w:t xml:space="preserve">a period of between </w:t>
      </w:r>
      <w:r w:rsidR="0046493E">
        <w:rPr>
          <w:rFonts w:cs="Arial"/>
          <w:color w:val="232120"/>
        </w:rPr>
        <w:t xml:space="preserve">four to seven days without </w:t>
      </w:r>
      <w:r w:rsidR="00076D06">
        <w:rPr>
          <w:rFonts w:cs="Arial"/>
          <w:color w:val="232120"/>
        </w:rPr>
        <w:t>judicial oversight</w:t>
      </w:r>
      <w:r w:rsidR="0046493E">
        <w:rPr>
          <w:rFonts w:cs="Arial"/>
          <w:color w:val="232120"/>
        </w:rPr>
        <w:t xml:space="preserve"> raises concerns </w:t>
      </w:r>
      <w:r w:rsidR="00092B27" w:rsidRPr="00540106">
        <w:rPr>
          <w:rFonts w:cs="Arial"/>
          <w:color w:val="232120"/>
        </w:rPr>
        <w:t>on the rights of the alleged perpetrator</w:t>
      </w:r>
      <w:r w:rsidR="00481F4A">
        <w:rPr>
          <w:rFonts w:cs="Arial"/>
          <w:color w:val="232120"/>
        </w:rPr>
        <w:t xml:space="preserve"> to a private and family life</w:t>
      </w:r>
      <w:r w:rsidR="00092B27" w:rsidRPr="00540106">
        <w:rPr>
          <w:rFonts w:cs="Arial"/>
          <w:color w:val="232120"/>
        </w:rPr>
        <w:t>.</w:t>
      </w:r>
    </w:p>
    <w:p w14:paraId="3C5FF712" w14:textId="77777777" w:rsidR="00783B86" w:rsidRDefault="00783B86" w:rsidP="00562673">
      <w:pPr>
        <w:pStyle w:val="ListParagraph"/>
        <w:rPr>
          <w:rFonts w:cs="Arial"/>
          <w:color w:val="232120"/>
        </w:rPr>
      </w:pPr>
    </w:p>
    <w:p w14:paraId="04AD7B11" w14:textId="5B8E69BE" w:rsidR="00E85938" w:rsidRDefault="00481F4A" w:rsidP="00363404">
      <w:pPr>
        <w:pStyle w:val="ListParagraph"/>
        <w:numPr>
          <w:ilvl w:val="1"/>
          <w:numId w:val="29"/>
        </w:numPr>
      </w:pPr>
      <w:r w:rsidRPr="00562673">
        <w:rPr>
          <w:rFonts w:cs="Arial"/>
          <w:color w:val="232120"/>
        </w:rPr>
        <w:lastRenderedPageBreak/>
        <w:t xml:space="preserve">This </w:t>
      </w:r>
      <w:r w:rsidR="004147D2" w:rsidRPr="00562673">
        <w:rPr>
          <w:rFonts w:cs="Arial"/>
          <w:color w:val="232120"/>
        </w:rPr>
        <w:t xml:space="preserve">engages </w:t>
      </w:r>
      <w:r w:rsidR="007E4EFE" w:rsidRPr="00562673">
        <w:rPr>
          <w:rFonts w:cs="Arial"/>
          <w:color w:val="232120"/>
        </w:rPr>
        <w:t xml:space="preserve">Article 8 </w:t>
      </w:r>
      <w:r w:rsidR="004147D2" w:rsidRPr="00562673">
        <w:rPr>
          <w:rFonts w:cs="Arial"/>
          <w:color w:val="232120"/>
        </w:rPr>
        <w:t>ECHR</w:t>
      </w:r>
      <w:r w:rsidR="00562673" w:rsidRPr="00562673">
        <w:rPr>
          <w:rFonts w:cs="Arial"/>
          <w:color w:val="232120"/>
        </w:rPr>
        <w:t xml:space="preserve">, </w:t>
      </w:r>
      <w:r w:rsidR="0046493E" w:rsidRPr="00562673">
        <w:rPr>
          <w:rFonts w:cs="Arial"/>
          <w:color w:val="232120"/>
        </w:rPr>
        <w:t>the right to a private and family life and non- interference by a public authority with the exercise of this right</w:t>
      </w:r>
      <w:r w:rsidR="00E85938">
        <w:rPr>
          <w:rFonts w:cs="Arial"/>
          <w:color w:val="232120"/>
        </w:rPr>
        <w:t xml:space="preserve">. </w:t>
      </w:r>
      <w:r w:rsidR="00384048" w:rsidRPr="00562673">
        <w:t>Determining whether an interference is justified is guided by whether it is “proportionate to the legitimate aim pursued”.</w:t>
      </w:r>
      <w:r w:rsidR="00384048" w:rsidRPr="00562673">
        <w:rPr>
          <w:vertAlign w:val="superscript"/>
        </w:rPr>
        <w:footnoteReference w:id="36"/>
      </w:r>
      <w:r w:rsidR="005B27AC" w:rsidRPr="00562673">
        <w:t xml:space="preserve"> </w:t>
      </w:r>
      <w:r w:rsidR="00E85938">
        <w:t xml:space="preserve">However, it should remain a measure of last resort and interference should only be pursued if there </w:t>
      </w:r>
      <w:r w:rsidR="00E85938" w:rsidRPr="00E85938">
        <w:t xml:space="preserve">is a good reason to do so.  </w:t>
      </w:r>
    </w:p>
    <w:p w14:paraId="40017034" w14:textId="77777777" w:rsidR="00E85938" w:rsidRDefault="00E85938" w:rsidP="00363404">
      <w:pPr>
        <w:pStyle w:val="ListParagraph"/>
      </w:pPr>
    </w:p>
    <w:p w14:paraId="5901CA93" w14:textId="2E8711CB" w:rsidR="00E85938" w:rsidRDefault="005B27AC" w:rsidP="00363404">
      <w:pPr>
        <w:pStyle w:val="ListParagraph"/>
        <w:numPr>
          <w:ilvl w:val="1"/>
          <w:numId w:val="29"/>
        </w:numPr>
      </w:pPr>
      <w:r w:rsidRPr="00562673">
        <w:t xml:space="preserve">Under Article 8 ECHR, States </w:t>
      </w:r>
      <w:r w:rsidR="00B27295" w:rsidRPr="00562673">
        <w:t xml:space="preserve">also </w:t>
      </w:r>
      <w:r w:rsidRPr="00562673">
        <w:t>have a duty to protect the physical and moral integrity of an individual from other persons, which requires affording protection against acts of violence by private individuals.</w:t>
      </w:r>
      <w:r w:rsidRPr="00562673">
        <w:rPr>
          <w:rStyle w:val="FootnoteReference"/>
        </w:rPr>
        <w:footnoteReference w:id="37"/>
      </w:r>
      <w:r w:rsidR="00E85938">
        <w:t xml:space="preserve"> </w:t>
      </w:r>
      <w:r w:rsidR="00A733CB">
        <w:t xml:space="preserve">In order to </w:t>
      </w:r>
      <w:r w:rsidR="00E14AD0">
        <w:t>determine the impact of interference with Article 8 ECHR</w:t>
      </w:r>
      <w:r w:rsidR="00E85938">
        <w:t xml:space="preserve"> and balance the rights of the perpetrator against the rights of the victim</w:t>
      </w:r>
      <w:r w:rsidR="00E14AD0">
        <w:t xml:space="preserve">, the Department should conduct </w:t>
      </w:r>
      <w:r w:rsidR="00562673" w:rsidRPr="00562673">
        <w:t>a human rights impact assessment</w:t>
      </w:r>
      <w:r w:rsidR="00E14AD0">
        <w:t xml:space="preserve">. </w:t>
      </w:r>
    </w:p>
    <w:p w14:paraId="64BC487F" w14:textId="77777777" w:rsidR="00E85938" w:rsidRDefault="00E85938" w:rsidP="00363404">
      <w:pPr>
        <w:pStyle w:val="ListParagraph"/>
      </w:pPr>
    </w:p>
    <w:p w14:paraId="0D599DAA" w14:textId="77675460" w:rsidR="005D20DD" w:rsidRPr="00363404" w:rsidRDefault="005D20DD" w:rsidP="00363404">
      <w:pPr>
        <w:pStyle w:val="ListParagraph"/>
        <w:numPr>
          <w:ilvl w:val="1"/>
          <w:numId w:val="29"/>
        </w:numPr>
      </w:pPr>
      <w:r w:rsidRPr="00B06A45">
        <w:rPr>
          <w:rFonts w:eastAsia="Times New Roman"/>
        </w:rPr>
        <w:t>The Human Right</w:t>
      </w:r>
      <w:r w:rsidRPr="00363404">
        <w:rPr>
          <w:rFonts w:eastAsia="Times New Roman"/>
        </w:rPr>
        <w:t xml:space="preserve">s Act 1998, section 6, requires that public authorities do not act in a way that is incompatible with the ECHR. The Human Rights Act 1998, section 3, further requires that “so far as it is possible to do so, primary legislation and subordinate legislation must be read and given effect in a way which is compatible with [ECHR] rights”. To ensure these two requirements are adhered to it is important that a human rights impact assessment is conducted regarding any laws, strategies, policies and practices. Such an assessment provides policy makers with a focused approach to ensure human rights issues are fully considered and addressed. The purpose of the assessment is to help identify the potential rights engaged and if there are particular aspects that need to be considered, for example, if it is a right that should not be interfered with or if it is a right that can be limited, can any possible limitation be justified. </w:t>
      </w:r>
    </w:p>
    <w:p w14:paraId="3755EE59" w14:textId="77777777" w:rsidR="00E14AD0" w:rsidRDefault="00E14AD0" w:rsidP="00363404">
      <w:pPr>
        <w:pStyle w:val="ListParagraph"/>
        <w:ind w:firstLine="0"/>
        <w:rPr>
          <w:rFonts w:eastAsia="Times New Roman"/>
        </w:rPr>
      </w:pPr>
    </w:p>
    <w:p w14:paraId="578F51DF" w14:textId="2C9D40C3" w:rsidR="00E14AD0" w:rsidRPr="00363404" w:rsidRDefault="00E14AD0" w:rsidP="00A733CB">
      <w:pPr>
        <w:pStyle w:val="ListParagraph"/>
        <w:numPr>
          <w:ilvl w:val="1"/>
          <w:numId w:val="29"/>
        </w:numPr>
        <w:rPr>
          <w:b/>
        </w:rPr>
      </w:pPr>
      <w:r w:rsidRPr="00363404">
        <w:rPr>
          <w:b/>
        </w:rPr>
        <w:t>The NIHRC recommends th</w:t>
      </w:r>
      <w:r w:rsidR="00E85938" w:rsidRPr="00363404">
        <w:rPr>
          <w:b/>
        </w:rPr>
        <w:t xml:space="preserve">at any </w:t>
      </w:r>
      <w:r w:rsidR="00E85938">
        <w:rPr>
          <w:b/>
        </w:rPr>
        <w:t>interference</w:t>
      </w:r>
      <w:r w:rsidR="00E85938" w:rsidRPr="00363404">
        <w:rPr>
          <w:b/>
        </w:rPr>
        <w:t xml:space="preserve"> </w:t>
      </w:r>
      <w:r w:rsidR="00E85938">
        <w:rPr>
          <w:b/>
        </w:rPr>
        <w:t xml:space="preserve">with Article 8 ECHR is a measure of last resort and must be in accordance with the </w:t>
      </w:r>
      <w:r w:rsidR="00B06A45">
        <w:rPr>
          <w:b/>
        </w:rPr>
        <w:t xml:space="preserve">law. </w:t>
      </w:r>
      <w:r w:rsidR="00E85938">
        <w:rPr>
          <w:b/>
        </w:rPr>
        <w:t xml:space="preserve">The NIHRC recommends the Department produce </w:t>
      </w:r>
      <w:r w:rsidR="00A733CB" w:rsidRPr="00363404">
        <w:rPr>
          <w:b/>
        </w:rPr>
        <w:t xml:space="preserve">appropriate guidance </w:t>
      </w:r>
      <w:r w:rsidR="00B06A45">
        <w:rPr>
          <w:b/>
        </w:rPr>
        <w:t xml:space="preserve">on the use of Domestic Abuse Protection Notices to ensure compliance with Article 8 ECHR. </w:t>
      </w:r>
    </w:p>
    <w:p w14:paraId="44A26F6C" w14:textId="77777777" w:rsidR="00B27295" w:rsidRPr="00363404" w:rsidRDefault="00B27295" w:rsidP="00363404">
      <w:pPr>
        <w:pStyle w:val="ListParagraph"/>
        <w:ind w:firstLine="0"/>
        <w:rPr>
          <w:rFonts w:eastAsia="Times New Roman"/>
          <w:color w:val="77328A"/>
        </w:rPr>
      </w:pPr>
    </w:p>
    <w:p w14:paraId="26996E22" w14:textId="77777777" w:rsidR="00BB128E" w:rsidRPr="006253AF" w:rsidRDefault="00BB128E" w:rsidP="00562673">
      <w:pPr>
        <w:pStyle w:val="Heading1"/>
        <w:numPr>
          <w:ilvl w:val="0"/>
          <w:numId w:val="29"/>
        </w:numPr>
        <w:spacing w:before="24"/>
        <w:rPr>
          <w:color w:val="77328A"/>
        </w:rPr>
      </w:pPr>
      <w:bookmarkStart w:id="48" w:name="_Toc63782250"/>
      <w:r w:rsidRPr="006253AF">
        <w:rPr>
          <w:color w:val="77328A"/>
        </w:rPr>
        <w:lastRenderedPageBreak/>
        <w:t>Conditions Attached to Domestic Abuse Protection Orders</w:t>
      </w:r>
      <w:bookmarkEnd w:id="48"/>
      <w:r w:rsidRPr="006253AF">
        <w:rPr>
          <w:color w:val="77328A"/>
        </w:rPr>
        <w:t xml:space="preserve"> </w:t>
      </w:r>
    </w:p>
    <w:p w14:paraId="6722D768" w14:textId="77777777" w:rsidR="00BB128E" w:rsidRPr="00540106" w:rsidRDefault="00BB128E">
      <w:pPr>
        <w:ind w:left="0" w:firstLine="0"/>
        <w:rPr>
          <w:rFonts w:ascii="Verdana" w:hAnsi="Verdana"/>
        </w:rPr>
      </w:pPr>
    </w:p>
    <w:p w14:paraId="3EAE8E71" w14:textId="77777777" w:rsidR="00456DBD" w:rsidRPr="00540106" w:rsidRDefault="007E4EFE">
      <w:pPr>
        <w:rPr>
          <w:rFonts w:ascii="Verdana" w:hAnsi="Verdana" w:cs="Arial"/>
          <w:color w:val="232120"/>
        </w:rPr>
      </w:pPr>
      <w:bookmarkStart w:id="49" w:name="_Toc63782251"/>
      <w:r w:rsidRPr="00540106">
        <w:rPr>
          <w:rStyle w:val="Heading2Char"/>
        </w:rPr>
        <w:t>Electronic Monitoring</w:t>
      </w:r>
      <w:bookmarkEnd w:id="49"/>
    </w:p>
    <w:p w14:paraId="499B60D6" w14:textId="77777777" w:rsidR="00456DBD" w:rsidRPr="00540106" w:rsidRDefault="00456DBD">
      <w:pPr>
        <w:rPr>
          <w:rFonts w:ascii="Verdana" w:hAnsi="Verdana" w:cs="Arial"/>
          <w:color w:val="232120"/>
        </w:rPr>
      </w:pPr>
    </w:p>
    <w:p w14:paraId="68DEDF23" w14:textId="77777777" w:rsidR="00BB128E" w:rsidRPr="00540106" w:rsidRDefault="00BB128E" w:rsidP="00562673">
      <w:pPr>
        <w:pStyle w:val="ListParagraph"/>
        <w:numPr>
          <w:ilvl w:val="1"/>
          <w:numId w:val="29"/>
        </w:numPr>
      </w:pPr>
      <w:r w:rsidRPr="00540106">
        <w:t xml:space="preserve">The NIHRC understands the Department is considering electronic monitoring as a means to monitor compliance with a Domestic Abuse Protection Order. The Department suggests a number of different technologies for example, to remotely monitor the individual’s compliance with conditions such as abiding by an exclusion zone around the victim’s home and/or workplace. Electronic monitoring would be used to track an alleged perpetrator’s location with the aim of preventing stalking or intimidation. </w:t>
      </w:r>
    </w:p>
    <w:p w14:paraId="4923230C" w14:textId="77777777" w:rsidR="00BB128E" w:rsidRPr="00540106" w:rsidRDefault="00BB128E">
      <w:pPr>
        <w:pStyle w:val="ListParagraph"/>
        <w:ind w:firstLine="0"/>
      </w:pPr>
    </w:p>
    <w:p w14:paraId="64045B53" w14:textId="77777777" w:rsidR="00BB128E" w:rsidRPr="00481F4A" w:rsidRDefault="00BB128E" w:rsidP="00562673">
      <w:pPr>
        <w:pStyle w:val="ListParagraph"/>
        <w:numPr>
          <w:ilvl w:val="1"/>
          <w:numId w:val="29"/>
        </w:numPr>
        <w:suppressAutoHyphens/>
        <w:rPr>
          <w:rFonts w:cs="Arial"/>
          <w:color w:val="232120"/>
        </w:rPr>
      </w:pPr>
      <w:r w:rsidRPr="00540106">
        <w:t>The NIHRC recognises electronic monitoring has the potential to enhance compliance with conditions placed upon the alleged perpetrator. The NIHRC would highlight that any monitoring must be consistent with human rights l</w:t>
      </w:r>
      <w:r w:rsidR="00481F4A">
        <w:t>aw, in particular Article 8 ECHR.</w:t>
      </w:r>
      <w:r w:rsidR="0046493E">
        <w:t xml:space="preserve"> </w:t>
      </w:r>
      <w:r w:rsidR="00481F4A" w:rsidRPr="00481F4A">
        <w:t>The primary purpose of Article 8 ECHR is to protect against arbitrary interferences with private and family life, home, and correspondence by a public authority.</w:t>
      </w:r>
      <w:r w:rsidR="00481F4A">
        <w:rPr>
          <w:rStyle w:val="FootnoteReference"/>
        </w:rPr>
        <w:footnoteReference w:id="38"/>
      </w:r>
    </w:p>
    <w:p w14:paraId="1630626F" w14:textId="77777777" w:rsidR="00481F4A" w:rsidRPr="00481F4A" w:rsidRDefault="00481F4A">
      <w:pPr>
        <w:pStyle w:val="ListParagraph"/>
        <w:rPr>
          <w:rFonts w:cs="Arial"/>
          <w:color w:val="232120"/>
        </w:rPr>
      </w:pPr>
    </w:p>
    <w:p w14:paraId="593D09A6" w14:textId="77777777" w:rsidR="00B44BDA" w:rsidRDefault="00481F4A" w:rsidP="00562673">
      <w:pPr>
        <w:pStyle w:val="ListParagraph"/>
        <w:numPr>
          <w:ilvl w:val="1"/>
          <w:numId w:val="29"/>
        </w:numPr>
        <w:suppressAutoHyphens/>
        <w:rPr>
          <w:rFonts w:cs="Arial"/>
          <w:color w:val="232120"/>
        </w:rPr>
      </w:pPr>
      <w:r w:rsidRPr="00481F4A">
        <w:rPr>
          <w:rFonts w:cs="Arial"/>
          <w:color w:val="232120"/>
        </w:rPr>
        <w:t>Conditions upon which a State may interfere with the enjoyment of a protected right are set out in Article 8(2) ECHR. Limitations are allowed if they are “in accordance with the law” or “prescribed by law” and are “necessary in a democratic society” for the protection of one of the objectives se</w:t>
      </w:r>
      <w:r w:rsidR="00B44BDA">
        <w:rPr>
          <w:rFonts w:cs="Arial"/>
          <w:color w:val="232120"/>
        </w:rPr>
        <w:t xml:space="preserve">t out in Article 8(2) ECHR. </w:t>
      </w:r>
    </w:p>
    <w:p w14:paraId="15A81088" w14:textId="77777777" w:rsidR="00B44BDA" w:rsidRPr="00B44BDA" w:rsidRDefault="00B44BDA">
      <w:pPr>
        <w:pStyle w:val="ListParagraph"/>
        <w:rPr>
          <w:rFonts w:cs="Arial"/>
          <w:color w:val="232120"/>
        </w:rPr>
      </w:pPr>
    </w:p>
    <w:p w14:paraId="6B8EE21B" w14:textId="77777777" w:rsidR="00B44BDA" w:rsidRDefault="00B44BDA" w:rsidP="00562673">
      <w:pPr>
        <w:pStyle w:val="ListParagraph"/>
        <w:numPr>
          <w:ilvl w:val="1"/>
          <w:numId w:val="29"/>
        </w:numPr>
        <w:suppressAutoHyphens/>
        <w:rPr>
          <w:rFonts w:cs="Arial"/>
          <w:color w:val="232120"/>
        </w:rPr>
      </w:pPr>
      <w:r>
        <w:rPr>
          <w:rFonts w:cs="Arial"/>
          <w:color w:val="232120"/>
        </w:rPr>
        <w:t xml:space="preserve">The European Court of </w:t>
      </w:r>
      <w:r w:rsidRPr="00B44BDA">
        <w:rPr>
          <w:rFonts w:cs="Arial"/>
          <w:color w:val="232120"/>
        </w:rPr>
        <w:t>H</w:t>
      </w:r>
      <w:r>
        <w:rPr>
          <w:rFonts w:cs="Arial"/>
          <w:color w:val="232120"/>
        </w:rPr>
        <w:t xml:space="preserve">uman </w:t>
      </w:r>
      <w:r w:rsidRPr="00B44BDA">
        <w:rPr>
          <w:rFonts w:cs="Arial"/>
          <w:color w:val="232120"/>
        </w:rPr>
        <w:t>R</w:t>
      </w:r>
      <w:r>
        <w:rPr>
          <w:rFonts w:cs="Arial"/>
          <w:color w:val="232120"/>
        </w:rPr>
        <w:t>ights (ECtHR)</w:t>
      </w:r>
      <w:r w:rsidRPr="00B44BDA">
        <w:rPr>
          <w:rFonts w:cs="Arial"/>
          <w:color w:val="232120"/>
        </w:rPr>
        <w:t xml:space="preserve"> provides a ‘margin of appreciation’ to States in proceedings that concern qualified rights, such</w:t>
      </w:r>
      <w:r>
        <w:rPr>
          <w:rFonts w:cs="Arial"/>
          <w:color w:val="232120"/>
        </w:rPr>
        <w:t xml:space="preserve"> as Article 8 ECHR.</w:t>
      </w:r>
      <w:r>
        <w:rPr>
          <w:rStyle w:val="FootnoteReference"/>
          <w:rFonts w:cs="Arial"/>
          <w:color w:val="232120"/>
        </w:rPr>
        <w:footnoteReference w:id="39"/>
      </w:r>
      <w:r w:rsidRPr="00B44BDA">
        <w:rPr>
          <w:rFonts w:cs="Arial"/>
          <w:color w:val="232120"/>
        </w:rPr>
        <w:t xml:space="preserve"> The State has a certain amount of discretion in how it chooses to limit such rights through considering the pressing social need to do so. However, any interference must be necessary and proportionate in pursuit of a legitimate aim, as set out in Article 8(2) ECHR.</w:t>
      </w:r>
    </w:p>
    <w:p w14:paraId="6385288E" w14:textId="77777777" w:rsidR="00F87A03" w:rsidRPr="00F87A03" w:rsidRDefault="00F87A03">
      <w:pPr>
        <w:pStyle w:val="ListParagraph"/>
        <w:rPr>
          <w:rFonts w:cs="Arial"/>
          <w:color w:val="232120"/>
        </w:rPr>
      </w:pPr>
    </w:p>
    <w:p w14:paraId="0671CE72" w14:textId="77777777" w:rsidR="00F87A03" w:rsidRPr="00F87A03" w:rsidRDefault="00F87A03" w:rsidP="00562673">
      <w:pPr>
        <w:pStyle w:val="ListParagraph"/>
        <w:numPr>
          <w:ilvl w:val="1"/>
          <w:numId w:val="29"/>
        </w:numPr>
        <w:rPr>
          <w:rFonts w:cs="Arial"/>
          <w:color w:val="232120"/>
        </w:rPr>
      </w:pPr>
      <w:r w:rsidRPr="00F87A03">
        <w:rPr>
          <w:rFonts w:cs="Arial"/>
          <w:color w:val="232120"/>
        </w:rPr>
        <w:t xml:space="preserve">In order to determine whether a particular infringement of Article 8 ECHR is necessary in a democratic society, the ECtHR balances the interests of </w:t>
      </w:r>
      <w:r w:rsidRPr="00F87A03">
        <w:rPr>
          <w:rFonts w:cs="Arial"/>
          <w:color w:val="232120"/>
        </w:rPr>
        <w:lastRenderedPageBreak/>
        <w:t>the State against the right of the applicant. The ECtHR has clarified that ‘necessary’ in this context does not have the flexibility of such expressions as ”useful”, “reasonable”, or “desirable”, but implies the existence of a “pressing social need” for the interference in question.</w:t>
      </w:r>
    </w:p>
    <w:p w14:paraId="57098C62" w14:textId="77777777" w:rsidR="00BB128E" w:rsidRPr="00540106" w:rsidRDefault="00BB128E">
      <w:pPr>
        <w:pStyle w:val="ListParagraph"/>
      </w:pPr>
    </w:p>
    <w:p w14:paraId="245B6272" w14:textId="2A545482" w:rsidR="00A44F08" w:rsidRPr="00540106" w:rsidRDefault="00BB128E" w:rsidP="00562673">
      <w:pPr>
        <w:pStyle w:val="ListParagraph"/>
        <w:numPr>
          <w:ilvl w:val="1"/>
          <w:numId w:val="29"/>
        </w:numPr>
        <w:suppressAutoHyphens/>
        <w:rPr>
          <w:rFonts w:cs="Arial"/>
          <w:color w:val="232120"/>
        </w:rPr>
      </w:pPr>
      <w:r w:rsidRPr="00540106">
        <w:t>The Department suggests including a set of statutory safeguards to ensure that electronic monitoring is only used when necessary and proportionate</w:t>
      </w:r>
      <w:r w:rsidR="0046493E">
        <w:t xml:space="preserve"> however, these are not provided within the scope of the consultation.</w:t>
      </w:r>
      <w:r w:rsidR="00A001EE">
        <w:t xml:space="preserve"> The Department does not mention the impact of electronic monitoring on the right to a private and family life as encompassed by Article 8 ECHR. In order </w:t>
      </w:r>
      <w:r w:rsidR="0000491C">
        <w:t xml:space="preserve">to </w:t>
      </w:r>
      <w:r w:rsidR="00A001EE">
        <w:t xml:space="preserve">determine if the use of electronic monitoring is necessary and proportionate it must be in accordance with the </w:t>
      </w:r>
      <w:r w:rsidR="00FC6A56">
        <w:t>scope</w:t>
      </w:r>
      <w:r w:rsidR="00A001EE">
        <w:t xml:space="preserve"> of Article 8 ECHR. A human rights impact assessment would be useful in this regard.</w:t>
      </w:r>
      <w:r w:rsidR="0046493E">
        <w:t xml:space="preserve"> </w:t>
      </w:r>
      <w:r w:rsidR="00F87A03">
        <w:t>The NIHRC suggests that the</w:t>
      </w:r>
      <w:r w:rsidR="00A001EE">
        <w:t xml:space="preserve"> statutory</w:t>
      </w:r>
      <w:r w:rsidR="00F87A03">
        <w:t xml:space="preserve"> safeguards make specific reference to Article 8 ECHR in terms of meeting the requirements of the monitoring</w:t>
      </w:r>
      <w:r w:rsidR="0083180E">
        <w:t xml:space="preserve"> encompassing necessity, proportionality and meeting the</w:t>
      </w:r>
      <w:r w:rsidR="00F87A03">
        <w:t xml:space="preserve"> pressing social need to protect the victim. </w:t>
      </w:r>
    </w:p>
    <w:p w14:paraId="60DC76E5" w14:textId="77777777" w:rsidR="00A44F08" w:rsidRPr="00540106" w:rsidRDefault="00A44F08">
      <w:pPr>
        <w:pStyle w:val="ListParagraph"/>
      </w:pPr>
    </w:p>
    <w:p w14:paraId="04CA13F9" w14:textId="77777777" w:rsidR="007E4EFE" w:rsidRDefault="00A44F08" w:rsidP="00562673">
      <w:pPr>
        <w:pStyle w:val="ListParagraph"/>
        <w:numPr>
          <w:ilvl w:val="1"/>
          <w:numId w:val="29"/>
        </w:numPr>
        <w:suppressAutoHyphens/>
        <w:rPr>
          <w:rFonts w:cs="Arial"/>
          <w:color w:val="232120"/>
        </w:rPr>
      </w:pPr>
      <w:r w:rsidRPr="00540106">
        <w:rPr>
          <w:rFonts w:cs="Arial"/>
          <w:color w:val="232120"/>
        </w:rPr>
        <w:t xml:space="preserve">The Department </w:t>
      </w:r>
      <w:r w:rsidR="0046493E">
        <w:rPr>
          <w:rFonts w:cs="Arial"/>
          <w:color w:val="232120"/>
        </w:rPr>
        <w:t xml:space="preserve">further </w:t>
      </w:r>
      <w:r w:rsidRPr="00540106">
        <w:rPr>
          <w:rFonts w:cs="Arial"/>
          <w:color w:val="232120"/>
        </w:rPr>
        <w:t>provides that</w:t>
      </w:r>
      <w:r w:rsidR="00BB128E" w:rsidRPr="00540106">
        <w:rPr>
          <w:rFonts w:cs="Arial"/>
          <w:color w:val="232120"/>
        </w:rPr>
        <w:t xml:space="preserve"> </w:t>
      </w:r>
      <w:r w:rsidRPr="00540106">
        <w:rPr>
          <w:rFonts w:cs="Arial"/>
          <w:color w:val="232120"/>
        </w:rPr>
        <w:t>any introduction of monitoring would be piloted most likely within the criminal courts, before con</w:t>
      </w:r>
      <w:r w:rsidR="00EF05A4">
        <w:rPr>
          <w:rFonts w:cs="Arial"/>
          <w:color w:val="232120"/>
        </w:rPr>
        <w:t>sidering use in any other court</w:t>
      </w:r>
      <w:r w:rsidRPr="00540106">
        <w:rPr>
          <w:rFonts w:cs="Arial"/>
          <w:color w:val="232120"/>
        </w:rPr>
        <w:t xml:space="preserve">. It is proposed that an enabling power </w:t>
      </w:r>
      <w:r w:rsidR="00EF05A4">
        <w:rPr>
          <w:rFonts w:cs="Arial"/>
          <w:color w:val="232120"/>
        </w:rPr>
        <w:t xml:space="preserve">would </w:t>
      </w:r>
      <w:r w:rsidRPr="00540106">
        <w:rPr>
          <w:rFonts w:cs="Arial"/>
          <w:color w:val="232120"/>
        </w:rPr>
        <w:t>be provided for in legislation that would allow this measure to be further considered and brought forward in the longer term.</w:t>
      </w:r>
    </w:p>
    <w:p w14:paraId="576CF6B2" w14:textId="77777777" w:rsidR="009D3B57" w:rsidRPr="00540106" w:rsidRDefault="009D3B57">
      <w:pPr>
        <w:pStyle w:val="ListParagraph"/>
        <w:suppressAutoHyphens/>
        <w:ind w:firstLine="0"/>
        <w:rPr>
          <w:rFonts w:cs="Arial"/>
          <w:b/>
        </w:rPr>
      </w:pPr>
    </w:p>
    <w:p w14:paraId="0A40F032" w14:textId="77777777" w:rsidR="009D3B57" w:rsidRPr="00EF05A4" w:rsidRDefault="009D3B57" w:rsidP="00562673">
      <w:pPr>
        <w:pStyle w:val="ListParagraph"/>
        <w:numPr>
          <w:ilvl w:val="1"/>
          <w:numId w:val="29"/>
        </w:numPr>
        <w:rPr>
          <w:rFonts w:cs="Arial"/>
          <w:b/>
        </w:rPr>
      </w:pPr>
      <w:r w:rsidRPr="00EF05A4">
        <w:rPr>
          <w:rFonts w:cs="Arial"/>
          <w:b/>
        </w:rPr>
        <w:t>The NIHRC recommends the Department provides further clarification on the statutory safeguards that would be used if electronic monitoring is implemented and that these reference human rights standards</w:t>
      </w:r>
      <w:r w:rsidR="00F87A03">
        <w:rPr>
          <w:rFonts w:cs="Arial"/>
          <w:b/>
        </w:rPr>
        <w:t>, in particular consideration of Article 8 ECHR</w:t>
      </w:r>
      <w:r w:rsidRPr="00EF05A4">
        <w:rPr>
          <w:rFonts w:cs="Arial"/>
          <w:b/>
        </w:rPr>
        <w:t xml:space="preserve">. </w:t>
      </w:r>
    </w:p>
    <w:p w14:paraId="784B665B" w14:textId="77777777" w:rsidR="00676C08" w:rsidRPr="00540106" w:rsidRDefault="00676C08">
      <w:pPr>
        <w:ind w:left="0" w:firstLine="0"/>
        <w:rPr>
          <w:rFonts w:ascii="Verdana" w:hAnsi="Verdana" w:cs="Arial"/>
          <w:b/>
        </w:rPr>
      </w:pPr>
    </w:p>
    <w:p w14:paraId="7FA2BA19" w14:textId="3796D38F" w:rsidR="00676C08" w:rsidRPr="00076D06" w:rsidRDefault="00676C08" w:rsidP="00562673">
      <w:pPr>
        <w:pStyle w:val="ListParagraph"/>
        <w:numPr>
          <w:ilvl w:val="1"/>
          <w:numId w:val="29"/>
        </w:numPr>
        <w:suppressAutoHyphens/>
        <w:rPr>
          <w:rFonts w:cs="Arial"/>
          <w:b/>
        </w:rPr>
      </w:pPr>
      <w:r w:rsidRPr="00076D06">
        <w:rPr>
          <w:rFonts w:cs="Arial"/>
          <w:b/>
        </w:rPr>
        <w:t xml:space="preserve">The NIHRC recommends </w:t>
      </w:r>
      <w:r w:rsidR="00F87A03" w:rsidRPr="00076D06">
        <w:rPr>
          <w:rFonts w:cs="Arial"/>
          <w:b/>
        </w:rPr>
        <w:t xml:space="preserve">that the Department </w:t>
      </w:r>
      <w:r w:rsidRPr="00076D06">
        <w:rPr>
          <w:rFonts w:cs="Arial"/>
          <w:b/>
        </w:rPr>
        <w:t>pilot</w:t>
      </w:r>
      <w:r w:rsidR="0083180E">
        <w:rPr>
          <w:rFonts w:cs="Arial"/>
          <w:b/>
        </w:rPr>
        <w:t>s</w:t>
      </w:r>
      <w:r w:rsidRPr="00076D06">
        <w:rPr>
          <w:rFonts w:cs="Arial"/>
          <w:b/>
        </w:rPr>
        <w:t xml:space="preserve"> </w:t>
      </w:r>
      <w:r w:rsidR="00F87A03" w:rsidRPr="00076D06">
        <w:rPr>
          <w:rFonts w:cs="Arial"/>
          <w:b/>
        </w:rPr>
        <w:t xml:space="preserve">the introduction of </w:t>
      </w:r>
      <w:r w:rsidRPr="00076D06">
        <w:rPr>
          <w:rFonts w:cs="Arial"/>
          <w:b/>
        </w:rPr>
        <w:t>electronic monitoring</w:t>
      </w:r>
      <w:r w:rsidR="00F87A03" w:rsidRPr="00076D06">
        <w:rPr>
          <w:rFonts w:cs="Arial"/>
          <w:b/>
        </w:rPr>
        <w:t>,</w:t>
      </w:r>
      <w:r w:rsidR="0083180E">
        <w:rPr>
          <w:rFonts w:cs="Arial"/>
          <w:b/>
        </w:rPr>
        <w:t xml:space="preserve"> nonetheless, it should</w:t>
      </w:r>
      <w:r w:rsidR="00F87A03" w:rsidRPr="00076D06">
        <w:rPr>
          <w:rFonts w:cs="Arial"/>
          <w:b/>
        </w:rPr>
        <w:t xml:space="preserve"> </w:t>
      </w:r>
      <w:r w:rsidR="0000491C">
        <w:rPr>
          <w:rFonts w:cs="Arial"/>
          <w:b/>
        </w:rPr>
        <w:t xml:space="preserve">ensure </w:t>
      </w:r>
      <w:r w:rsidR="00F87A03" w:rsidRPr="00076D06">
        <w:rPr>
          <w:rFonts w:cs="Arial"/>
          <w:b/>
        </w:rPr>
        <w:t>that it</w:t>
      </w:r>
      <w:r w:rsidRPr="00076D06">
        <w:rPr>
          <w:rFonts w:cs="Arial"/>
          <w:b/>
        </w:rPr>
        <w:t xml:space="preserve"> </w:t>
      </w:r>
      <w:r w:rsidR="00F87A03" w:rsidRPr="00076D06">
        <w:rPr>
          <w:rFonts w:cs="Arial"/>
          <w:b/>
        </w:rPr>
        <w:t>does</w:t>
      </w:r>
      <w:r w:rsidR="00887575">
        <w:rPr>
          <w:rFonts w:cs="Arial"/>
          <w:b/>
        </w:rPr>
        <w:t xml:space="preserve"> </w:t>
      </w:r>
      <w:r w:rsidR="00887575" w:rsidRPr="002A4451">
        <w:rPr>
          <w:rFonts w:cs="Arial"/>
          <w:b/>
        </w:rPr>
        <w:t>not</w:t>
      </w:r>
      <w:r w:rsidR="00F87A03" w:rsidRPr="00076D06">
        <w:rPr>
          <w:rFonts w:cs="Arial"/>
          <w:b/>
        </w:rPr>
        <w:t xml:space="preserve"> </w:t>
      </w:r>
      <w:r w:rsidR="0083180E">
        <w:rPr>
          <w:rFonts w:cs="Arial"/>
          <w:b/>
        </w:rPr>
        <w:t xml:space="preserve">delay </w:t>
      </w:r>
      <w:r w:rsidR="00A44F08" w:rsidRPr="00076D06">
        <w:rPr>
          <w:rFonts w:cs="Arial"/>
          <w:b/>
        </w:rPr>
        <w:t xml:space="preserve">the introduction of Domestic Abuse Protection Orders </w:t>
      </w:r>
      <w:r w:rsidR="00F87A03" w:rsidRPr="00076D06">
        <w:rPr>
          <w:rFonts w:cs="Arial"/>
          <w:b/>
        </w:rPr>
        <w:t>and Notices.</w:t>
      </w:r>
    </w:p>
    <w:p w14:paraId="20CA59D4" w14:textId="77777777" w:rsidR="00A44F08" w:rsidRPr="00540106" w:rsidRDefault="00A44F08">
      <w:pPr>
        <w:suppressAutoHyphens/>
        <w:ind w:left="0" w:firstLine="0"/>
        <w:rPr>
          <w:rFonts w:ascii="Verdana" w:hAnsi="Verdana" w:cs="Arial"/>
          <w:b/>
        </w:rPr>
      </w:pPr>
    </w:p>
    <w:p w14:paraId="0DE4E087" w14:textId="77777777" w:rsidR="00A44F08" w:rsidRPr="00540106" w:rsidRDefault="00A44F08">
      <w:pPr>
        <w:pStyle w:val="Heading2"/>
        <w:spacing w:before="24"/>
      </w:pPr>
      <w:bookmarkStart w:id="50" w:name="_Toc63782252"/>
      <w:r w:rsidRPr="00540106">
        <w:t>Breach of Domestic Abuse Protection Orders or Notices</w:t>
      </w:r>
      <w:bookmarkEnd w:id="50"/>
    </w:p>
    <w:p w14:paraId="20864B99" w14:textId="77777777" w:rsidR="00A44F08" w:rsidRPr="00540106" w:rsidRDefault="00A44F08">
      <w:pPr>
        <w:rPr>
          <w:rFonts w:ascii="Verdana" w:hAnsi="Verdana"/>
        </w:rPr>
      </w:pPr>
    </w:p>
    <w:p w14:paraId="5B0EFB08" w14:textId="77777777" w:rsidR="00C7603E" w:rsidRPr="00540106" w:rsidRDefault="00C7603E" w:rsidP="00562673">
      <w:pPr>
        <w:pStyle w:val="ListParagraph"/>
        <w:numPr>
          <w:ilvl w:val="1"/>
          <w:numId w:val="29"/>
        </w:numPr>
      </w:pPr>
      <w:r w:rsidRPr="00540106">
        <w:t xml:space="preserve">It is proposed that it would be a criminal offence to breach a Domestic Abuse Protection Notice or Order. A magistrates’ court would be able to impose a sentence of up to six months imprisonment and/or a fine and the </w:t>
      </w:r>
      <w:r w:rsidRPr="00540106">
        <w:lastRenderedPageBreak/>
        <w:t>Crown Court up to five years and/or an unlimited fine for a breach of a DAPO. The maximum penalty is similar to that for a breach of a non-molestation order.</w:t>
      </w:r>
    </w:p>
    <w:p w14:paraId="68C14290" w14:textId="77777777" w:rsidR="00C7603E" w:rsidRPr="00540106" w:rsidRDefault="00C7603E">
      <w:pPr>
        <w:pStyle w:val="ListParagraph"/>
        <w:ind w:firstLine="0"/>
      </w:pPr>
    </w:p>
    <w:p w14:paraId="5923744A" w14:textId="77777777" w:rsidR="00102DE9" w:rsidRDefault="00827674" w:rsidP="00562673">
      <w:pPr>
        <w:pStyle w:val="ListParagraph"/>
        <w:numPr>
          <w:ilvl w:val="1"/>
          <w:numId w:val="29"/>
        </w:numPr>
      </w:pPr>
      <w:r>
        <w:t>The NIHRC recognises the need to send</w:t>
      </w:r>
      <w:r w:rsidR="00C7603E" w:rsidRPr="00540106">
        <w:t xml:space="preserve"> a strong message that non</w:t>
      </w:r>
      <w:r>
        <w:t>-</w:t>
      </w:r>
      <w:r w:rsidR="00C7603E" w:rsidRPr="00540106">
        <w:t xml:space="preserve">compliance </w:t>
      </w:r>
      <w:r>
        <w:t xml:space="preserve">is </w:t>
      </w:r>
      <w:r w:rsidR="00102DE9">
        <w:t>be taken seriously</w:t>
      </w:r>
      <w:r w:rsidR="0003410C">
        <w:t xml:space="preserve"> and</w:t>
      </w:r>
      <w:r w:rsidR="00102DE9">
        <w:t xml:space="preserve"> should be appropriately sanctioned. I</w:t>
      </w:r>
      <w:r w:rsidR="0003410C">
        <w:t>n</w:t>
      </w:r>
      <w:r w:rsidR="00102DE9">
        <w:t xml:space="preserve"> 2019 the UN CAT Committee recommended that </w:t>
      </w:r>
      <w:r w:rsidR="00102DE9" w:rsidRPr="00102DE9">
        <w:t>“that all domestic violence cases, in all United Kingdom (UK) territories and dependencies, are thoroughly investigated, that perpetrators are prosecuted and, if they are convicted, are punished with appropriate sanctions”.</w:t>
      </w:r>
      <w:r w:rsidR="00102DE9" w:rsidRPr="00102DE9">
        <w:rPr>
          <w:vertAlign w:val="superscript"/>
        </w:rPr>
        <w:footnoteReference w:id="40"/>
      </w:r>
      <w:r w:rsidR="00102DE9">
        <w:t xml:space="preserve"> </w:t>
      </w:r>
    </w:p>
    <w:p w14:paraId="40311CE4" w14:textId="77777777" w:rsidR="0003410C" w:rsidRDefault="0003410C" w:rsidP="00562673">
      <w:pPr>
        <w:pStyle w:val="ListParagraph"/>
      </w:pPr>
    </w:p>
    <w:p w14:paraId="372E20C9" w14:textId="77777777" w:rsidR="0003410C" w:rsidRPr="0003410C" w:rsidRDefault="0003410C" w:rsidP="00562673">
      <w:pPr>
        <w:pStyle w:val="ListParagraph"/>
        <w:numPr>
          <w:ilvl w:val="1"/>
          <w:numId w:val="29"/>
        </w:numPr>
      </w:pPr>
      <w:r w:rsidRPr="0003410C">
        <w:t>Article 53 of the Istanbul Convention provides that “parties shall take the necessary legislative or other measures to ensure that breaches of restraining or protection orders issued pursuant to paragraph 1 shall be subject to effective, proportionate and dissuasive criminal or other legal sanctions”.</w:t>
      </w:r>
    </w:p>
    <w:p w14:paraId="7FAC7D35" w14:textId="77777777" w:rsidR="00102DE9" w:rsidRDefault="00102DE9">
      <w:pPr>
        <w:pStyle w:val="ListParagraph"/>
      </w:pPr>
    </w:p>
    <w:p w14:paraId="174C5151" w14:textId="4CE2907D" w:rsidR="00A44F08" w:rsidRDefault="00102DE9" w:rsidP="00562673">
      <w:pPr>
        <w:pStyle w:val="ListParagraph"/>
        <w:numPr>
          <w:ilvl w:val="1"/>
          <w:numId w:val="29"/>
        </w:numPr>
      </w:pPr>
      <w:r>
        <w:t>Furthermore, c</w:t>
      </w:r>
      <w:r w:rsidR="00827674">
        <w:t xml:space="preserve">onsidering concerns </w:t>
      </w:r>
      <w:r w:rsidR="0083180E">
        <w:t xml:space="preserve">on </w:t>
      </w:r>
      <w:r w:rsidR="00827674">
        <w:t xml:space="preserve">breaches of non-molestation orders not being appropriately sanctioned, clear guidance should be provided </w:t>
      </w:r>
      <w:r>
        <w:t xml:space="preserve">to the Police Service </w:t>
      </w:r>
      <w:r w:rsidR="00827674">
        <w:t>in regards to what constitutes a breach of a Domestic Abu</w:t>
      </w:r>
      <w:r>
        <w:t>se Protection Order or Notice so that perpetrators can be appropriately sanctioned.</w:t>
      </w:r>
    </w:p>
    <w:p w14:paraId="65D85C07" w14:textId="77777777" w:rsidR="00827674" w:rsidRDefault="00827674">
      <w:pPr>
        <w:pStyle w:val="ListParagraph"/>
      </w:pPr>
    </w:p>
    <w:p w14:paraId="384F5CF3" w14:textId="74F7E878" w:rsidR="00827674" w:rsidRPr="00F87A03" w:rsidRDefault="00827674" w:rsidP="00562673">
      <w:pPr>
        <w:pStyle w:val="ListParagraph"/>
        <w:numPr>
          <w:ilvl w:val="1"/>
          <w:numId w:val="29"/>
        </w:numPr>
        <w:rPr>
          <w:b/>
        </w:rPr>
      </w:pPr>
      <w:r w:rsidRPr="00F87A03">
        <w:rPr>
          <w:b/>
        </w:rPr>
        <w:t>The NIHRC recommends clear guidance is provid</w:t>
      </w:r>
      <w:r w:rsidR="00F87A03" w:rsidRPr="00F87A03">
        <w:rPr>
          <w:b/>
        </w:rPr>
        <w:t xml:space="preserve">ed to the Police Service NI </w:t>
      </w:r>
      <w:r w:rsidR="0083180E">
        <w:rPr>
          <w:b/>
        </w:rPr>
        <w:t xml:space="preserve">on </w:t>
      </w:r>
      <w:r w:rsidR="00F87A03">
        <w:rPr>
          <w:b/>
        </w:rPr>
        <w:t xml:space="preserve">what constitutes a breach of a Domestic Abuse Protection Order and Notice to ensure perpetrators </w:t>
      </w:r>
      <w:r w:rsidR="00102DE9">
        <w:rPr>
          <w:b/>
        </w:rPr>
        <w:t xml:space="preserve">receive appropriate sanctions. </w:t>
      </w:r>
    </w:p>
    <w:p w14:paraId="57AD990A" w14:textId="77777777" w:rsidR="00540106" w:rsidRPr="00540106" w:rsidRDefault="00540106">
      <w:pPr>
        <w:pStyle w:val="ListParagraph"/>
        <w:ind w:firstLine="0"/>
      </w:pPr>
    </w:p>
    <w:p w14:paraId="39D4E867" w14:textId="77777777" w:rsidR="00A465D1" w:rsidRPr="00562673" w:rsidRDefault="00A465D1" w:rsidP="00562673">
      <w:pPr>
        <w:pStyle w:val="Heading1"/>
        <w:numPr>
          <w:ilvl w:val="0"/>
          <w:numId w:val="29"/>
        </w:numPr>
        <w:spacing w:before="24"/>
        <w:rPr>
          <w:color w:val="77328A"/>
        </w:rPr>
      </w:pPr>
      <w:bookmarkStart w:id="51" w:name="_Toc41000201"/>
      <w:bookmarkStart w:id="52" w:name="_Toc63782253"/>
      <w:r w:rsidRPr="00562673">
        <w:rPr>
          <w:color w:val="77328A"/>
        </w:rPr>
        <w:t>Disaggregated data</w:t>
      </w:r>
      <w:bookmarkEnd w:id="51"/>
      <w:bookmarkEnd w:id="52"/>
    </w:p>
    <w:p w14:paraId="37E4941B" w14:textId="77777777" w:rsidR="005451E6" w:rsidRPr="00540106" w:rsidRDefault="005451E6">
      <w:pPr>
        <w:pStyle w:val="ListParagraph"/>
      </w:pPr>
    </w:p>
    <w:p w14:paraId="57129DBC" w14:textId="77777777" w:rsidR="00A465D1" w:rsidRPr="00540106" w:rsidRDefault="00A465D1" w:rsidP="00562673">
      <w:pPr>
        <w:pStyle w:val="ListParagraph"/>
        <w:widowControl w:val="0"/>
        <w:numPr>
          <w:ilvl w:val="1"/>
          <w:numId w:val="29"/>
        </w:numPr>
        <w:autoSpaceDE w:val="0"/>
        <w:autoSpaceDN w:val="0"/>
        <w:adjustRightInd w:val="0"/>
        <w:rPr>
          <w:rFonts w:cs="Arial"/>
          <w:lang w:val="en-US"/>
        </w:rPr>
      </w:pPr>
      <w:r w:rsidRPr="00540106">
        <w:rPr>
          <w:rFonts w:cs="Arial"/>
          <w:lang w:val="en-US"/>
        </w:rPr>
        <w:t>The UN CEDAW Committee in its 2019 concluding observations on the UK recommended that the UK Government and NI Executive “s</w:t>
      </w:r>
      <w:r w:rsidRPr="00540106">
        <w:rPr>
          <w:rFonts w:cs="Verdana"/>
          <w:bCs/>
          <w:color w:val="000000"/>
          <w:lang w:val="en-US"/>
        </w:rPr>
        <w:t>ystematically collect and publish data, disaggregated by sex, gender, ethnicity, disability and age, throughout the whole of its territory to inform policymaking and assess the impact of measures taken”.</w:t>
      </w:r>
      <w:r w:rsidRPr="00540106">
        <w:rPr>
          <w:vertAlign w:val="superscript"/>
          <w:lang w:val="en-US"/>
        </w:rPr>
        <w:footnoteReference w:id="41"/>
      </w:r>
    </w:p>
    <w:p w14:paraId="003A0B8B" w14:textId="77777777" w:rsidR="00A465D1" w:rsidRPr="00540106" w:rsidRDefault="00A465D1">
      <w:pPr>
        <w:widowControl w:val="0"/>
        <w:autoSpaceDE w:val="0"/>
        <w:autoSpaceDN w:val="0"/>
        <w:adjustRightInd w:val="0"/>
        <w:rPr>
          <w:rFonts w:ascii="Verdana" w:hAnsi="Verdana" w:cs="Arial"/>
          <w:lang w:val="en-US"/>
        </w:rPr>
      </w:pPr>
    </w:p>
    <w:p w14:paraId="4DD98998" w14:textId="77777777" w:rsidR="00A465D1" w:rsidRPr="00540106" w:rsidRDefault="00A465D1" w:rsidP="00562673">
      <w:pPr>
        <w:widowControl w:val="0"/>
        <w:numPr>
          <w:ilvl w:val="1"/>
          <w:numId w:val="29"/>
        </w:numPr>
        <w:autoSpaceDE w:val="0"/>
        <w:autoSpaceDN w:val="0"/>
        <w:adjustRightInd w:val="0"/>
        <w:rPr>
          <w:rFonts w:ascii="Verdana" w:hAnsi="Verdana" w:cs="Arial"/>
          <w:lang w:val="en-US"/>
        </w:rPr>
      </w:pPr>
      <w:r w:rsidRPr="00540106">
        <w:rPr>
          <w:rFonts w:ascii="Verdana" w:hAnsi="Verdana" w:cs="Arial"/>
          <w:lang w:val="en-US"/>
        </w:rPr>
        <w:t>The NIHRC welcomes the data published by the Police Service NI on domestic abuse in Northern Ireland. However, the information gathered and how it is disaggregated can be improved.</w:t>
      </w:r>
      <w:r w:rsidR="00C7603E" w:rsidRPr="00540106">
        <w:rPr>
          <w:rFonts w:ascii="Verdana" w:hAnsi="Verdana" w:cs="Arial"/>
          <w:lang w:val="en-US"/>
        </w:rPr>
        <w:t xml:space="preserve"> </w:t>
      </w:r>
    </w:p>
    <w:p w14:paraId="2D806B9B" w14:textId="77777777" w:rsidR="00A465D1" w:rsidRPr="00540106" w:rsidRDefault="00A465D1">
      <w:pPr>
        <w:contextualSpacing/>
        <w:rPr>
          <w:rFonts w:ascii="Verdana" w:hAnsi="Verdana" w:cs="Arial"/>
        </w:rPr>
      </w:pPr>
    </w:p>
    <w:p w14:paraId="32ACE3F0" w14:textId="77777777" w:rsidR="00A465D1" w:rsidRPr="00540106" w:rsidRDefault="00A465D1" w:rsidP="00562673">
      <w:pPr>
        <w:widowControl w:val="0"/>
        <w:numPr>
          <w:ilvl w:val="1"/>
          <w:numId w:val="29"/>
        </w:numPr>
        <w:autoSpaceDE w:val="0"/>
        <w:autoSpaceDN w:val="0"/>
        <w:adjustRightInd w:val="0"/>
        <w:rPr>
          <w:rFonts w:ascii="Verdana" w:hAnsi="Verdana" w:cs="Arial"/>
          <w:b/>
          <w:lang w:val="en-US"/>
        </w:rPr>
      </w:pPr>
      <w:r w:rsidRPr="00540106">
        <w:rPr>
          <w:rFonts w:ascii="Verdana" w:hAnsi="Verdana" w:cs="Arial"/>
          <w:b/>
          <w:lang w:val="en-US"/>
        </w:rPr>
        <w:t>The NIHRC recommends that the Department works with the relevant public authorities and civil society organisations to systematically collect and publish data on domestic abuse that is disaggregated by sex, gender, ethnicity, disability and age. It should also record the journey of abuse investigations through the criminal justice system, including number of initial reports, number of referrals to the Public Prosecution Service, how many reach different stages of the court process, how many prosecutions, what is the resulting remedy and how many repeat offences.</w:t>
      </w:r>
    </w:p>
    <w:p w14:paraId="2DB144BB" w14:textId="77777777" w:rsidR="007E4EFE" w:rsidRDefault="007E4EFE" w:rsidP="00331C61">
      <w:pPr>
        <w:pStyle w:val="BasicParagraph"/>
        <w:suppressAutoHyphens/>
        <w:rPr>
          <w:rFonts w:ascii="Verdana" w:hAnsi="Verdana" w:cs="Arial"/>
          <w:color w:val="232120"/>
        </w:rPr>
      </w:pPr>
    </w:p>
    <w:p w14:paraId="04A68BE9" w14:textId="77777777" w:rsidR="007E4EFE" w:rsidRPr="00CB104F" w:rsidRDefault="007E4EFE" w:rsidP="00331C61">
      <w:pPr>
        <w:pStyle w:val="BasicParagraph"/>
        <w:suppressAutoHyphens/>
        <w:rPr>
          <w:rFonts w:ascii="Verdana" w:hAnsi="Verdana" w:cs="Arial"/>
          <w:color w:val="232120"/>
        </w:rPr>
      </w:pPr>
    </w:p>
    <w:p w14:paraId="0452122F" w14:textId="77777777" w:rsidR="003B7D0E" w:rsidRDefault="003B7D0E" w:rsidP="003B7D0E">
      <w:pPr>
        <w:pStyle w:val="BasicParagraph"/>
        <w:suppressAutoHyphens/>
        <w:jc w:val="center"/>
        <w:rPr>
          <w:rFonts w:ascii="Verdana" w:hAnsi="Verdana" w:cs="Arial"/>
          <w:color w:val="3C3C3B"/>
          <w:sz w:val="20"/>
          <w:szCs w:val="20"/>
        </w:rPr>
      </w:pPr>
    </w:p>
    <w:p w14:paraId="5B9052D0" w14:textId="77777777" w:rsidR="003B7D0E" w:rsidRDefault="003B7D0E" w:rsidP="003B7D0E">
      <w:pPr>
        <w:pStyle w:val="BasicParagraph"/>
        <w:suppressAutoHyphens/>
        <w:jc w:val="center"/>
        <w:rPr>
          <w:rFonts w:ascii="Verdana" w:hAnsi="Verdana" w:cs="Arial"/>
          <w:color w:val="3C3C3B"/>
          <w:sz w:val="20"/>
          <w:szCs w:val="20"/>
        </w:rPr>
      </w:pPr>
    </w:p>
    <w:p w14:paraId="4AC5E92D" w14:textId="77777777" w:rsidR="003B7D0E" w:rsidRDefault="003B7D0E" w:rsidP="003B7D0E">
      <w:pPr>
        <w:pStyle w:val="BasicParagraph"/>
        <w:suppressAutoHyphens/>
        <w:jc w:val="center"/>
        <w:rPr>
          <w:rFonts w:ascii="Verdana" w:hAnsi="Verdana" w:cs="Arial"/>
          <w:color w:val="3C3C3B"/>
          <w:sz w:val="20"/>
          <w:szCs w:val="20"/>
        </w:rPr>
      </w:pPr>
    </w:p>
    <w:p w14:paraId="258F479B" w14:textId="77777777" w:rsidR="003B7D0E" w:rsidRDefault="003B7D0E" w:rsidP="003B7D0E">
      <w:pPr>
        <w:pStyle w:val="BasicParagraph"/>
        <w:suppressAutoHyphens/>
        <w:jc w:val="center"/>
        <w:rPr>
          <w:rFonts w:ascii="Verdana" w:hAnsi="Verdana" w:cs="Arial"/>
          <w:color w:val="3C3C3B"/>
          <w:sz w:val="20"/>
          <w:szCs w:val="20"/>
        </w:rPr>
      </w:pPr>
    </w:p>
    <w:p w14:paraId="04BABA23" w14:textId="77777777" w:rsidR="00E828D6" w:rsidRDefault="00E828D6" w:rsidP="00E828D6">
      <w:pPr>
        <w:pStyle w:val="BasicParagraph"/>
        <w:suppressAutoHyphens/>
        <w:rPr>
          <w:rFonts w:ascii="Verdana" w:hAnsi="Verdana" w:cs="Arial"/>
          <w:color w:val="3C3C3B"/>
          <w:sz w:val="20"/>
          <w:szCs w:val="20"/>
        </w:rPr>
      </w:pPr>
    </w:p>
    <w:p w14:paraId="0A83865E" w14:textId="77777777" w:rsidR="00E828D6" w:rsidRDefault="00E828D6" w:rsidP="00E828D6">
      <w:pPr>
        <w:pStyle w:val="BasicParagraph"/>
        <w:suppressAutoHyphens/>
        <w:rPr>
          <w:rFonts w:ascii="Verdana" w:hAnsi="Verdana" w:cs="Arial"/>
          <w:color w:val="3C3C3B"/>
          <w:sz w:val="20"/>
          <w:szCs w:val="20"/>
        </w:rPr>
      </w:pPr>
    </w:p>
    <w:p w14:paraId="72C679B8" w14:textId="77777777" w:rsidR="00E828D6" w:rsidRDefault="00E828D6" w:rsidP="00E828D6">
      <w:pPr>
        <w:pStyle w:val="BasicParagraph"/>
        <w:suppressAutoHyphens/>
        <w:rPr>
          <w:rFonts w:ascii="Verdana" w:hAnsi="Verdana" w:cs="Arial"/>
          <w:color w:val="3C3C3B"/>
          <w:sz w:val="20"/>
          <w:szCs w:val="20"/>
        </w:rPr>
      </w:pPr>
    </w:p>
    <w:p w14:paraId="28BDA2B3" w14:textId="77777777" w:rsidR="00A001EE" w:rsidRDefault="00A001EE" w:rsidP="00E828D6">
      <w:pPr>
        <w:pStyle w:val="BasicParagraph"/>
        <w:suppressAutoHyphens/>
        <w:rPr>
          <w:rFonts w:ascii="Verdana" w:hAnsi="Verdana" w:cs="Arial"/>
          <w:color w:val="3C3C3B"/>
          <w:sz w:val="20"/>
          <w:szCs w:val="20"/>
        </w:rPr>
      </w:pPr>
    </w:p>
    <w:p w14:paraId="0E1774F6" w14:textId="741BD9A9" w:rsidR="00A001EE" w:rsidRDefault="00A001EE" w:rsidP="00E828D6">
      <w:pPr>
        <w:pStyle w:val="BasicParagraph"/>
        <w:suppressAutoHyphens/>
        <w:rPr>
          <w:rFonts w:ascii="Verdana" w:hAnsi="Verdana" w:cs="Arial"/>
          <w:color w:val="3C3C3B"/>
          <w:sz w:val="20"/>
          <w:szCs w:val="20"/>
        </w:rPr>
      </w:pPr>
    </w:p>
    <w:p w14:paraId="6B7A0FDE" w14:textId="3C704F3F" w:rsidR="0060797E" w:rsidRDefault="0060797E" w:rsidP="00E828D6">
      <w:pPr>
        <w:pStyle w:val="BasicParagraph"/>
        <w:suppressAutoHyphens/>
        <w:rPr>
          <w:rFonts w:ascii="Verdana" w:hAnsi="Verdana" w:cs="Arial"/>
          <w:color w:val="3C3C3B"/>
          <w:sz w:val="20"/>
          <w:szCs w:val="20"/>
        </w:rPr>
      </w:pPr>
    </w:p>
    <w:p w14:paraId="3B9D061E" w14:textId="1AC95121" w:rsidR="0060797E" w:rsidRDefault="0060797E" w:rsidP="00E828D6">
      <w:pPr>
        <w:pStyle w:val="BasicParagraph"/>
        <w:suppressAutoHyphens/>
        <w:rPr>
          <w:rFonts w:ascii="Verdana" w:hAnsi="Verdana" w:cs="Arial"/>
          <w:color w:val="3C3C3B"/>
          <w:sz w:val="20"/>
          <w:szCs w:val="20"/>
        </w:rPr>
      </w:pPr>
    </w:p>
    <w:p w14:paraId="383A1038" w14:textId="2CDDDC09" w:rsidR="0060797E" w:rsidRDefault="0060797E" w:rsidP="00E828D6">
      <w:pPr>
        <w:pStyle w:val="BasicParagraph"/>
        <w:suppressAutoHyphens/>
        <w:rPr>
          <w:rFonts w:ascii="Verdana" w:hAnsi="Verdana" w:cs="Arial"/>
          <w:color w:val="3C3C3B"/>
          <w:sz w:val="20"/>
          <w:szCs w:val="20"/>
        </w:rPr>
      </w:pPr>
    </w:p>
    <w:p w14:paraId="564EFEBD" w14:textId="007B44B6" w:rsidR="0060797E" w:rsidRDefault="0060797E" w:rsidP="00E828D6">
      <w:pPr>
        <w:pStyle w:val="BasicParagraph"/>
        <w:suppressAutoHyphens/>
        <w:rPr>
          <w:rFonts w:ascii="Verdana" w:hAnsi="Verdana" w:cs="Arial"/>
          <w:color w:val="3C3C3B"/>
          <w:sz w:val="20"/>
          <w:szCs w:val="20"/>
        </w:rPr>
      </w:pPr>
    </w:p>
    <w:p w14:paraId="1407A97A" w14:textId="22181643" w:rsidR="0060797E" w:rsidRDefault="0060797E" w:rsidP="00E828D6">
      <w:pPr>
        <w:pStyle w:val="BasicParagraph"/>
        <w:suppressAutoHyphens/>
        <w:rPr>
          <w:rFonts w:ascii="Verdana" w:hAnsi="Verdana" w:cs="Arial"/>
          <w:color w:val="3C3C3B"/>
          <w:sz w:val="20"/>
          <w:szCs w:val="20"/>
        </w:rPr>
      </w:pPr>
    </w:p>
    <w:p w14:paraId="111AD1B3" w14:textId="4DF06FC9" w:rsidR="0060797E" w:rsidRDefault="0060797E" w:rsidP="00E828D6">
      <w:pPr>
        <w:pStyle w:val="BasicParagraph"/>
        <w:suppressAutoHyphens/>
        <w:rPr>
          <w:rFonts w:ascii="Verdana" w:hAnsi="Verdana" w:cs="Arial"/>
          <w:color w:val="3C3C3B"/>
          <w:sz w:val="20"/>
          <w:szCs w:val="20"/>
        </w:rPr>
      </w:pPr>
    </w:p>
    <w:p w14:paraId="1BFD4D96" w14:textId="01EEEEFF" w:rsidR="0060797E" w:rsidRDefault="0060797E" w:rsidP="00E828D6">
      <w:pPr>
        <w:pStyle w:val="BasicParagraph"/>
        <w:suppressAutoHyphens/>
        <w:rPr>
          <w:rFonts w:ascii="Verdana" w:hAnsi="Verdana" w:cs="Arial"/>
          <w:color w:val="3C3C3B"/>
          <w:sz w:val="20"/>
          <w:szCs w:val="20"/>
        </w:rPr>
      </w:pPr>
    </w:p>
    <w:p w14:paraId="46536475" w14:textId="18CBB481" w:rsidR="0060797E" w:rsidRDefault="0060797E" w:rsidP="00E828D6">
      <w:pPr>
        <w:pStyle w:val="BasicParagraph"/>
        <w:suppressAutoHyphens/>
        <w:rPr>
          <w:rFonts w:ascii="Verdana" w:hAnsi="Verdana" w:cs="Arial"/>
          <w:color w:val="3C3C3B"/>
          <w:sz w:val="20"/>
          <w:szCs w:val="20"/>
        </w:rPr>
      </w:pPr>
    </w:p>
    <w:p w14:paraId="59D87195" w14:textId="729C14FC" w:rsidR="0060797E" w:rsidRDefault="0060797E" w:rsidP="00E828D6">
      <w:pPr>
        <w:pStyle w:val="BasicParagraph"/>
        <w:suppressAutoHyphens/>
        <w:rPr>
          <w:rFonts w:ascii="Verdana" w:hAnsi="Verdana" w:cs="Arial"/>
          <w:color w:val="3C3C3B"/>
          <w:sz w:val="20"/>
          <w:szCs w:val="20"/>
        </w:rPr>
      </w:pPr>
    </w:p>
    <w:p w14:paraId="68DDECFF" w14:textId="11CEBC08" w:rsidR="0060797E" w:rsidRDefault="0060797E" w:rsidP="00E828D6">
      <w:pPr>
        <w:pStyle w:val="BasicParagraph"/>
        <w:suppressAutoHyphens/>
        <w:rPr>
          <w:rFonts w:ascii="Verdana" w:hAnsi="Verdana" w:cs="Arial"/>
          <w:color w:val="3C3C3B"/>
          <w:sz w:val="20"/>
          <w:szCs w:val="20"/>
        </w:rPr>
      </w:pPr>
    </w:p>
    <w:p w14:paraId="43103BF9" w14:textId="21669C0E" w:rsidR="0060797E" w:rsidRDefault="0060797E" w:rsidP="00E828D6">
      <w:pPr>
        <w:pStyle w:val="BasicParagraph"/>
        <w:suppressAutoHyphens/>
        <w:rPr>
          <w:rFonts w:ascii="Verdana" w:hAnsi="Verdana" w:cs="Arial"/>
          <w:color w:val="3C3C3B"/>
          <w:sz w:val="20"/>
          <w:szCs w:val="20"/>
        </w:rPr>
      </w:pPr>
    </w:p>
    <w:p w14:paraId="787D8D04" w14:textId="2725CC8A" w:rsidR="0060797E" w:rsidRDefault="0060797E" w:rsidP="00E828D6">
      <w:pPr>
        <w:pStyle w:val="BasicParagraph"/>
        <w:suppressAutoHyphens/>
        <w:rPr>
          <w:rFonts w:ascii="Verdana" w:hAnsi="Verdana" w:cs="Arial"/>
          <w:color w:val="3C3C3B"/>
          <w:sz w:val="20"/>
          <w:szCs w:val="20"/>
        </w:rPr>
      </w:pPr>
    </w:p>
    <w:p w14:paraId="702494AF" w14:textId="75304548" w:rsidR="0060797E" w:rsidRDefault="0060797E" w:rsidP="00E828D6">
      <w:pPr>
        <w:pStyle w:val="BasicParagraph"/>
        <w:suppressAutoHyphens/>
        <w:rPr>
          <w:rFonts w:ascii="Verdana" w:hAnsi="Verdana" w:cs="Arial"/>
          <w:color w:val="3C3C3B"/>
          <w:sz w:val="20"/>
          <w:szCs w:val="20"/>
        </w:rPr>
      </w:pPr>
    </w:p>
    <w:p w14:paraId="57DED54A" w14:textId="5AF5D7B1" w:rsidR="0060797E" w:rsidRDefault="0060797E" w:rsidP="00E828D6">
      <w:pPr>
        <w:pStyle w:val="BasicParagraph"/>
        <w:suppressAutoHyphens/>
        <w:rPr>
          <w:rFonts w:ascii="Verdana" w:hAnsi="Verdana" w:cs="Arial"/>
          <w:color w:val="3C3C3B"/>
          <w:sz w:val="20"/>
          <w:szCs w:val="20"/>
        </w:rPr>
      </w:pPr>
    </w:p>
    <w:p w14:paraId="24608029" w14:textId="738178FC" w:rsidR="0060797E" w:rsidRDefault="0060797E" w:rsidP="00E828D6">
      <w:pPr>
        <w:pStyle w:val="BasicParagraph"/>
        <w:suppressAutoHyphens/>
        <w:rPr>
          <w:rFonts w:ascii="Verdana" w:hAnsi="Verdana" w:cs="Arial"/>
          <w:color w:val="3C3C3B"/>
          <w:sz w:val="20"/>
          <w:szCs w:val="20"/>
        </w:rPr>
      </w:pPr>
    </w:p>
    <w:p w14:paraId="490B5B00" w14:textId="6D00D32D" w:rsidR="0060797E" w:rsidRDefault="0060797E" w:rsidP="00E828D6">
      <w:pPr>
        <w:pStyle w:val="BasicParagraph"/>
        <w:suppressAutoHyphens/>
        <w:rPr>
          <w:rFonts w:ascii="Verdana" w:hAnsi="Verdana" w:cs="Arial"/>
          <w:color w:val="3C3C3B"/>
          <w:sz w:val="20"/>
          <w:szCs w:val="20"/>
        </w:rPr>
      </w:pPr>
    </w:p>
    <w:p w14:paraId="53B25823" w14:textId="1B98DB7E" w:rsidR="0060797E" w:rsidRDefault="0060797E" w:rsidP="00E828D6">
      <w:pPr>
        <w:pStyle w:val="BasicParagraph"/>
        <w:suppressAutoHyphens/>
        <w:rPr>
          <w:rFonts w:ascii="Verdana" w:hAnsi="Verdana" w:cs="Arial"/>
          <w:color w:val="3C3C3B"/>
          <w:sz w:val="20"/>
          <w:szCs w:val="20"/>
        </w:rPr>
      </w:pPr>
    </w:p>
    <w:p w14:paraId="52294238" w14:textId="71FE17E5" w:rsidR="0060797E" w:rsidRDefault="0060797E" w:rsidP="00E828D6">
      <w:pPr>
        <w:pStyle w:val="BasicParagraph"/>
        <w:suppressAutoHyphens/>
        <w:rPr>
          <w:rFonts w:ascii="Verdana" w:hAnsi="Verdana" w:cs="Arial"/>
          <w:color w:val="3C3C3B"/>
          <w:sz w:val="20"/>
          <w:szCs w:val="20"/>
        </w:rPr>
      </w:pPr>
    </w:p>
    <w:p w14:paraId="3BE79FCE" w14:textId="0711BB8B" w:rsidR="0060797E" w:rsidRDefault="0060797E" w:rsidP="00E828D6">
      <w:pPr>
        <w:pStyle w:val="BasicParagraph"/>
        <w:suppressAutoHyphens/>
        <w:rPr>
          <w:rFonts w:ascii="Verdana" w:hAnsi="Verdana" w:cs="Arial"/>
          <w:color w:val="3C3C3B"/>
          <w:sz w:val="20"/>
          <w:szCs w:val="20"/>
        </w:rPr>
      </w:pPr>
    </w:p>
    <w:p w14:paraId="4E54721A" w14:textId="4091B6DD" w:rsidR="0060797E" w:rsidRDefault="0060797E" w:rsidP="00E828D6">
      <w:pPr>
        <w:pStyle w:val="BasicParagraph"/>
        <w:suppressAutoHyphens/>
        <w:rPr>
          <w:rFonts w:ascii="Verdana" w:hAnsi="Verdana" w:cs="Arial"/>
          <w:color w:val="3C3C3B"/>
          <w:sz w:val="20"/>
          <w:szCs w:val="20"/>
        </w:rPr>
      </w:pPr>
    </w:p>
    <w:p w14:paraId="31210305" w14:textId="7A09CA8B" w:rsidR="0060797E" w:rsidRDefault="0060797E" w:rsidP="00E828D6">
      <w:pPr>
        <w:pStyle w:val="BasicParagraph"/>
        <w:suppressAutoHyphens/>
        <w:rPr>
          <w:rFonts w:ascii="Verdana" w:hAnsi="Verdana" w:cs="Arial"/>
          <w:color w:val="3C3C3B"/>
          <w:sz w:val="20"/>
          <w:szCs w:val="20"/>
        </w:rPr>
      </w:pPr>
    </w:p>
    <w:p w14:paraId="64AC3187" w14:textId="340DAA9B" w:rsidR="0060797E" w:rsidRDefault="0060797E" w:rsidP="00E828D6">
      <w:pPr>
        <w:pStyle w:val="BasicParagraph"/>
        <w:suppressAutoHyphens/>
        <w:rPr>
          <w:rFonts w:ascii="Verdana" w:hAnsi="Verdana" w:cs="Arial"/>
          <w:color w:val="3C3C3B"/>
          <w:sz w:val="20"/>
          <w:szCs w:val="20"/>
        </w:rPr>
      </w:pPr>
    </w:p>
    <w:p w14:paraId="0B56D746" w14:textId="2F654D11" w:rsidR="0060797E" w:rsidRDefault="0060797E" w:rsidP="00E828D6">
      <w:pPr>
        <w:pStyle w:val="BasicParagraph"/>
        <w:suppressAutoHyphens/>
        <w:rPr>
          <w:rFonts w:ascii="Verdana" w:hAnsi="Verdana" w:cs="Arial"/>
          <w:color w:val="3C3C3B"/>
          <w:sz w:val="20"/>
          <w:szCs w:val="20"/>
        </w:rPr>
      </w:pPr>
    </w:p>
    <w:p w14:paraId="5C4A4397" w14:textId="2F0DD7C2" w:rsidR="0060797E" w:rsidRDefault="0060797E" w:rsidP="00E828D6">
      <w:pPr>
        <w:pStyle w:val="BasicParagraph"/>
        <w:suppressAutoHyphens/>
        <w:rPr>
          <w:rFonts w:ascii="Verdana" w:hAnsi="Verdana" w:cs="Arial"/>
          <w:color w:val="3C3C3B"/>
          <w:sz w:val="20"/>
          <w:szCs w:val="20"/>
        </w:rPr>
      </w:pPr>
    </w:p>
    <w:p w14:paraId="411AF1E3" w14:textId="0A854EDF" w:rsidR="0060797E" w:rsidRDefault="0060797E" w:rsidP="00E828D6">
      <w:pPr>
        <w:pStyle w:val="BasicParagraph"/>
        <w:suppressAutoHyphens/>
        <w:rPr>
          <w:rFonts w:ascii="Verdana" w:hAnsi="Verdana" w:cs="Arial"/>
          <w:color w:val="3C3C3B"/>
          <w:sz w:val="20"/>
          <w:szCs w:val="20"/>
        </w:rPr>
      </w:pPr>
    </w:p>
    <w:p w14:paraId="372F6D4C" w14:textId="09F19CCE" w:rsidR="0060797E" w:rsidRDefault="0060797E" w:rsidP="00E828D6">
      <w:pPr>
        <w:pStyle w:val="BasicParagraph"/>
        <w:suppressAutoHyphens/>
        <w:rPr>
          <w:rFonts w:ascii="Verdana" w:hAnsi="Verdana" w:cs="Arial"/>
          <w:color w:val="3C3C3B"/>
          <w:sz w:val="20"/>
          <w:szCs w:val="20"/>
        </w:rPr>
      </w:pPr>
    </w:p>
    <w:p w14:paraId="15193207" w14:textId="3F566706" w:rsidR="0060797E" w:rsidRDefault="0060797E" w:rsidP="00E828D6">
      <w:pPr>
        <w:pStyle w:val="BasicParagraph"/>
        <w:suppressAutoHyphens/>
        <w:rPr>
          <w:rFonts w:ascii="Verdana" w:hAnsi="Verdana" w:cs="Arial"/>
          <w:color w:val="3C3C3B"/>
          <w:sz w:val="20"/>
          <w:szCs w:val="20"/>
        </w:rPr>
      </w:pPr>
    </w:p>
    <w:p w14:paraId="4E238188" w14:textId="2C6BE9B0" w:rsidR="0060797E" w:rsidRDefault="0060797E" w:rsidP="00E828D6">
      <w:pPr>
        <w:pStyle w:val="BasicParagraph"/>
        <w:suppressAutoHyphens/>
        <w:rPr>
          <w:rFonts w:ascii="Verdana" w:hAnsi="Verdana" w:cs="Arial"/>
          <w:color w:val="3C3C3B"/>
          <w:sz w:val="20"/>
          <w:szCs w:val="20"/>
        </w:rPr>
      </w:pPr>
    </w:p>
    <w:p w14:paraId="42F0C081" w14:textId="77777777" w:rsidR="0060797E" w:rsidRDefault="0060797E" w:rsidP="00E828D6">
      <w:pPr>
        <w:pStyle w:val="BasicParagraph"/>
        <w:suppressAutoHyphens/>
        <w:rPr>
          <w:rFonts w:ascii="Verdana" w:hAnsi="Verdana" w:cs="Arial"/>
          <w:color w:val="3C3C3B"/>
          <w:sz w:val="20"/>
          <w:szCs w:val="20"/>
        </w:rPr>
      </w:pPr>
    </w:p>
    <w:p w14:paraId="34EEC33B" w14:textId="77777777" w:rsidR="00A001EE" w:rsidRDefault="00A001EE" w:rsidP="00E828D6">
      <w:pPr>
        <w:pStyle w:val="BasicParagraph"/>
        <w:suppressAutoHyphens/>
        <w:rPr>
          <w:rFonts w:ascii="Verdana" w:hAnsi="Verdana" w:cs="Arial"/>
          <w:color w:val="3C3C3B"/>
          <w:sz w:val="20"/>
          <w:szCs w:val="20"/>
        </w:rPr>
      </w:pPr>
    </w:p>
    <w:p w14:paraId="002702D6" w14:textId="77777777" w:rsidR="0091232B" w:rsidRDefault="0091232B" w:rsidP="00A44F08">
      <w:pPr>
        <w:pStyle w:val="BasicParagraph"/>
        <w:suppressAutoHyphens/>
        <w:ind w:left="0" w:firstLine="0"/>
        <w:rPr>
          <w:rFonts w:ascii="Verdana" w:hAnsi="Verdana" w:cs="Arial"/>
          <w:b/>
          <w:bCs/>
          <w:color w:val="77328A"/>
          <w:sz w:val="36"/>
          <w:szCs w:val="36"/>
        </w:rPr>
      </w:pPr>
    </w:p>
    <w:p w14:paraId="73A48B47" w14:textId="77777777" w:rsidR="00705833" w:rsidRPr="00540106" w:rsidRDefault="00705833" w:rsidP="00331C61">
      <w:pPr>
        <w:pStyle w:val="BasicParagraph"/>
        <w:suppressAutoHyphens/>
        <w:jc w:val="center"/>
        <w:rPr>
          <w:rFonts w:ascii="Verdana" w:hAnsi="Verdana" w:cs="Arial"/>
          <w:b/>
          <w:bCs/>
          <w:color w:val="77328A"/>
          <w:sz w:val="36"/>
          <w:szCs w:val="36"/>
        </w:rPr>
      </w:pPr>
      <w:r w:rsidRPr="00540106">
        <w:rPr>
          <w:rFonts w:ascii="Verdana" w:hAnsi="Verdana" w:cs="Arial"/>
          <w:b/>
          <w:bCs/>
          <w:color w:val="77328A"/>
          <w:sz w:val="36"/>
          <w:szCs w:val="36"/>
        </w:rPr>
        <w:t>Co</w:t>
      </w:r>
      <w:r w:rsidR="0096459E" w:rsidRPr="00540106">
        <w:rPr>
          <w:rFonts w:ascii="Verdana" w:hAnsi="Verdana" w:cs="Arial"/>
          <w:b/>
          <w:bCs/>
          <w:color w:val="77328A"/>
          <w:sz w:val="36"/>
          <w:szCs w:val="36"/>
        </w:rPr>
        <w:t xml:space="preserve">ntact us </w:t>
      </w:r>
    </w:p>
    <w:p w14:paraId="0A802433" w14:textId="77777777" w:rsidR="00331C61" w:rsidRPr="00331C61" w:rsidRDefault="00331C61" w:rsidP="00331C61">
      <w:pPr>
        <w:pStyle w:val="BasicParagraph"/>
        <w:suppressAutoHyphens/>
        <w:jc w:val="center"/>
        <w:rPr>
          <w:rFonts w:ascii="Verdana" w:hAnsi="Verdana" w:cs="Arial"/>
          <w:b/>
          <w:color w:val="77328A"/>
          <w:sz w:val="36"/>
          <w:szCs w:val="36"/>
        </w:rPr>
      </w:pPr>
    </w:p>
    <w:p w14:paraId="70F96EB3" w14:textId="77777777" w:rsidR="00E828D6" w:rsidRDefault="00E828D6" w:rsidP="00CA69C2">
      <w:pPr>
        <w:jc w:val="center"/>
        <w:rPr>
          <w:rFonts w:ascii="Verdana" w:hAnsi="Verdana" w:cs="Arial"/>
          <w:b/>
          <w:color w:val="232120"/>
          <w:sz w:val="30"/>
          <w:szCs w:val="30"/>
        </w:rPr>
      </w:pPr>
      <w:r>
        <w:rPr>
          <w:rFonts w:ascii="Verdana" w:hAnsi="Verdana" w:cs="Arial"/>
          <w:b/>
          <w:color w:val="232120"/>
          <w:sz w:val="30"/>
          <w:szCs w:val="30"/>
        </w:rPr>
        <w:t>Rhyannon Blythe</w:t>
      </w:r>
    </w:p>
    <w:p w14:paraId="2C18AF62" w14:textId="77777777" w:rsidR="00331C61" w:rsidRDefault="00E828D6" w:rsidP="00CA69C2">
      <w:pPr>
        <w:jc w:val="center"/>
        <w:rPr>
          <w:rFonts w:ascii="Verdana" w:hAnsi="Verdana" w:cs="Arial"/>
          <w:b/>
          <w:color w:val="232120"/>
          <w:sz w:val="30"/>
          <w:szCs w:val="30"/>
        </w:rPr>
      </w:pPr>
      <w:r>
        <w:rPr>
          <w:rFonts w:ascii="Verdana" w:hAnsi="Verdana" w:cs="Arial"/>
          <w:b/>
          <w:color w:val="232120"/>
          <w:sz w:val="30"/>
          <w:szCs w:val="30"/>
        </w:rPr>
        <w:t xml:space="preserve">Director Policy, Legal, Research and Investigations </w:t>
      </w:r>
    </w:p>
    <w:p w14:paraId="4A0CFADF" w14:textId="77777777" w:rsidR="00CA69C2" w:rsidRPr="00331C61" w:rsidRDefault="00CA69C2" w:rsidP="00CA69C2">
      <w:pPr>
        <w:jc w:val="center"/>
        <w:rPr>
          <w:rFonts w:ascii="Verdana" w:hAnsi="Verdana" w:cs="Arial"/>
          <w:b/>
          <w:color w:val="232120"/>
          <w:sz w:val="30"/>
          <w:szCs w:val="30"/>
        </w:rPr>
      </w:pPr>
    </w:p>
    <w:p w14:paraId="6F0126A8" w14:textId="77777777" w:rsidR="00331C61" w:rsidRPr="00331C61" w:rsidRDefault="00331C61" w:rsidP="003B7D0E">
      <w:pPr>
        <w:jc w:val="center"/>
        <w:rPr>
          <w:rFonts w:ascii="Verdana" w:hAnsi="Verdana" w:cs="Arial"/>
          <w:b/>
          <w:color w:val="232120"/>
          <w:sz w:val="30"/>
          <w:szCs w:val="30"/>
        </w:rPr>
      </w:pPr>
    </w:p>
    <w:p w14:paraId="1A34FF95" w14:textId="77777777" w:rsidR="00331C61" w:rsidRPr="00331C61" w:rsidRDefault="00310F19" w:rsidP="00331C61">
      <w:pPr>
        <w:jc w:val="center"/>
        <w:rPr>
          <w:rFonts w:ascii="Verdana" w:hAnsi="Verdana" w:cs="Arial"/>
          <w:color w:val="232120"/>
          <w:sz w:val="28"/>
          <w:szCs w:val="28"/>
        </w:rPr>
      </w:pPr>
      <w:hyperlink r:id="rId12" w:history="1">
        <w:r w:rsidR="00331C61" w:rsidRPr="00331C61">
          <w:rPr>
            <w:rStyle w:val="Hyperlink"/>
            <w:rFonts w:ascii="Verdana" w:hAnsi="Verdana" w:cs="Arial"/>
            <w:color w:val="232120"/>
            <w:sz w:val="28"/>
            <w:szCs w:val="28"/>
            <w:u w:val="none"/>
            <w:lang w:val="en-US"/>
          </w:rPr>
          <w:t>www.nihrc.org</w:t>
        </w:r>
      </w:hyperlink>
      <w:r w:rsidR="00331C61" w:rsidRPr="00331C61">
        <w:rPr>
          <w:rFonts w:ascii="Verdana" w:hAnsi="Verdana" w:cs="Arial"/>
          <w:color w:val="232120"/>
          <w:sz w:val="28"/>
          <w:szCs w:val="28"/>
          <w:lang w:val="en-US"/>
        </w:rPr>
        <w:t xml:space="preserve">  |  </w:t>
      </w:r>
      <w:hyperlink r:id="rId13" w:history="1">
        <w:r w:rsidR="00331C61" w:rsidRPr="00331C61">
          <w:rPr>
            <w:rStyle w:val="Hyperlink"/>
            <w:rFonts w:ascii="Verdana" w:hAnsi="Verdana" w:cs="Arial"/>
            <w:color w:val="232120"/>
            <w:sz w:val="28"/>
            <w:szCs w:val="28"/>
            <w:u w:val="none"/>
            <w:lang w:val="en-US"/>
          </w:rPr>
          <w:t>info@nihrc.org</w:t>
        </w:r>
      </w:hyperlink>
      <w:r w:rsidR="00331C61" w:rsidRPr="00331C61">
        <w:rPr>
          <w:rFonts w:ascii="Verdana" w:hAnsi="Verdana" w:cs="Arial"/>
          <w:color w:val="232120"/>
          <w:sz w:val="28"/>
          <w:szCs w:val="28"/>
          <w:lang w:val="en-US"/>
        </w:rPr>
        <w:t xml:space="preserve">  |  +44 (0)28 9024 3987</w:t>
      </w:r>
    </w:p>
    <w:p w14:paraId="7E3DB70A" w14:textId="77777777" w:rsidR="00F56C78" w:rsidRPr="00331C61" w:rsidRDefault="00D16532" w:rsidP="00331C61">
      <w:pPr>
        <w:jc w:val="center"/>
        <w:rPr>
          <w:rFonts w:ascii="Verdana" w:hAnsi="Verdana" w:cs="Arial"/>
          <w:color w:val="232120"/>
          <w:sz w:val="28"/>
          <w:szCs w:val="28"/>
        </w:rPr>
      </w:pPr>
      <w:r>
        <w:rPr>
          <w:rFonts w:ascii="Verdana" w:hAnsi="Verdana" w:cs="Arial"/>
          <w:color w:val="232120"/>
          <w:sz w:val="28"/>
          <w:szCs w:val="28"/>
          <w:lang w:val="en-US"/>
        </w:rPr>
        <w:t>4</w:t>
      </w:r>
      <w:r w:rsidRPr="00D16532">
        <w:rPr>
          <w:rFonts w:ascii="Verdana" w:hAnsi="Verdana" w:cs="Arial"/>
          <w:color w:val="232120"/>
          <w:sz w:val="28"/>
          <w:szCs w:val="28"/>
          <w:vertAlign w:val="superscript"/>
          <w:lang w:val="en-US"/>
        </w:rPr>
        <w:t>th</w:t>
      </w:r>
      <w:r>
        <w:rPr>
          <w:rFonts w:ascii="Verdana" w:hAnsi="Verdana" w:cs="Arial"/>
          <w:color w:val="232120"/>
          <w:sz w:val="28"/>
          <w:szCs w:val="28"/>
          <w:lang w:val="en-US"/>
        </w:rPr>
        <w:t xml:space="preserve"> Floor, Alfred House, 19-21 Alfred Street, Belfast, BT2 8ED</w:t>
      </w:r>
    </w:p>
    <w:p w14:paraId="20A3F884" w14:textId="77777777" w:rsidR="00F56C78" w:rsidRPr="00331C61" w:rsidRDefault="00F56C78" w:rsidP="003B7D0E">
      <w:pPr>
        <w:jc w:val="center"/>
        <w:rPr>
          <w:rFonts w:ascii="Verdana" w:hAnsi="Verdana" w:cs="Arial"/>
          <w:b/>
          <w:color w:val="232120"/>
          <w:sz w:val="28"/>
          <w:szCs w:val="28"/>
        </w:rPr>
      </w:pPr>
    </w:p>
    <w:p w14:paraId="4D81996C" w14:textId="77777777" w:rsidR="00F56C78" w:rsidRPr="00331C61" w:rsidRDefault="00F56C78" w:rsidP="003B7D0E">
      <w:pPr>
        <w:jc w:val="center"/>
        <w:rPr>
          <w:rFonts w:ascii="Verdana" w:hAnsi="Verdana" w:cs="Arial"/>
          <w:color w:val="232120"/>
          <w:sz w:val="20"/>
          <w:szCs w:val="20"/>
        </w:rPr>
      </w:pPr>
    </w:p>
    <w:p w14:paraId="7FE7AA48" w14:textId="77777777" w:rsidR="00705833" w:rsidRPr="00331C61" w:rsidRDefault="00F56C78" w:rsidP="003B7D0E">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10751AF9" wp14:editId="77986C1D">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331C61" w:rsidSect="003B7D0E">
      <w:footerReference w:type="default" r:id="rId15"/>
      <w:footerReference w:type="first" r:id="rId16"/>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8C116" w14:textId="77777777" w:rsidR="00D41305" w:rsidRDefault="00D41305" w:rsidP="00962B2B">
      <w:r>
        <w:separator/>
      </w:r>
    </w:p>
  </w:endnote>
  <w:endnote w:type="continuationSeparator" w:id="0">
    <w:p w14:paraId="1AA6EF09" w14:textId="77777777" w:rsidR="00D41305" w:rsidRDefault="00D41305" w:rsidP="0096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4D3C8" w14:textId="77777777" w:rsidR="006253AF" w:rsidRDefault="006253AF" w:rsidP="00656ECD">
    <w:pPr>
      <w:pStyle w:val="Footer"/>
      <w:jc w:val="right"/>
      <w:rPr>
        <w:rStyle w:val="PageNumber"/>
        <w:rFonts w:ascii="Arial" w:hAnsi="Arial" w:cs="Arial"/>
        <w:b/>
        <w:sz w:val="16"/>
        <w:szCs w:val="16"/>
      </w:rPr>
    </w:pPr>
  </w:p>
  <w:p w14:paraId="453D7706" w14:textId="36FA8149" w:rsidR="006253AF" w:rsidRPr="007569C1" w:rsidRDefault="006253AF" w:rsidP="00656ECD">
    <w:pPr>
      <w:pStyle w:val="Footer"/>
      <w:jc w:val="right"/>
      <w:rPr>
        <w:rFonts w:ascii="Arial" w:hAnsi="Arial" w:cs="Arial"/>
        <w:b/>
        <w:color w:val="77328A"/>
        <w:sz w:val="16"/>
        <w:szCs w:val="16"/>
      </w:rPr>
    </w:pPr>
    <w:r w:rsidRPr="007569C1">
      <w:rPr>
        <w:rStyle w:val="PageNumber"/>
        <w:rFonts w:ascii="Arial" w:hAnsi="Arial" w:cs="Arial"/>
        <w:b/>
        <w:color w:val="77328A"/>
        <w:sz w:val="16"/>
        <w:szCs w:val="16"/>
      </w:rPr>
      <w:fldChar w:fldCharType="begin"/>
    </w:r>
    <w:r w:rsidRPr="007569C1">
      <w:rPr>
        <w:rStyle w:val="PageNumber"/>
        <w:rFonts w:ascii="Arial" w:hAnsi="Arial" w:cs="Arial"/>
        <w:b/>
        <w:color w:val="77328A"/>
        <w:sz w:val="16"/>
        <w:szCs w:val="16"/>
      </w:rPr>
      <w:instrText xml:space="preserve"> PAGE </w:instrText>
    </w:r>
    <w:r w:rsidRPr="007569C1">
      <w:rPr>
        <w:rStyle w:val="PageNumber"/>
        <w:rFonts w:ascii="Arial" w:hAnsi="Arial" w:cs="Arial"/>
        <w:b/>
        <w:color w:val="77328A"/>
        <w:sz w:val="16"/>
        <w:szCs w:val="16"/>
      </w:rPr>
      <w:fldChar w:fldCharType="separate"/>
    </w:r>
    <w:r w:rsidR="00310F19">
      <w:rPr>
        <w:rStyle w:val="PageNumber"/>
        <w:rFonts w:ascii="Arial" w:hAnsi="Arial" w:cs="Arial"/>
        <w:b/>
        <w:noProof/>
        <w:color w:val="77328A"/>
        <w:sz w:val="16"/>
        <w:szCs w:val="16"/>
      </w:rPr>
      <w:t>21</w:t>
    </w:r>
    <w:r w:rsidRPr="007569C1">
      <w:rPr>
        <w:rStyle w:val="PageNumber"/>
        <w:rFonts w:ascii="Arial" w:hAnsi="Arial" w:cs="Arial"/>
        <w:b/>
        <w:color w:val="77328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90E31" w14:textId="77777777" w:rsidR="006253AF" w:rsidRDefault="006253AF" w:rsidP="00046705">
    <w:pPr>
      <w:pStyle w:val="Footer"/>
      <w:jc w:val="right"/>
      <w:rPr>
        <w:rStyle w:val="PageNumber"/>
        <w:rFonts w:ascii="Arial" w:hAnsi="Arial" w:cs="Arial"/>
        <w:b/>
        <w:sz w:val="16"/>
        <w:szCs w:val="16"/>
      </w:rPr>
    </w:pPr>
  </w:p>
  <w:p w14:paraId="62227C63" w14:textId="77777777" w:rsidR="006253AF" w:rsidRPr="00D12EF8" w:rsidRDefault="006253A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BF5DC" w14:textId="77777777" w:rsidR="00D41305" w:rsidRDefault="00D41305" w:rsidP="00B96D34">
      <w:r>
        <w:continuationSeparator/>
      </w:r>
    </w:p>
    <w:p w14:paraId="2A43CCD8" w14:textId="77777777" w:rsidR="00D41305" w:rsidRPr="00B96D34" w:rsidRDefault="00D41305" w:rsidP="00B96D34">
      <w:pPr>
        <w:pStyle w:val="Footer"/>
      </w:pPr>
    </w:p>
  </w:footnote>
  <w:footnote w:type="continuationSeparator" w:id="0">
    <w:p w14:paraId="1E71519F" w14:textId="77777777" w:rsidR="00D41305" w:rsidRDefault="00D41305" w:rsidP="00962B2B">
      <w:r>
        <w:continuationSeparator/>
      </w:r>
    </w:p>
  </w:footnote>
  <w:footnote w:type="continuationNotice" w:id="1">
    <w:p w14:paraId="61BD5EBF" w14:textId="77777777" w:rsidR="00D41305" w:rsidRDefault="00D41305"/>
  </w:footnote>
  <w:footnote w:id="2">
    <w:p w14:paraId="451FBA71" w14:textId="77777777" w:rsidR="006253AF" w:rsidRPr="00845EB8" w:rsidRDefault="006253AF" w:rsidP="0053335A">
      <w:pPr>
        <w:pStyle w:val="FootnoteText"/>
        <w:ind w:left="0" w:firstLine="0"/>
        <w:rPr>
          <w:rFonts w:ascii="Verdana" w:hAnsi="Verdana" w:cs="Times New Roman"/>
          <w:color w:val="77328A"/>
          <w:sz w:val="16"/>
          <w:szCs w:val="16"/>
        </w:rPr>
      </w:pPr>
      <w:r w:rsidRPr="00845EB8">
        <w:rPr>
          <w:rStyle w:val="FootnoteReference"/>
          <w:rFonts w:ascii="Verdana" w:hAnsi="Verdana"/>
          <w:color w:val="77328A"/>
          <w:sz w:val="16"/>
          <w:szCs w:val="16"/>
        </w:rPr>
        <w:footnoteRef/>
      </w:r>
      <w:r w:rsidRPr="00845EB8">
        <w:rPr>
          <w:rFonts w:ascii="Verdana" w:hAnsi="Verdana"/>
          <w:color w:val="77328A"/>
          <w:sz w:val="16"/>
          <w:szCs w:val="16"/>
        </w:rPr>
        <w:t xml:space="preserve"> Ratified by the UK 1951. Further guidance is also taken from the body of case law from the European Court of Human</w:t>
      </w:r>
    </w:p>
    <w:p w14:paraId="6D405B90" w14:textId="77777777" w:rsidR="006253AF" w:rsidRPr="00845EB8" w:rsidRDefault="006253AF" w:rsidP="0053335A">
      <w:pPr>
        <w:pStyle w:val="FootnoteText"/>
        <w:ind w:left="0" w:firstLine="0"/>
        <w:rPr>
          <w:rFonts w:ascii="Verdana" w:hAnsi="Verdana"/>
          <w:color w:val="77328A"/>
          <w:sz w:val="16"/>
          <w:szCs w:val="16"/>
        </w:rPr>
      </w:pPr>
      <w:r w:rsidRPr="00845EB8">
        <w:rPr>
          <w:rFonts w:ascii="Verdana" w:hAnsi="Verdana"/>
          <w:color w:val="77328A"/>
          <w:sz w:val="16"/>
          <w:szCs w:val="16"/>
        </w:rPr>
        <w:t>Rights (ECtHR).</w:t>
      </w:r>
    </w:p>
  </w:footnote>
  <w:footnote w:id="3">
    <w:p w14:paraId="59058D56" w14:textId="77777777" w:rsidR="006253AF" w:rsidRPr="00845EB8" w:rsidRDefault="006253AF" w:rsidP="0053335A">
      <w:pPr>
        <w:pStyle w:val="FootnoteText"/>
        <w:ind w:left="0" w:firstLine="0"/>
        <w:rPr>
          <w:rFonts w:ascii="Verdana" w:hAnsi="Verdana"/>
          <w:color w:val="77328A"/>
          <w:sz w:val="16"/>
          <w:szCs w:val="16"/>
        </w:rPr>
      </w:pPr>
      <w:r w:rsidRPr="00845EB8">
        <w:rPr>
          <w:rStyle w:val="FootnoteReference"/>
          <w:rFonts w:ascii="Verdana" w:hAnsi="Verdana"/>
          <w:color w:val="77328A"/>
          <w:sz w:val="16"/>
          <w:szCs w:val="16"/>
        </w:rPr>
        <w:footnoteRef/>
      </w:r>
      <w:r w:rsidRPr="00845EB8">
        <w:rPr>
          <w:rFonts w:ascii="Verdana" w:hAnsi="Verdana"/>
          <w:color w:val="77328A"/>
          <w:sz w:val="16"/>
          <w:szCs w:val="16"/>
        </w:rPr>
        <w:t xml:space="preserve"> Council of Europe Convention on preventing and combating violence against women and domestic violence (Istanbul Convention), 11 April 2011.</w:t>
      </w:r>
    </w:p>
  </w:footnote>
  <w:footnote w:id="4">
    <w:p w14:paraId="450BF6FB" w14:textId="77777777" w:rsidR="006253AF" w:rsidRPr="00845EB8" w:rsidRDefault="006253AF" w:rsidP="0053335A">
      <w:pPr>
        <w:pStyle w:val="FootnoteText"/>
        <w:ind w:left="0" w:firstLine="0"/>
        <w:rPr>
          <w:rFonts w:ascii="Verdana" w:hAnsi="Verdana"/>
          <w:color w:val="77328A"/>
          <w:sz w:val="16"/>
          <w:szCs w:val="16"/>
        </w:rPr>
      </w:pPr>
      <w:r w:rsidRPr="00845EB8">
        <w:rPr>
          <w:rStyle w:val="FootnoteReference"/>
          <w:rFonts w:ascii="Verdana" w:hAnsi="Verdana"/>
          <w:color w:val="77328A"/>
          <w:sz w:val="16"/>
          <w:szCs w:val="16"/>
        </w:rPr>
        <w:footnoteRef/>
      </w:r>
      <w:r w:rsidRPr="00845EB8">
        <w:rPr>
          <w:rFonts w:ascii="Verdana" w:hAnsi="Verdana"/>
          <w:color w:val="77328A"/>
          <w:sz w:val="16"/>
          <w:szCs w:val="16"/>
        </w:rPr>
        <w:t xml:space="preserve"> Ratified by the UK 1966. </w:t>
      </w:r>
    </w:p>
  </w:footnote>
  <w:footnote w:id="5">
    <w:p w14:paraId="770ED3BF" w14:textId="77777777" w:rsidR="006253AF" w:rsidRPr="00845EB8" w:rsidRDefault="006253AF" w:rsidP="0053335A">
      <w:pPr>
        <w:pStyle w:val="FootnoteText"/>
        <w:ind w:left="0" w:firstLine="0"/>
        <w:rPr>
          <w:rFonts w:ascii="Verdana" w:hAnsi="Verdana"/>
          <w:color w:val="77328A"/>
          <w:sz w:val="16"/>
          <w:szCs w:val="16"/>
        </w:rPr>
      </w:pPr>
      <w:r w:rsidRPr="00845EB8">
        <w:rPr>
          <w:rStyle w:val="FootnoteReference"/>
          <w:rFonts w:ascii="Verdana" w:hAnsi="Verdana"/>
          <w:color w:val="77328A"/>
          <w:sz w:val="16"/>
          <w:szCs w:val="16"/>
        </w:rPr>
        <w:footnoteRef/>
      </w:r>
      <w:r w:rsidRPr="00845EB8">
        <w:rPr>
          <w:rFonts w:ascii="Verdana" w:hAnsi="Verdana"/>
          <w:color w:val="77328A"/>
          <w:sz w:val="16"/>
          <w:szCs w:val="16"/>
        </w:rPr>
        <w:t xml:space="preserve"> Ratified by the UK 1986.</w:t>
      </w:r>
    </w:p>
  </w:footnote>
  <w:footnote w:id="6">
    <w:p w14:paraId="0EDE3B0E" w14:textId="77777777" w:rsidR="006253AF" w:rsidRPr="00845EB8" w:rsidRDefault="006253AF" w:rsidP="0053335A">
      <w:pPr>
        <w:pStyle w:val="FootnoteText"/>
        <w:ind w:left="0" w:firstLine="0"/>
        <w:rPr>
          <w:rFonts w:ascii="Verdana" w:hAnsi="Verdana"/>
          <w:color w:val="77328A"/>
          <w:sz w:val="16"/>
          <w:szCs w:val="16"/>
        </w:rPr>
      </w:pPr>
      <w:r w:rsidRPr="00845EB8">
        <w:rPr>
          <w:rStyle w:val="FootnoteReference"/>
          <w:rFonts w:ascii="Verdana" w:hAnsi="Verdana"/>
          <w:color w:val="77328A"/>
          <w:sz w:val="16"/>
          <w:szCs w:val="16"/>
        </w:rPr>
        <w:footnoteRef/>
      </w:r>
      <w:r w:rsidRPr="00845EB8">
        <w:rPr>
          <w:rFonts w:ascii="Verdana" w:hAnsi="Verdana"/>
          <w:color w:val="77328A"/>
          <w:sz w:val="16"/>
          <w:szCs w:val="16"/>
        </w:rPr>
        <w:t xml:space="preserve"> Ratified by the UK 1988. </w:t>
      </w:r>
    </w:p>
  </w:footnote>
  <w:footnote w:id="7">
    <w:p w14:paraId="7E8C3484" w14:textId="77777777" w:rsidR="006253AF" w:rsidRPr="00845EB8" w:rsidRDefault="006253AF" w:rsidP="0053335A">
      <w:pPr>
        <w:pStyle w:val="FootnoteText"/>
        <w:ind w:left="0" w:firstLine="0"/>
        <w:rPr>
          <w:rFonts w:ascii="Verdana" w:hAnsi="Verdana"/>
          <w:color w:val="77328A"/>
          <w:sz w:val="16"/>
          <w:szCs w:val="16"/>
        </w:rPr>
      </w:pPr>
      <w:r w:rsidRPr="00845EB8">
        <w:rPr>
          <w:rStyle w:val="FootnoteReference"/>
          <w:rFonts w:ascii="Verdana" w:hAnsi="Verdana"/>
          <w:color w:val="77328A"/>
          <w:sz w:val="16"/>
          <w:szCs w:val="16"/>
        </w:rPr>
        <w:footnoteRef/>
      </w:r>
      <w:r w:rsidRPr="00845EB8">
        <w:rPr>
          <w:rFonts w:ascii="Verdana" w:hAnsi="Verdana"/>
          <w:color w:val="77328A"/>
          <w:sz w:val="16"/>
          <w:szCs w:val="16"/>
        </w:rPr>
        <w:t xml:space="preserve"> Ratified by the UK 1989.</w:t>
      </w:r>
    </w:p>
  </w:footnote>
  <w:footnote w:id="8">
    <w:p w14:paraId="63C7A124" w14:textId="77777777" w:rsidR="006253AF" w:rsidRPr="006549A6" w:rsidRDefault="006253AF" w:rsidP="0053335A">
      <w:pPr>
        <w:pStyle w:val="FootnoteText"/>
        <w:ind w:left="0" w:firstLine="0"/>
        <w:rPr>
          <w:rFonts w:ascii="Verdana" w:hAnsi="Verdana"/>
          <w:color w:val="7030A0"/>
          <w:sz w:val="16"/>
          <w:szCs w:val="16"/>
        </w:rPr>
      </w:pPr>
      <w:r w:rsidRPr="00845EB8">
        <w:rPr>
          <w:rStyle w:val="FootnoteReference"/>
          <w:rFonts w:ascii="Verdana" w:hAnsi="Verdana"/>
          <w:color w:val="77328A"/>
          <w:sz w:val="16"/>
          <w:szCs w:val="16"/>
        </w:rPr>
        <w:footnoteRef/>
      </w:r>
      <w:r w:rsidRPr="00845EB8">
        <w:rPr>
          <w:rFonts w:ascii="Verdana" w:hAnsi="Verdana"/>
          <w:color w:val="77328A"/>
          <w:sz w:val="16"/>
          <w:szCs w:val="16"/>
        </w:rPr>
        <w:t xml:space="preserve"> Ratified by the UK in 2009.</w:t>
      </w:r>
    </w:p>
  </w:footnote>
  <w:footnote w:id="9">
    <w:p w14:paraId="7C7DBF36" w14:textId="77777777" w:rsidR="006253AF" w:rsidRPr="00845EB8" w:rsidRDefault="006253AF" w:rsidP="00231F2B">
      <w:pPr>
        <w:pStyle w:val="FootnoteText"/>
        <w:ind w:left="0" w:firstLine="0"/>
        <w:rPr>
          <w:rFonts w:ascii="Verdana" w:hAnsi="Verdana"/>
          <w:color w:val="77328A"/>
          <w:sz w:val="16"/>
          <w:szCs w:val="16"/>
        </w:rPr>
      </w:pPr>
      <w:r w:rsidRPr="00845EB8">
        <w:rPr>
          <w:rStyle w:val="FootnoteReference"/>
          <w:rFonts w:ascii="Verdana" w:hAnsi="Verdana"/>
          <w:color w:val="77328A"/>
          <w:sz w:val="16"/>
          <w:szCs w:val="16"/>
        </w:rPr>
        <w:footnoteRef/>
      </w:r>
      <w:r w:rsidRPr="00845EB8">
        <w:rPr>
          <w:rFonts w:ascii="Verdana" w:hAnsi="Verdana"/>
          <w:color w:val="77328A"/>
          <w:sz w:val="16"/>
          <w:szCs w:val="16"/>
        </w:rPr>
        <w:t xml:space="preserve"> CAT/C/GBR/CO/6, ‘UN CAT Committee Concluding Observations on the Sixth Periodic Report of the UK of Great Britain and NI’, 7 June 2019.</w:t>
      </w:r>
    </w:p>
  </w:footnote>
  <w:footnote w:id="10">
    <w:p w14:paraId="7F1D7259" w14:textId="77777777" w:rsidR="006253AF" w:rsidRPr="00845EB8" w:rsidRDefault="006253AF" w:rsidP="00231F2B">
      <w:pPr>
        <w:pStyle w:val="FootnoteText"/>
        <w:ind w:left="0" w:firstLine="0"/>
        <w:rPr>
          <w:rFonts w:ascii="Verdana" w:hAnsi="Verdana"/>
          <w:color w:val="77328A"/>
          <w:sz w:val="16"/>
          <w:szCs w:val="16"/>
        </w:rPr>
      </w:pPr>
      <w:r w:rsidRPr="00845EB8">
        <w:rPr>
          <w:rStyle w:val="FootnoteReference"/>
          <w:rFonts w:ascii="Verdana" w:hAnsi="Verdana"/>
          <w:color w:val="77328A"/>
          <w:sz w:val="16"/>
          <w:szCs w:val="16"/>
        </w:rPr>
        <w:footnoteRef/>
      </w:r>
      <w:r w:rsidRPr="00845EB8">
        <w:rPr>
          <w:rFonts w:ascii="Verdana" w:hAnsi="Verdana"/>
          <w:color w:val="77328A"/>
          <w:sz w:val="16"/>
          <w:szCs w:val="16"/>
        </w:rPr>
        <w:t xml:space="preserve"> CEDAW/C/GBR/CO/8, ‘UN CEDAW Committee Concluding Observations on the UK Eighth Periodic Report’, 8 March 2019.</w:t>
      </w:r>
    </w:p>
  </w:footnote>
  <w:footnote w:id="11">
    <w:p w14:paraId="774607ED" w14:textId="7A064015" w:rsidR="006253AF" w:rsidRPr="00845EB8" w:rsidRDefault="006253AF" w:rsidP="00231F2B">
      <w:pPr>
        <w:pStyle w:val="FootnoteText"/>
        <w:ind w:left="0" w:firstLine="0"/>
        <w:rPr>
          <w:rFonts w:ascii="Verdana" w:hAnsi="Verdana"/>
          <w:color w:val="77328A"/>
          <w:sz w:val="16"/>
          <w:szCs w:val="16"/>
        </w:rPr>
      </w:pPr>
      <w:r w:rsidRPr="00845EB8">
        <w:rPr>
          <w:rStyle w:val="FootnoteReference"/>
          <w:rFonts w:ascii="Verdana" w:hAnsi="Verdana"/>
          <w:color w:val="77328A"/>
          <w:sz w:val="16"/>
          <w:szCs w:val="16"/>
        </w:rPr>
        <w:footnoteRef/>
      </w:r>
      <w:r w:rsidRPr="00845EB8">
        <w:rPr>
          <w:rFonts w:ascii="Verdana" w:hAnsi="Verdana"/>
          <w:color w:val="77328A"/>
          <w:sz w:val="16"/>
          <w:szCs w:val="16"/>
        </w:rPr>
        <w:t xml:space="preserve"> CEDAW/C/GC/35, ‘UN CEDAW Committee General Recommendation No 35:Gender-based V</w:t>
      </w:r>
      <w:r w:rsidR="00DF5375" w:rsidRPr="00845EB8">
        <w:rPr>
          <w:rFonts w:ascii="Verdana" w:hAnsi="Verdana"/>
          <w:color w:val="77328A"/>
          <w:sz w:val="16"/>
          <w:szCs w:val="16"/>
        </w:rPr>
        <w:t xml:space="preserve">iolence </w:t>
      </w:r>
      <w:r w:rsidRPr="00845EB8">
        <w:rPr>
          <w:rFonts w:ascii="Verdana" w:hAnsi="Verdana"/>
          <w:color w:val="77328A"/>
          <w:sz w:val="16"/>
          <w:szCs w:val="16"/>
        </w:rPr>
        <w:t xml:space="preserve">against Women’, 26 July 2017. </w:t>
      </w:r>
    </w:p>
  </w:footnote>
  <w:footnote w:id="12">
    <w:p w14:paraId="54AAFE71" w14:textId="77777777" w:rsidR="006253AF" w:rsidRPr="00845EB8" w:rsidRDefault="006253AF" w:rsidP="00231F2B">
      <w:pPr>
        <w:pStyle w:val="FootnoteText"/>
        <w:ind w:left="0" w:firstLine="0"/>
        <w:rPr>
          <w:rFonts w:ascii="Verdana" w:hAnsi="Verdana"/>
          <w:color w:val="77328A"/>
          <w:sz w:val="16"/>
          <w:szCs w:val="16"/>
        </w:rPr>
      </w:pPr>
      <w:r w:rsidRPr="00845EB8">
        <w:rPr>
          <w:rStyle w:val="FootnoteReference"/>
          <w:rFonts w:ascii="Verdana" w:hAnsi="Verdana"/>
          <w:color w:val="77328A"/>
          <w:sz w:val="16"/>
          <w:szCs w:val="16"/>
        </w:rPr>
        <w:footnoteRef/>
      </w:r>
      <w:r w:rsidRPr="00845EB8">
        <w:rPr>
          <w:rFonts w:ascii="Verdana" w:hAnsi="Verdana"/>
          <w:color w:val="77328A"/>
          <w:sz w:val="16"/>
          <w:szCs w:val="16"/>
        </w:rPr>
        <w:t xml:space="preserve"> CCPR/C/GC/32, ‘UN Human Rights Committee General Comment No 32: Article 14 on the Right to Equality Before the Courts and Tribunals and to a Fair Trial’, 23 August 2007, at para 29.</w:t>
      </w:r>
    </w:p>
  </w:footnote>
  <w:footnote w:id="13">
    <w:p w14:paraId="3EF00BE5" w14:textId="77777777" w:rsidR="006253AF" w:rsidRPr="00845EB8" w:rsidRDefault="006253AF" w:rsidP="00231F2B">
      <w:pPr>
        <w:pStyle w:val="FootnoteText"/>
        <w:ind w:left="0" w:firstLine="0"/>
        <w:rPr>
          <w:rFonts w:ascii="Verdana" w:hAnsi="Verdana"/>
          <w:color w:val="77328A"/>
          <w:sz w:val="16"/>
          <w:szCs w:val="16"/>
        </w:rPr>
      </w:pPr>
      <w:r w:rsidRPr="00845EB8">
        <w:rPr>
          <w:rStyle w:val="FootnoteReference"/>
          <w:rFonts w:ascii="Verdana" w:hAnsi="Verdana"/>
          <w:color w:val="77328A"/>
          <w:sz w:val="16"/>
          <w:szCs w:val="16"/>
        </w:rPr>
        <w:footnoteRef/>
      </w:r>
      <w:r w:rsidRPr="00845EB8">
        <w:rPr>
          <w:rFonts w:ascii="Verdana" w:hAnsi="Verdana"/>
          <w:color w:val="77328A"/>
          <w:sz w:val="16"/>
          <w:szCs w:val="16"/>
        </w:rPr>
        <w:t xml:space="preserve"> UN General Assembly, ‘Declaration on the Elimination of Violence against Women’, 20 December 1993.</w:t>
      </w:r>
    </w:p>
  </w:footnote>
  <w:footnote w:id="14">
    <w:p w14:paraId="776138E2" w14:textId="11106A4B" w:rsidR="0052668C" w:rsidRPr="0060797E" w:rsidRDefault="0052668C" w:rsidP="0060797E">
      <w:pPr>
        <w:pStyle w:val="FootnoteText"/>
        <w:ind w:left="0" w:firstLine="0"/>
        <w:rPr>
          <w:rFonts w:ascii="Verdana" w:hAnsi="Verdana"/>
          <w:sz w:val="16"/>
          <w:szCs w:val="16"/>
        </w:rPr>
      </w:pPr>
      <w:r w:rsidRPr="00845EB8">
        <w:rPr>
          <w:rStyle w:val="FootnoteReference"/>
          <w:rFonts w:ascii="Verdana" w:hAnsi="Verdana"/>
          <w:color w:val="77328A"/>
          <w:sz w:val="16"/>
          <w:szCs w:val="16"/>
        </w:rPr>
        <w:footnoteRef/>
      </w:r>
      <w:r w:rsidRPr="00845EB8">
        <w:rPr>
          <w:rFonts w:ascii="Verdana" w:hAnsi="Verdana"/>
          <w:color w:val="77328A"/>
          <w:sz w:val="16"/>
          <w:szCs w:val="16"/>
        </w:rPr>
        <w:t xml:space="preserve"> </w:t>
      </w:r>
      <w:r w:rsidR="0060797E" w:rsidRPr="00845EB8">
        <w:rPr>
          <w:rFonts w:ascii="Verdana" w:hAnsi="Verdana"/>
          <w:color w:val="77328A"/>
          <w:sz w:val="16"/>
          <w:szCs w:val="16"/>
        </w:rPr>
        <w:t>Police Service of Northern Ireland, ‘Trends in Domestic Abuse Incidents and Crimes Recorded by the Police in Northern Ireland 2004/05 to 2019/20 Annual Bulletin’ (PSNI, 2020).</w:t>
      </w:r>
    </w:p>
  </w:footnote>
  <w:footnote w:id="15">
    <w:p w14:paraId="4CBF710E" w14:textId="192AFB0F" w:rsidR="0052668C" w:rsidRPr="0052668C" w:rsidRDefault="0052668C" w:rsidP="0052668C">
      <w:pPr>
        <w:pStyle w:val="FootnoteText"/>
        <w:ind w:left="0" w:firstLine="0"/>
        <w:rPr>
          <w:rFonts w:ascii="Verdana" w:hAnsi="Verdana"/>
          <w:sz w:val="16"/>
          <w:szCs w:val="16"/>
        </w:rPr>
      </w:pPr>
      <w:r w:rsidRPr="00845EB8">
        <w:rPr>
          <w:rStyle w:val="FootnoteReference"/>
          <w:rFonts w:ascii="Verdana" w:hAnsi="Verdana"/>
          <w:color w:val="77328A"/>
          <w:sz w:val="16"/>
          <w:szCs w:val="16"/>
        </w:rPr>
        <w:footnoteRef/>
      </w:r>
      <w:r w:rsidRPr="00845EB8">
        <w:rPr>
          <w:rFonts w:ascii="Verdana" w:hAnsi="Verdana"/>
          <w:color w:val="77328A"/>
          <w:sz w:val="16"/>
          <w:szCs w:val="16"/>
        </w:rPr>
        <w:t xml:space="preserve"> Police Service of Northern Ireland, ‘Trends in Domestic Abuse Incidents and Crimes Recorded by the Police in Northern Ireland 2004/05 to 2019/20 Annual Bulletin</w:t>
      </w:r>
      <w:r w:rsidR="0060797E" w:rsidRPr="00845EB8">
        <w:rPr>
          <w:rFonts w:ascii="Verdana" w:hAnsi="Verdana"/>
          <w:color w:val="77328A"/>
          <w:sz w:val="16"/>
          <w:szCs w:val="16"/>
        </w:rPr>
        <w:t>’</w:t>
      </w:r>
      <w:r w:rsidRPr="00845EB8">
        <w:rPr>
          <w:rFonts w:ascii="Verdana" w:hAnsi="Verdana"/>
          <w:color w:val="77328A"/>
          <w:sz w:val="16"/>
          <w:szCs w:val="16"/>
        </w:rPr>
        <w:t xml:space="preserve"> (PSNI, 2020).</w:t>
      </w:r>
    </w:p>
  </w:footnote>
  <w:footnote w:id="16">
    <w:p w14:paraId="1A0517AD" w14:textId="77777777" w:rsidR="006253AF" w:rsidRPr="00845EB8" w:rsidRDefault="006253AF" w:rsidP="00231F2B">
      <w:pPr>
        <w:ind w:left="0" w:firstLine="0"/>
        <w:rPr>
          <w:rFonts w:ascii="Verdana" w:hAnsi="Verdana"/>
          <w:color w:val="77328A"/>
          <w:sz w:val="16"/>
          <w:szCs w:val="16"/>
        </w:rPr>
      </w:pPr>
      <w:r w:rsidRPr="00845EB8">
        <w:rPr>
          <w:rStyle w:val="FootnoteReference"/>
          <w:rFonts w:ascii="Verdana" w:hAnsi="Verdana"/>
          <w:color w:val="77328A"/>
          <w:sz w:val="16"/>
          <w:szCs w:val="16"/>
        </w:rPr>
        <w:footnoteRef/>
      </w:r>
      <w:r w:rsidRPr="00845EB8">
        <w:rPr>
          <w:rFonts w:ascii="Verdana" w:hAnsi="Verdana"/>
          <w:color w:val="77328A"/>
          <w:sz w:val="16"/>
          <w:szCs w:val="16"/>
        </w:rPr>
        <w:t xml:space="preserve"> Police Ombudsman NI, ‘Complaints and Allegations Received by the Police Ombudsman for NI Quarterly Statistical Update to 30</w:t>
      </w:r>
      <w:r w:rsidRPr="00845EB8">
        <w:rPr>
          <w:rFonts w:ascii="Verdana" w:hAnsi="Verdana"/>
          <w:color w:val="77328A"/>
          <w:sz w:val="16"/>
          <w:szCs w:val="16"/>
          <w:vertAlign w:val="superscript"/>
        </w:rPr>
        <w:t>th</w:t>
      </w:r>
      <w:r w:rsidRPr="00845EB8">
        <w:rPr>
          <w:rFonts w:ascii="Verdana" w:hAnsi="Verdana"/>
          <w:color w:val="77328A"/>
          <w:sz w:val="16"/>
          <w:szCs w:val="16"/>
        </w:rPr>
        <w:t xml:space="preserve"> September 2019’ (PONI, 2019).</w:t>
      </w:r>
    </w:p>
  </w:footnote>
  <w:footnote w:id="17">
    <w:p w14:paraId="506A0643" w14:textId="77777777" w:rsidR="006253AF" w:rsidRPr="00845EB8" w:rsidRDefault="006253AF" w:rsidP="00231F2B">
      <w:pPr>
        <w:ind w:left="0" w:firstLine="0"/>
        <w:rPr>
          <w:rFonts w:ascii="Verdana" w:hAnsi="Verdana"/>
          <w:color w:val="77328A"/>
          <w:sz w:val="16"/>
          <w:szCs w:val="16"/>
        </w:rPr>
      </w:pPr>
      <w:r w:rsidRPr="00845EB8">
        <w:rPr>
          <w:rStyle w:val="FootnoteReference"/>
          <w:rFonts w:ascii="Verdana" w:hAnsi="Verdana"/>
          <w:color w:val="77328A"/>
          <w:sz w:val="16"/>
          <w:szCs w:val="16"/>
        </w:rPr>
        <w:footnoteRef/>
      </w:r>
      <w:r w:rsidRPr="00845EB8">
        <w:rPr>
          <w:rFonts w:ascii="Verdana" w:hAnsi="Verdana"/>
          <w:color w:val="77328A"/>
          <w:sz w:val="16"/>
          <w:szCs w:val="16"/>
        </w:rPr>
        <w:t xml:space="preserve"> Police Ombudsman NI, ‘Annual Statistical Bulletin of the Police Ombudsman for NI, 2018/19’ (PONI, 2019), at 24.</w:t>
      </w:r>
    </w:p>
  </w:footnote>
  <w:footnote w:id="18">
    <w:p w14:paraId="0E7F1DF2" w14:textId="77777777" w:rsidR="006253AF" w:rsidRPr="00845EB8" w:rsidRDefault="006253AF" w:rsidP="001313A6">
      <w:pPr>
        <w:pStyle w:val="FootnoteText"/>
        <w:rPr>
          <w:color w:val="77328A"/>
        </w:rPr>
      </w:pPr>
      <w:r w:rsidRPr="00845EB8">
        <w:rPr>
          <w:rStyle w:val="FootnoteReference"/>
          <w:rFonts w:ascii="Verdana" w:hAnsi="Verdana"/>
          <w:color w:val="77328A"/>
          <w:sz w:val="16"/>
          <w:szCs w:val="16"/>
        </w:rPr>
        <w:footnoteRef/>
      </w:r>
      <w:r w:rsidRPr="00845EB8">
        <w:rPr>
          <w:rFonts w:ascii="Verdana" w:hAnsi="Verdana"/>
          <w:color w:val="77328A"/>
          <w:sz w:val="16"/>
          <w:szCs w:val="16"/>
        </w:rPr>
        <w:t xml:space="preserve"> Article 2 ECHR; Article 3 ECHR. </w:t>
      </w:r>
    </w:p>
  </w:footnote>
  <w:footnote w:id="19">
    <w:p w14:paraId="3DAC8C14" w14:textId="77777777" w:rsidR="006253AF" w:rsidRPr="00845EB8" w:rsidRDefault="006253AF" w:rsidP="001313A6">
      <w:pPr>
        <w:pStyle w:val="FootnoteText"/>
        <w:rPr>
          <w:color w:val="77328A"/>
        </w:rPr>
      </w:pPr>
      <w:r w:rsidRPr="00845EB8">
        <w:rPr>
          <w:rStyle w:val="FootnoteReference"/>
          <w:rFonts w:ascii="Verdana" w:hAnsi="Verdana"/>
          <w:color w:val="77328A"/>
          <w:sz w:val="16"/>
          <w:szCs w:val="16"/>
        </w:rPr>
        <w:footnoteRef/>
      </w:r>
      <w:r w:rsidRPr="00845EB8">
        <w:rPr>
          <w:rFonts w:ascii="Verdana" w:hAnsi="Verdana"/>
          <w:color w:val="77328A"/>
          <w:sz w:val="16"/>
          <w:szCs w:val="16"/>
        </w:rPr>
        <w:t xml:space="preserve"> </w:t>
      </w:r>
      <w:r w:rsidRPr="00845EB8">
        <w:rPr>
          <w:rFonts w:ascii="Verdana" w:hAnsi="Verdana"/>
          <w:i/>
          <w:color w:val="77328A"/>
          <w:sz w:val="16"/>
          <w:szCs w:val="16"/>
        </w:rPr>
        <w:t>Case of Centre for Legal Resources on Behalf of Valentin Campeanu v Romania</w:t>
      </w:r>
      <w:r w:rsidRPr="00845EB8">
        <w:rPr>
          <w:rFonts w:ascii="Verdana" w:hAnsi="Verdana"/>
          <w:color w:val="77328A"/>
          <w:sz w:val="16"/>
          <w:szCs w:val="16"/>
        </w:rPr>
        <w:t xml:space="preserve"> (2014) ECHR 14.</w:t>
      </w:r>
    </w:p>
  </w:footnote>
  <w:footnote w:id="20">
    <w:p w14:paraId="1F86B9D4" w14:textId="77777777" w:rsidR="006253AF" w:rsidRPr="00845EB8" w:rsidRDefault="006253AF" w:rsidP="001313A6">
      <w:pPr>
        <w:pStyle w:val="FootnoteText"/>
        <w:rPr>
          <w:color w:val="77328A"/>
        </w:rPr>
      </w:pPr>
      <w:r w:rsidRPr="00845EB8">
        <w:rPr>
          <w:rStyle w:val="FootnoteReference"/>
          <w:rFonts w:ascii="Verdana" w:hAnsi="Verdana"/>
          <w:color w:val="77328A"/>
          <w:sz w:val="16"/>
          <w:szCs w:val="16"/>
        </w:rPr>
        <w:footnoteRef/>
      </w:r>
      <w:r w:rsidRPr="00845EB8">
        <w:rPr>
          <w:rFonts w:ascii="Verdana" w:hAnsi="Verdana"/>
          <w:color w:val="77328A"/>
          <w:sz w:val="16"/>
          <w:szCs w:val="16"/>
        </w:rPr>
        <w:t xml:space="preserve"> </w:t>
      </w:r>
      <w:r w:rsidRPr="00845EB8">
        <w:rPr>
          <w:rFonts w:ascii="Verdana" w:hAnsi="Verdana"/>
          <w:i/>
          <w:color w:val="77328A"/>
          <w:sz w:val="16"/>
          <w:szCs w:val="16"/>
        </w:rPr>
        <w:t>Osman v UK</w:t>
      </w:r>
      <w:r w:rsidRPr="00845EB8">
        <w:rPr>
          <w:rFonts w:ascii="Verdana" w:hAnsi="Verdana"/>
          <w:color w:val="77328A"/>
          <w:sz w:val="16"/>
          <w:szCs w:val="16"/>
        </w:rPr>
        <w:t xml:space="preserve"> (1998) ECHR 101, at para 116.</w:t>
      </w:r>
    </w:p>
  </w:footnote>
  <w:footnote w:id="21">
    <w:p w14:paraId="0E93B656" w14:textId="77777777" w:rsidR="006253AF" w:rsidRPr="00845EB8" w:rsidRDefault="006253AF" w:rsidP="001313A6">
      <w:pPr>
        <w:pStyle w:val="FootnoteText"/>
        <w:rPr>
          <w:color w:val="77328A"/>
        </w:rPr>
      </w:pPr>
      <w:r w:rsidRPr="00845EB8">
        <w:rPr>
          <w:rStyle w:val="FootnoteReference"/>
          <w:rFonts w:ascii="Verdana" w:hAnsi="Verdana"/>
          <w:color w:val="77328A"/>
          <w:sz w:val="16"/>
          <w:szCs w:val="16"/>
        </w:rPr>
        <w:footnoteRef/>
      </w:r>
      <w:r w:rsidRPr="00845EB8">
        <w:rPr>
          <w:rFonts w:ascii="Verdana" w:hAnsi="Verdana"/>
          <w:color w:val="77328A"/>
          <w:sz w:val="16"/>
          <w:szCs w:val="16"/>
        </w:rPr>
        <w:t xml:space="preserve"> </w:t>
      </w:r>
      <w:r w:rsidRPr="00845EB8">
        <w:rPr>
          <w:rFonts w:ascii="Verdana" w:hAnsi="Verdana"/>
          <w:i/>
          <w:color w:val="77328A"/>
          <w:sz w:val="16"/>
          <w:szCs w:val="16"/>
        </w:rPr>
        <w:t xml:space="preserve">Chahal v UK </w:t>
      </w:r>
      <w:r w:rsidRPr="00845EB8">
        <w:rPr>
          <w:rFonts w:ascii="Verdana" w:hAnsi="Verdana"/>
          <w:color w:val="77328A"/>
          <w:sz w:val="16"/>
          <w:szCs w:val="16"/>
        </w:rPr>
        <w:t xml:space="preserve">(1996) ECHR 413. </w:t>
      </w:r>
    </w:p>
  </w:footnote>
  <w:footnote w:id="22">
    <w:p w14:paraId="53C6BD2F" w14:textId="77777777" w:rsidR="006253AF" w:rsidRDefault="006253AF" w:rsidP="001313A6">
      <w:pPr>
        <w:pStyle w:val="FootnoteText"/>
      </w:pPr>
      <w:r w:rsidRPr="00845EB8">
        <w:rPr>
          <w:rStyle w:val="FootnoteReference"/>
          <w:rFonts w:ascii="Verdana" w:hAnsi="Verdana"/>
          <w:color w:val="77328A"/>
          <w:sz w:val="16"/>
          <w:szCs w:val="16"/>
        </w:rPr>
        <w:footnoteRef/>
      </w:r>
      <w:r w:rsidRPr="00845EB8">
        <w:rPr>
          <w:rFonts w:ascii="Verdana" w:hAnsi="Verdana"/>
          <w:color w:val="77328A"/>
          <w:sz w:val="16"/>
          <w:szCs w:val="16"/>
        </w:rPr>
        <w:t xml:space="preserve"> Article 8 ECHR; Article 14 ECHR.</w:t>
      </w:r>
    </w:p>
  </w:footnote>
  <w:footnote w:id="23">
    <w:p w14:paraId="0A5499E8" w14:textId="77777777" w:rsidR="006253AF" w:rsidRPr="00845EB8" w:rsidRDefault="006253AF" w:rsidP="001313A6">
      <w:pPr>
        <w:pStyle w:val="FootnoteText"/>
        <w:rPr>
          <w:color w:val="77328A"/>
        </w:rPr>
      </w:pPr>
      <w:r w:rsidRPr="00845EB8">
        <w:rPr>
          <w:rStyle w:val="FootnoteReference"/>
          <w:rFonts w:ascii="Verdana" w:hAnsi="Verdana"/>
          <w:color w:val="77328A"/>
          <w:sz w:val="16"/>
          <w:szCs w:val="16"/>
        </w:rPr>
        <w:footnoteRef/>
      </w:r>
      <w:r w:rsidRPr="00845EB8">
        <w:rPr>
          <w:rFonts w:ascii="Verdana" w:hAnsi="Verdana"/>
          <w:color w:val="77328A"/>
          <w:sz w:val="16"/>
          <w:szCs w:val="16"/>
        </w:rPr>
        <w:t xml:space="preserve"> </w:t>
      </w:r>
      <w:r w:rsidRPr="00845EB8">
        <w:rPr>
          <w:rFonts w:ascii="Verdana" w:hAnsi="Verdana"/>
          <w:i/>
          <w:color w:val="77328A"/>
          <w:sz w:val="16"/>
          <w:szCs w:val="16"/>
        </w:rPr>
        <w:t>Dudgeon v UK</w:t>
      </w:r>
      <w:r w:rsidRPr="00845EB8">
        <w:rPr>
          <w:rFonts w:ascii="Verdana" w:hAnsi="Verdana"/>
          <w:color w:val="77328A"/>
          <w:sz w:val="16"/>
          <w:szCs w:val="16"/>
        </w:rPr>
        <w:t xml:space="preserve"> (1981) ECHR 22. </w:t>
      </w:r>
    </w:p>
  </w:footnote>
  <w:footnote w:id="24">
    <w:p w14:paraId="6AA106FC" w14:textId="77777777" w:rsidR="006253AF" w:rsidRPr="00845EB8" w:rsidRDefault="006253AF" w:rsidP="001313A6">
      <w:pPr>
        <w:pStyle w:val="FootnoteText"/>
        <w:rPr>
          <w:color w:val="77328A"/>
        </w:rPr>
      </w:pPr>
      <w:r w:rsidRPr="00845EB8">
        <w:rPr>
          <w:rStyle w:val="FootnoteReference"/>
          <w:rFonts w:ascii="Verdana" w:hAnsi="Verdana"/>
          <w:color w:val="77328A"/>
          <w:sz w:val="16"/>
          <w:szCs w:val="16"/>
        </w:rPr>
        <w:footnoteRef/>
      </w:r>
      <w:r w:rsidRPr="00845EB8">
        <w:rPr>
          <w:rFonts w:ascii="Verdana" w:hAnsi="Verdana"/>
          <w:color w:val="77328A"/>
          <w:sz w:val="16"/>
          <w:szCs w:val="16"/>
        </w:rPr>
        <w:t xml:space="preserve"> </w:t>
      </w:r>
      <w:r w:rsidRPr="00845EB8">
        <w:rPr>
          <w:rFonts w:ascii="Verdana" w:hAnsi="Verdana"/>
          <w:i/>
          <w:color w:val="77328A"/>
          <w:sz w:val="16"/>
          <w:szCs w:val="16"/>
        </w:rPr>
        <w:t xml:space="preserve">Milićević v Montenegro </w:t>
      </w:r>
      <w:r w:rsidRPr="00845EB8">
        <w:rPr>
          <w:rFonts w:ascii="Verdana" w:hAnsi="Verdana"/>
          <w:color w:val="77328A"/>
          <w:sz w:val="16"/>
          <w:szCs w:val="16"/>
        </w:rPr>
        <w:t xml:space="preserve">(2018) ECHR 6; </w:t>
      </w:r>
      <w:r w:rsidRPr="00845EB8">
        <w:rPr>
          <w:rFonts w:ascii="Verdana" w:hAnsi="Verdana"/>
          <w:i/>
          <w:color w:val="77328A"/>
          <w:sz w:val="16"/>
          <w:szCs w:val="16"/>
        </w:rPr>
        <w:t>ES. and Others v. Slovakia</w:t>
      </w:r>
      <w:r w:rsidRPr="00845EB8">
        <w:rPr>
          <w:rFonts w:ascii="Verdana" w:hAnsi="Verdana"/>
          <w:color w:val="77328A"/>
          <w:sz w:val="16"/>
          <w:szCs w:val="16"/>
        </w:rPr>
        <w:t xml:space="preserve"> (2009).</w:t>
      </w:r>
    </w:p>
  </w:footnote>
  <w:footnote w:id="25">
    <w:p w14:paraId="3E95EA1B" w14:textId="77777777" w:rsidR="006253AF" w:rsidRPr="00845EB8" w:rsidRDefault="006253AF" w:rsidP="001313A6">
      <w:pPr>
        <w:pStyle w:val="FootnoteText"/>
        <w:rPr>
          <w:color w:val="77328A"/>
        </w:rPr>
      </w:pPr>
      <w:r w:rsidRPr="00845EB8">
        <w:rPr>
          <w:rStyle w:val="FootnoteReference"/>
          <w:rFonts w:ascii="Verdana" w:hAnsi="Verdana"/>
          <w:color w:val="77328A"/>
          <w:sz w:val="16"/>
          <w:szCs w:val="16"/>
        </w:rPr>
        <w:footnoteRef/>
      </w:r>
      <w:r w:rsidRPr="00845EB8">
        <w:rPr>
          <w:rFonts w:ascii="Verdana" w:hAnsi="Verdana"/>
          <w:color w:val="77328A"/>
          <w:sz w:val="16"/>
          <w:szCs w:val="16"/>
        </w:rPr>
        <w:t xml:space="preserve"> </w:t>
      </w:r>
      <w:r w:rsidRPr="00845EB8">
        <w:rPr>
          <w:rFonts w:ascii="Verdana" w:hAnsi="Verdana" w:cs="Arial"/>
          <w:i/>
          <w:color w:val="77328A"/>
          <w:sz w:val="16"/>
          <w:szCs w:val="16"/>
        </w:rPr>
        <w:t xml:space="preserve">Sandra Janković v. Croatia </w:t>
      </w:r>
      <w:r w:rsidRPr="00845EB8">
        <w:rPr>
          <w:rFonts w:ascii="Verdana" w:hAnsi="Verdana" w:cs="Arial"/>
          <w:color w:val="77328A"/>
          <w:sz w:val="16"/>
          <w:szCs w:val="16"/>
        </w:rPr>
        <w:t>(2008) ECHR 24.</w:t>
      </w:r>
      <w:r w:rsidRPr="00845EB8">
        <w:rPr>
          <w:rFonts w:ascii="Verdana" w:hAnsi="Verdana" w:cs="Arial"/>
          <w:i/>
          <w:color w:val="77328A"/>
          <w:sz w:val="16"/>
          <w:szCs w:val="16"/>
        </w:rPr>
        <w:t xml:space="preserve"> </w:t>
      </w:r>
    </w:p>
  </w:footnote>
  <w:footnote w:id="26">
    <w:p w14:paraId="1842F19E" w14:textId="77777777" w:rsidR="006253AF" w:rsidRPr="00845EB8" w:rsidRDefault="006253AF" w:rsidP="001313A6">
      <w:pPr>
        <w:pStyle w:val="FootnoteText"/>
        <w:rPr>
          <w:color w:val="77328A"/>
        </w:rPr>
      </w:pPr>
      <w:r w:rsidRPr="00845EB8">
        <w:rPr>
          <w:rStyle w:val="FootnoteReference"/>
          <w:rFonts w:ascii="Verdana" w:hAnsi="Verdana"/>
          <w:color w:val="77328A"/>
          <w:sz w:val="16"/>
          <w:szCs w:val="16"/>
        </w:rPr>
        <w:footnoteRef/>
      </w:r>
      <w:r w:rsidRPr="00845EB8">
        <w:rPr>
          <w:rFonts w:ascii="Verdana" w:hAnsi="Verdana"/>
          <w:color w:val="77328A"/>
          <w:sz w:val="16"/>
          <w:szCs w:val="16"/>
        </w:rPr>
        <w:t xml:space="preserve"> </w:t>
      </w:r>
      <w:r w:rsidRPr="00845EB8">
        <w:rPr>
          <w:rFonts w:ascii="Verdana" w:hAnsi="Verdana"/>
          <w:i/>
          <w:color w:val="77328A"/>
          <w:sz w:val="16"/>
          <w:szCs w:val="16"/>
        </w:rPr>
        <w:t xml:space="preserve">MC v Bulgaria </w:t>
      </w:r>
      <w:r w:rsidRPr="00845EB8">
        <w:rPr>
          <w:rFonts w:ascii="Verdana" w:hAnsi="Verdana"/>
          <w:color w:val="77328A"/>
          <w:sz w:val="16"/>
          <w:szCs w:val="16"/>
        </w:rPr>
        <w:t>(2003) ECHR 646.</w:t>
      </w:r>
    </w:p>
  </w:footnote>
  <w:footnote w:id="27">
    <w:p w14:paraId="5B3BEBC6" w14:textId="77777777" w:rsidR="006253AF" w:rsidRPr="00845EB8" w:rsidRDefault="006253AF" w:rsidP="001313A6">
      <w:pPr>
        <w:pStyle w:val="FootnoteText"/>
        <w:rPr>
          <w:color w:val="77328A"/>
        </w:rPr>
      </w:pPr>
      <w:r w:rsidRPr="00845EB8">
        <w:rPr>
          <w:rStyle w:val="FootnoteReference"/>
          <w:rFonts w:ascii="Verdana" w:hAnsi="Verdana"/>
          <w:color w:val="77328A"/>
          <w:sz w:val="16"/>
          <w:szCs w:val="16"/>
        </w:rPr>
        <w:footnoteRef/>
      </w:r>
      <w:r w:rsidRPr="00845EB8">
        <w:rPr>
          <w:rFonts w:ascii="Verdana" w:hAnsi="Verdana"/>
          <w:color w:val="77328A"/>
          <w:sz w:val="16"/>
          <w:szCs w:val="16"/>
        </w:rPr>
        <w:t xml:space="preserve"> </w:t>
      </w:r>
      <w:r w:rsidRPr="00845EB8">
        <w:rPr>
          <w:rFonts w:ascii="Verdana" w:hAnsi="Verdana"/>
          <w:i/>
          <w:color w:val="77328A"/>
          <w:sz w:val="16"/>
          <w:szCs w:val="16"/>
        </w:rPr>
        <w:t xml:space="preserve">MC v Bulgaria </w:t>
      </w:r>
      <w:r w:rsidRPr="00845EB8">
        <w:rPr>
          <w:rFonts w:ascii="Verdana" w:hAnsi="Verdana"/>
          <w:color w:val="77328A"/>
          <w:sz w:val="16"/>
          <w:szCs w:val="16"/>
        </w:rPr>
        <w:t>(2003) ECHR 646, at para 166.</w:t>
      </w:r>
    </w:p>
  </w:footnote>
  <w:footnote w:id="28">
    <w:p w14:paraId="24D0FFAC" w14:textId="77777777" w:rsidR="006253AF" w:rsidRPr="00B629DC" w:rsidRDefault="006253AF" w:rsidP="00231F2B">
      <w:pPr>
        <w:pStyle w:val="FootnoteText"/>
        <w:ind w:left="0" w:firstLine="0"/>
        <w:rPr>
          <w:rFonts w:ascii="Verdana" w:hAnsi="Verdana"/>
          <w:color w:val="77328A"/>
          <w:sz w:val="16"/>
          <w:szCs w:val="16"/>
        </w:rPr>
      </w:pPr>
      <w:r w:rsidRPr="00845EB8">
        <w:rPr>
          <w:rStyle w:val="FootnoteReference"/>
          <w:rFonts w:ascii="Verdana" w:hAnsi="Verdana"/>
          <w:color w:val="77328A"/>
          <w:sz w:val="16"/>
          <w:szCs w:val="16"/>
        </w:rPr>
        <w:footnoteRef/>
      </w:r>
      <w:r w:rsidRPr="00845EB8">
        <w:rPr>
          <w:rFonts w:ascii="Verdana" w:hAnsi="Verdana"/>
          <w:color w:val="77328A"/>
          <w:sz w:val="16"/>
          <w:szCs w:val="16"/>
        </w:rPr>
        <w:t xml:space="preserve"> CAT/C/GBR/CO/6, ‘UN CAT Committee Concluding Observations on the Sixth Periodic Report of the UK of Great Britain and NI’, 7 June 2019, at para 57.</w:t>
      </w:r>
    </w:p>
  </w:footnote>
  <w:footnote w:id="29">
    <w:p w14:paraId="00ED1CD0" w14:textId="77777777" w:rsidR="006253AF" w:rsidRPr="00845EB8" w:rsidRDefault="006253AF" w:rsidP="00231F2B">
      <w:pPr>
        <w:pStyle w:val="FootnoteText"/>
        <w:ind w:left="0" w:firstLine="0"/>
        <w:rPr>
          <w:rFonts w:ascii="Verdana" w:hAnsi="Verdana"/>
          <w:color w:val="77328A"/>
          <w:sz w:val="16"/>
          <w:szCs w:val="16"/>
        </w:rPr>
      </w:pPr>
      <w:r w:rsidRPr="00845EB8">
        <w:rPr>
          <w:rStyle w:val="FootnoteReference"/>
          <w:rFonts w:ascii="Verdana" w:hAnsi="Verdana"/>
          <w:color w:val="77328A"/>
          <w:sz w:val="16"/>
          <w:szCs w:val="16"/>
        </w:rPr>
        <w:footnoteRef/>
      </w:r>
      <w:r w:rsidRPr="00845EB8">
        <w:rPr>
          <w:rFonts w:ascii="Verdana" w:hAnsi="Verdana"/>
          <w:color w:val="77328A"/>
          <w:sz w:val="16"/>
          <w:szCs w:val="16"/>
        </w:rPr>
        <w:t xml:space="preserve"> CAT/C/GBR/CO/6, ‘UN CAT Committee Concluding Observations on the Sixth Periodic Report of the UK of Great Britain and NI’, 7 June 2019, at para 57.</w:t>
      </w:r>
    </w:p>
  </w:footnote>
  <w:footnote w:id="30">
    <w:p w14:paraId="23771B4D" w14:textId="77777777" w:rsidR="006253AF" w:rsidRPr="00845EB8" w:rsidRDefault="006253AF" w:rsidP="00231F2B">
      <w:pPr>
        <w:pStyle w:val="FootnoteText"/>
        <w:ind w:left="0" w:firstLine="0"/>
        <w:rPr>
          <w:rFonts w:ascii="Verdana" w:hAnsi="Verdana"/>
          <w:color w:val="77328A"/>
          <w:sz w:val="16"/>
          <w:szCs w:val="16"/>
        </w:rPr>
      </w:pPr>
      <w:r w:rsidRPr="00845EB8">
        <w:rPr>
          <w:rStyle w:val="FootnoteReference"/>
          <w:rFonts w:ascii="Verdana" w:hAnsi="Verdana"/>
          <w:color w:val="77328A"/>
          <w:sz w:val="16"/>
          <w:szCs w:val="16"/>
        </w:rPr>
        <w:footnoteRef/>
      </w:r>
      <w:r w:rsidRPr="00845EB8">
        <w:rPr>
          <w:rFonts w:ascii="Verdana" w:hAnsi="Verdana"/>
          <w:color w:val="77328A"/>
          <w:sz w:val="16"/>
          <w:szCs w:val="16"/>
        </w:rPr>
        <w:t xml:space="preserve"> CAT/C/GBR/CO/6, ‘UN CAT Committee Concluding Observations on the Sixth Periodic Report of the UK of Great Britain and NI’, 7 June 2019, at para 57.</w:t>
      </w:r>
    </w:p>
  </w:footnote>
  <w:footnote w:id="31">
    <w:p w14:paraId="2B5F143E" w14:textId="77777777" w:rsidR="006253AF" w:rsidRPr="00845EB8" w:rsidRDefault="006253AF" w:rsidP="00231F2B">
      <w:pPr>
        <w:pStyle w:val="FootnoteText"/>
        <w:ind w:left="0" w:firstLine="0"/>
        <w:rPr>
          <w:rFonts w:ascii="Verdana" w:hAnsi="Verdana"/>
          <w:color w:val="77328A"/>
          <w:sz w:val="16"/>
          <w:szCs w:val="16"/>
        </w:rPr>
      </w:pPr>
      <w:r w:rsidRPr="00845EB8">
        <w:rPr>
          <w:rStyle w:val="FootnoteReference"/>
          <w:rFonts w:ascii="Verdana" w:hAnsi="Verdana"/>
          <w:color w:val="77328A"/>
          <w:sz w:val="16"/>
          <w:szCs w:val="16"/>
        </w:rPr>
        <w:footnoteRef/>
      </w:r>
      <w:r w:rsidRPr="00845EB8">
        <w:rPr>
          <w:rFonts w:ascii="Verdana" w:hAnsi="Verdana"/>
          <w:color w:val="77328A"/>
          <w:sz w:val="16"/>
          <w:szCs w:val="16"/>
        </w:rPr>
        <w:t xml:space="preserve"> CEDAW/C/GBR/CO/8, ‘UN CEDAW Committee Concluding Observations on the UK Eighth Periodic Report’, 8 March 2019, at para 29.</w:t>
      </w:r>
    </w:p>
  </w:footnote>
  <w:footnote w:id="32">
    <w:p w14:paraId="7998677F" w14:textId="77777777" w:rsidR="006253AF" w:rsidRPr="00540106" w:rsidRDefault="006253AF" w:rsidP="00231F2B">
      <w:pPr>
        <w:pStyle w:val="FootnoteText"/>
        <w:ind w:left="0" w:firstLine="0"/>
        <w:rPr>
          <w:rFonts w:ascii="Verdana" w:hAnsi="Verdana"/>
          <w:sz w:val="16"/>
          <w:szCs w:val="16"/>
        </w:rPr>
      </w:pPr>
      <w:r w:rsidRPr="00845EB8">
        <w:rPr>
          <w:rStyle w:val="FootnoteReference"/>
          <w:rFonts w:ascii="Verdana" w:hAnsi="Verdana"/>
          <w:color w:val="77328A"/>
          <w:sz w:val="16"/>
          <w:szCs w:val="16"/>
        </w:rPr>
        <w:footnoteRef/>
      </w:r>
      <w:r w:rsidRPr="00845EB8">
        <w:rPr>
          <w:rFonts w:ascii="Verdana" w:hAnsi="Verdana"/>
          <w:color w:val="77328A"/>
          <w:sz w:val="16"/>
          <w:szCs w:val="16"/>
        </w:rPr>
        <w:t xml:space="preserve"> Preventing and Combating Violence against Women and Domestic Violence (Ratification of Convention) Act 2017; Home Office, ‘Ratification of the CoE Convention on Combating Violence against Women and Girls and Domestic Violence (Istanbul Convention) – 2020 Report on progress’ (HO, 2020), at Annex A.</w:t>
      </w:r>
    </w:p>
  </w:footnote>
  <w:footnote w:id="33">
    <w:p w14:paraId="66C77AF1" w14:textId="77777777" w:rsidR="006253AF" w:rsidRPr="00562673" w:rsidRDefault="006253AF">
      <w:pPr>
        <w:pStyle w:val="FootnoteText"/>
        <w:rPr>
          <w:rFonts w:ascii="Verdana" w:hAnsi="Verdana" w:cs="Arial"/>
          <w:sz w:val="16"/>
          <w:szCs w:val="16"/>
        </w:rPr>
      </w:pPr>
      <w:r w:rsidRPr="00845EB8">
        <w:rPr>
          <w:rStyle w:val="FootnoteReference"/>
          <w:rFonts w:ascii="Verdana" w:hAnsi="Verdana" w:cs="Arial"/>
          <w:color w:val="77328A"/>
          <w:sz w:val="16"/>
          <w:szCs w:val="16"/>
        </w:rPr>
        <w:footnoteRef/>
      </w:r>
      <w:r w:rsidRPr="00845EB8">
        <w:rPr>
          <w:rFonts w:ascii="Verdana" w:hAnsi="Verdana" w:cs="Arial"/>
          <w:color w:val="77328A"/>
          <w:sz w:val="16"/>
          <w:szCs w:val="16"/>
        </w:rPr>
        <w:t xml:space="preserve"> Domestic Abuse and Family Proceedings Bill, 2020</w:t>
      </w:r>
      <w:r w:rsidR="00CE32B2" w:rsidRPr="00845EB8">
        <w:rPr>
          <w:rFonts w:ascii="Verdana" w:hAnsi="Verdana" w:cs="Arial"/>
          <w:color w:val="77328A"/>
          <w:sz w:val="16"/>
          <w:szCs w:val="16"/>
        </w:rPr>
        <w:t xml:space="preserve">. </w:t>
      </w:r>
    </w:p>
  </w:footnote>
  <w:footnote w:id="34">
    <w:p w14:paraId="0DC46544" w14:textId="77777777" w:rsidR="006253AF" w:rsidRPr="00845EB8" w:rsidRDefault="006253AF" w:rsidP="0060797E">
      <w:pPr>
        <w:pStyle w:val="FootnoteText"/>
        <w:ind w:left="0" w:firstLine="0"/>
        <w:rPr>
          <w:color w:val="77328A"/>
        </w:rPr>
      </w:pPr>
      <w:r w:rsidRPr="00845EB8">
        <w:rPr>
          <w:rStyle w:val="FootnoteReference"/>
          <w:rFonts w:ascii="Verdana" w:hAnsi="Verdana"/>
          <w:color w:val="77328A"/>
          <w:sz w:val="16"/>
          <w:szCs w:val="16"/>
        </w:rPr>
        <w:footnoteRef/>
      </w:r>
      <w:r w:rsidRPr="00845EB8">
        <w:rPr>
          <w:rFonts w:ascii="Verdana" w:hAnsi="Verdana"/>
          <w:color w:val="77328A"/>
          <w:sz w:val="16"/>
          <w:szCs w:val="16"/>
        </w:rPr>
        <w:t xml:space="preserve"> CAT/C/GBR/CO/6, ‘UN CAT Committee Concluding Observations on the Sixth Periodic Report of the UK of Great Britain and NI’, 7 June 2019 at para 56.</w:t>
      </w:r>
    </w:p>
  </w:footnote>
  <w:footnote w:id="35">
    <w:p w14:paraId="030EDFB8" w14:textId="6FE96833" w:rsidR="006253AF" w:rsidRDefault="006253AF" w:rsidP="0060797E">
      <w:pPr>
        <w:pStyle w:val="FootnoteText"/>
        <w:ind w:left="0" w:firstLine="0"/>
      </w:pPr>
      <w:r w:rsidRPr="00845EB8">
        <w:rPr>
          <w:rStyle w:val="FootnoteReference"/>
          <w:rFonts w:ascii="Verdana" w:hAnsi="Verdana"/>
          <w:color w:val="77328A"/>
          <w:sz w:val="16"/>
          <w:szCs w:val="16"/>
        </w:rPr>
        <w:footnoteRef/>
      </w:r>
      <w:r w:rsidRPr="00845EB8">
        <w:rPr>
          <w:rFonts w:ascii="Verdana" w:hAnsi="Verdana"/>
          <w:color w:val="77328A"/>
          <w:sz w:val="16"/>
          <w:szCs w:val="16"/>
        </w:rPr>
        <w:t xml:space="preserve"> CEDAW/C/GC/35, ‘UN CEDAW Committee General Recommendation No 35: Gender-based Violence</w:t>
      </w:r>
      <w:r w:rsidR="00DF5375" w:rsidRPr="00845EB8">
        <w:rPr>
          <w:rFonts w:ascii="Verdana" w:hAnsi="Verdana"/>
          <w:color w:val="77328A"/>
          <w:sz w:val="16"/>
          <w:szCs w:val="16"/>
        </w:rPr>
        <w:t xml:space="preserve"> </w:t>
      </w:r>
      <w:r w:rsidRPr="00845EB8">
        <w:rPr>
          <w:rFonts w:ascii="Verdana" w:hAnsi="Verdana"/>
          <w:color w:val="77328A"/>
          <w:sz w:val="16"/>
          <w:szCs w:val="16"/>
        </w:rPr>
        <w:t xml:space="preserve">against Women’, 26 July 2017 at para 30(e). </w:t>
      </w:r>
    </w:p>
  </w:footnote>
  <w:footnote w:id="36">
    <w:p w14:paraId="6CA955FB" w14:textId="77777777" w:rsidR="006253AF" w:rsidRPr="00845EB8" w:rsidRDefault="006253AF" w:rsidP="00384048">
      <w:pPr>
        <w:pStyle w:val="FootnoteText"/>
        <w:rPr>
          <w:rFonts w:ascii="Verdana" w:hAnsi="Verdana"/>
          <w:color w:val="77328A"/>
          <w:sz w:val="16"/>
          <w:szCs w:val="16"/>
        </w:rPr>
      </w:pPr>
      <w:r w:rsidRPr="00845EB8">
        <w:rPr>
          <w:rStyle w:val="FootnoteReference"/>
          <w:rFonts w:ascii="Verdana" w:hAnsi="Verdana"/>
          <w:color w:val="77328A"/>
          <w:sz w:val="16"/>
          <w:szCs w:val="16"/>
        </w:rPr>
        <w:footnoteRef/>
      </w:r>
      <w:r w:rsidRPr="00845EB8">
        <w:rPr>
          <w:rFonts w:ascii="Verdana" w:hAnsi="Verdana"/>
          <w:color w:val="77328A"/>
          <w:sz w:val="16"/>
          <w:szCs w:val="16"/>
        </w:rPr>
        <w:t xml:space="preserve"> </w:t>
      </w:r>
      <w:r w:rsidRPr="00845EB8">
        <w:rPr>
          <w:rFonts w:ascii="Verdana" w:hAnsi="Verdana"/>
          <w:i/>
          <w:color w:val="77328A"/>
          <w:sz w:val="16"/>
          <w:szCs w:val="16"/>
        </w:rPr>
        <w:t>Dudgeon v United Kingdom</w:t>
      </w:r>
      <w:r w:rsidRPr="00845EB8">
        <w:rPr>
          <w:rFonts w:ascii="Verdana" w:hAnsi="Verdana"/>
          <w:color w:val="77328A"/>
          <w:sz w:val="16"/>
          <w:szCs w:val="16"/>
        </w:rPr>
        <w:t xml:space="preserve"> (1981) ECHR 5, at para 53.</w:t>
      </w:r>
    </w:p>
  </w:footnote>
  <w:footnote w:id="37">
    <w:p w14:paraId="37546A9C" w14:textId="77777777" w:rsidR="006253AF" w:rsidRDefault="006253AF">
      <w:pPr>
        <w:pStyle w:val="FootnoteText"/>
      </w:pPr>
      <w:r w:rsidRPr="00845EB8">
        <w:rPr>
          <w:rStyle w:val="FootnoteReference"/>
          <w:rFonts w:ascii="Verdana" w:hAnsi="Verdana"/>
          <w:color w:val="77328A"/>
          <w:sz w:val="16"/>
          <w:szCs w:val="16"/>
        </w:rPr>
        <w:footnoteRef/>
      </w:r>
      <w:r w:rsidRPr="00845EB8">
        <w:rPr>
          <w:rFonts w:ascii="Verdana" w:hAnsi="Verdana"/>
          <w:color w:val="77328A"/>
          <w:sz w:val="16"/>
          <w:szCs w:val="16"/>
        </w:rPr>
        <w:t xml:space="preserve"> </w:t>
      </w:r>
      <w:r w:rsidRPr="00845EB8">
        <w:rPr>
          <w:rFonts w:ascii="Verdana" w:hAnsi="Verdana"/>
          <w:i/>
          <w:color w:val="77328A"/>
          <w:sz w:val="16"/>
          <w:szCs w:val="16"/>
        </w:rPr>
        <w:t>Sandra Janković v. Croatia</w:t>
      </w:r>
      <w:r w:rsidRPr="00845EB8">
        <w:rPr>
          <w:rFonts w:ascii="Verdana" w:hAnsi="Verdana"/>
          <w:color w:val="77328A"/>
          <w:sz w:val="16"/>
          <w:szCs w:val="16"/>
        </w:rPr>
        <w:t xml:space="preserve"> (2008) ECHR 24.</w:t>
      </w:r>
      <w:r w:rsidRPr="00845EB8">
        <w:rPr>
          <w:color w:val="77328A"/>
        </w:rPr>
        <w:t xml:space="preserve"> </w:t>
      </w:r>
    </w:p>
  </w:footnote>
  <w:footnote w:id="38">
    <w:p w14:paraId="3C8AA6C8" w14:textId="77777777" w:rsidR="006253AF" w:rsidRPr="00845EB8" w:rsidRDefault="006253AF" w:rsidP="00B44BDA">
      <w:pPr>
        <w:pStyle w:val="FootnoteText"/>
        <w:rPr>
          <w:rFonts w:ascii="Verdana" w:hAnsi="Verdana"/>
          <w:color w:val="77328A"/>
          <w:sz w:val="16"/>
          <w:szCs w:val="16"/>
        </w:rPr>
      </w:pPr>
      <w:r w:rsidRPr="00845EB8">
        <w:rPr>
          <w:rStyle w:val="FootnoteReference"/>
          <w:rFonts w:ascii="Verdana" w:hAnsi="Verdana"/>
          <w:color w:val="77328A"/>
          <w:sz w:val="16"/>
          <w:szCs w:val="16"/>
        </w:rPr>
        <w:footnoteRef/>
      </w:r>
      <w:r w:rsidRPr="00845EB8">
        <w:rPr>
          <w:rFonts w:ascii="Verdana" w:hAnsi="Verdana"/>
          <w:color w:val="77328A"/>
          <w:sz w:val="16"/>
          <w:szCs w:val="16"/>
        </w:rPr>
        <w:t xml:space="preserve"> </w:t>
      </w:r>
      <w:r w:rsidRPr="00845EB8">
        <w:rPr>
          <w:rFonts w:ascii="Verdana" w:hAnsi="Verdana"/>
          <w:i/>
          <w:color w:val="77328A"/>
          <w:sz w:val="16"/>
          <w:szCs w:val="16"/>
        </w:rPr>
        <w:t>Libert v France</w:t>
      </w:r>
      <w:r w:rsidRPr="00845EB8">
        <w:rPr>
          <w:rFonts w:ascii="Verdana" w:hAnsi="Verdana"/>
          <w:color w:val="77328A"/>
          <w:sz w:val="16"/>
          <w:szCs w:val="16"/>
        </w:rPr>
        <w:t xml:space="preserve"> (2018) ECHR 185.</w:t>
      </w:r>
    </w:p>
  </w:footnote>
  <w:footnote w:id="39">
    <w:p w14:paraId="2E2D24C5" w14:textId="77777777" w:rsidR="006253AF" w:rsidRDefault="006253AF" w:rsidP="00B44BDA">
      <w:pPr>
        <w:pStyle w:val="FootnoteText"/>
      </w:pPr>
      <w:r w:rsidRPr="00845EB8">
        <w:rPr>
          <w:rStyle w:val="FootnoteReference"/>
          <w:rFonts w:ascii="Verdana" w:hAnsi="Verdana"/>
          <w:color w:val="77328A"/>
          <w:sz w:val="16"/>
          <w:szCs w:val="16"/>
        </w:rPr>
        <w:footnoteRef/>
      </w:r>
      <w:r w:rsidRPr="00845EB8">
        <w:rPr>
          <w:rFonts w:ascii="Verdana" w:hAnsi="Verdana"/>
          <w:color w:val="77328A"/>
          <w:sz w:val="16"/>
          <w:szCs w:val="16"/>
        </w:rPr>
        <w:t xml:space="preserve"> </w:t>
      </w:r>
      <w:r w:rsidRPr="00845EB8">
        <w:rPr>
          <w:rFonts w:ascii="Verdana" w:hAnsi="Verdana"/>
          <w:i/>
          <w:color w:val="77328A"/>
          <w:sz w:val="16"/>
          <w:szCs w:val="16"/>
        </w:rPr>
        <w:t>Dudgeon v UK</w:t>
      </w:r>
      <w:r w:rsidRPr="00845EB8">
        <w:rPr>
          <w:rFonts w:ascii="Verdana" w:hAnsi="Verdana"/>
          <w:color w:val="77328A"/>
          <w:sz w:val="16"/>
          <w:szCs w:val="16"/>
        </w:rPr>
        <w:t xml:space="preserve"> (1981) ECHR 5, at para 51-53. </w:t>
      </w:r>
    </w:p>
  </w:footnote>
  <w:footnote w:id="40">
    <w:p w14:paraId="14E85271" w14:textId="77777777" w:rsidR="006253AF" w:rsidRPr="00845EB8" w:rsidRDefault="006253AF" w:rsidP="00231F2B">
      <w:pPr>
        <w:pStyle w:val="FootnoteText"/>
        <w:ind w:left="0" w:firstLine="0"/>
        <w:rPr>
          <w:rFonts w:ascii="Verdana" w:hAnsi="Verdana"/>
          <w:color w:val="77328A"/>
          <w:sz w:val="16"/>
          <w:szCs w:val="16"/>
        </w:rPr>
      </w:pPr>
      <w:r w:rsidRPr="00845EB8">
        <w:rPr>
          <w:rStyle w:val="FootnoteReference"/>
          <w:rFonts w:ascii="Verdana" w:hAnsi="Verdana"/>
          <w:color w:val="77328A"/>
          <w:sz w:val="16"/>
          <w:szCs w:val="16"/>
        </w:rPr>
        <w:footnoteRef/>
      </w:r>
      <w:r w:rsidRPr="00845EB8">
        <w:rPr>
          <w:rFonts w:ascii="Verdana" w:hAnsi="Verdana"/>
          <w:color w:val="77328A"/>
          <w:sz w:val="16"/>
          <w:szCs w:val="16"/>
        </w:rPr>
        <w:t xml:space="preserve"> CAT/C/GBR/CO/6, ‘UN CAT Committee Concluding Observations on the Sixth Periodic Report of the UK of Great Britain and NI’, 7 June 2019, at para 57.</w:t>
      </w:r>
    </w:p>
  </w:footnote>
  <w:footnote w:id="41">
    <w:p w14:paraId="2FAF675C" w14:textId="77777777" w:rsidR="006253AF" w:rsidRPr="0074780E" w:rsidRDefault="006253AF" w:rsidP="00231F2B">
      <w:pPr>
        <w:pStyle w:val="FootnoteText"/>
        <w:ind w:left="0" w:firstLine="0"/>
        <w:rPr>
          <w:rFonts w:ascii="Verdana" w:hAnsi="Verdana"/>
          <w:color w:val="7030A0"/>
          <w:sz w:val="16"/>
          <w:szCs w:val="16"/>
        </w:rPr>
      </w:pPr>
      <w:r w:rsidRPr="00845EB8">
        <w:rPr>
          <w:rStyle w:val="FootnoteReference"/>
          <w:rFonts w:ascii="Verdana" w:hAnsi="Verdana"/>
          <w:color w:val="77328A"/>
          <w:sz w:val="16"/>
          <w:szCs w:val="16"/>
        </w:rPr>
        <w:footnoteRef/>
      </w:r>
      <w:r w:rsidRPr="00845EB8">
        <w:rPr>
          <w:rFonts w:ascii="Verdana" w:hAnsi="Verdana"/>
          <w:color w:val="77328A"/>
          <w:sz w:val="16"/>
          <w:szCs w:val="16"/>
        </w:rPr>
        <w:t xml:space="preserve"> CEDAW/C/GBR/CO/8, ‘UN CEDAW Committee Concluding Observations on the Eighth Periodic Report of the UK of Great Britain and NI’, 14 March 2019, at para 26(d).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86FE0"/>
    <w:multiLevelType w:val="multilevel"/>
    <w:tmpl w:val="FB30FF9E"/>
    <w:lvl w:ilvl="0">
      <w:start w:val="2"/>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E6042D"/>
    <w:multiLevelType w:val="multilevel"/>
    <w:tmpl w:val="CC5ECCA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 w15:restartNumberingAfterBreak="0">
    <w:nsid w:val="0ACA1E2E"/>
    <w:multiLevelType w:val="multilevel"/>
    <w:tmpl w:val="0BD8C70E"/>
    <w:lvl w:ilvl="0">
      <w:start w:val="3"/>
      <w:numFmt w:val="decimal"/>
      <w:lvlText w:val="%1"/>
      <w:lvlJc w:val="left"/>
      <w:pPr>
        <w:ind w:left="390" w:hanging="390"/>
      </w:pPr>
      <w:rPr>
        <w:rFonts w:eastAsiaTheme="minorEastAsia" w:hint="default"/>
      </w:rPr>
    </w:lvl>
    <w:lvl w:ilvl="1">
      <w:start w:val="1"/>
      <w:numFmt w:val="decimal"/>
      <w:lvlText w:val="%1.%2"/>
      <w:lvlJc w:val="left"/>
      <w:pPr>
        <w:ind w:left="720" w:hanging="720"/>
      </w:pPr>
      <w:rPr>
        <w:rFonts w:eastAsiaTheme="minorEastAsia" w:hint="default"/>
      </w:rPr>
    </w:lvl>
    <w:lvl w:ilvl="2">
      <w:start w:val="1"/>
      <w:numFmt w:val="decimal"/>
      <w:lvlText w:val="%1.%2.%3"/>
      <w:lvlJc w:val="left"/>
      <w:pPr>
        <w:ind w:left="1080" w:hanging="108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440" w:hanging="1440"/>
      </w:pPr>
      <w:rPr>
        <w:rFonts w:eastAsiaTheme="minorEastAsia" w:hint="default"/>
      </w:rPr>
    </w:lvl>
    <w:lvl w:ilvl="5">
      <w:start w:val="1"/>
      <w:numFmt w:val="decimal"/>
      <w:lvlText w:val="%1.%2.%3.%4.%5.%6"/>
      <w:lvlJc w:val="left"/>
      <w:pPr>
        <w:ind w:left="1800" w:hanging="1800"/>
      </w:pPr>
      <w:rPr>
        <w:rFonts w:eastAsiaTheme="minorEastAsia" w:hint="default"/>
      </w:rPr>
    </w:lvl>
    <w:lvl w:ilvl="6">
      <w:start w:val="1"/>
      <w:numFmt w:val="decimal"/>
      <w:lvlText w:val="%1.%2.%3.%4.%5.%6.%7"/>
      <w:lvlJc w:val="left"/>
      <w:pPr>
        <w:ind w:left="2160" w:hanging="2160"/>
      </w:pPr>
      <w:rPr>
        <w:rFonts w:eastAsiaTheme="minorEastAsia" w:hint="default"/>
      </w:rPr>
    </w:lvl>
    <w:lvl w:ilvl="7">
      <w:start w:val="1"/>
      <w:numFmt w:val="decimal"/>
      <w:lvlText w:val="%1.%2.%3.%4.%5.%6.%7.%8"/>
      <w:lvlJc w:val="left"/>
      <w:pPr>
        <w:ind w:left="2520" w:hanging="2520"/>
      </w:pPr>
      <w:rPr>
        <w:rFonts w:eastAsiaTheme="minorEastAsia" w:hint="default"/>
      </w:rPr>
    </w:lvl>
    <w:lvl w:ilvl="8">
      <w:start w:val="1"/>
      <w:numFmt w:val="decimal"/>
      <w:lvlText w:val="%1.%2.%3.%4.%5.%6.%7.%8.%9"/>
      <w:lvlJc w:val="left"/>
      <w:pPr>
        <w:ind w:left="2520" w:hanging="2520"/>
      </w:pPr>
      <w:rPr>
        <w:rFonts w:eastAsiaTheme="minorEastAsia" w:hint="default"/>
      </w:rPr>
    </w:lvl>
  </w:abstractNum>
  <w:abstractNum w:abstractNumId="3" w15:restartNumberingAfterBreak="0">
    <w:nsid w:val="13D74158"/>
    <w:multiLevelType w:val="hybridMultilevel"/>
    <w:tmpl w:val="378A0B96"/>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start w:val="1"/>
      <w:numFmt w:val="bullet"/>
      <w:lvlText w:val=""/>
      <w:lvlJc w:val="left"/>
      <w:pPr>
        <w:ind w:left="2934" w:hanging="360"/>
      </w:pPr>
      <w:rPr>
        <w:rFonts w:ascii="Wingdings" w:hAnsi="Wingdings" w:hint="default"/>
      </w:rPr>
    </w:lvl>
    <w:lvl w:ilvl="3" w:tplc="08090001">
      <w:start w:val="1"/>
      <w:numFmt w:val="bullet"/>
      <w:lvlText w:val=""/>
      <w:lvlJc w:val="left"/>
      <w:pPr>
        <w:ind w:left="3654" w:hanging="360"/>
      </w:pPr>
      <w:rPr>
        <w:rFonts w:ascii="Symbol" w:hAnsi="Symbol" w:hint="default"/>
      </w:rPr>
    </w:lvl>
    <w:lvl w:ilvl="4" w:tplc="08090003">
      <w:start w:val="1"/>
      <w:numFmt w:val="bullet"/>
      <w:lvlText w:val="o"/>
      <w:lvlJc w:val="left"/>
      <w:pPr>
        <w:ind w:left="4374" w:hanging="360"/>
      </w:pPr>
      <w:rPr>
        <w:rFonts w:ascii="Courier New" w:hAnsi="Courier New" w:cs="Courier New" w:hint="default"/>
      </w:rPr>
    </w:lvl>
    <w:lvl w:ilvl="5" w:tplc="08090005">
      <w:start w:val="1"/>
      <w:numFmt w:val="bullet"/>
      <w:lvlText w:val=""/>
      <w:lvlJc w:val="left"/>
      <w:pPr>
        <w:ind w:left="5094" w:hanging="360"/>
      </w:pPr>
      <w:rPr>
        <w:rFonts w:ascii="Wingdings" w:hAnsi="Wingdings" w:hint="default"/>
      </w:rPr>
    </w:lvl>
    <w:lvl w:ilvl="6" w:tplc="08090001">
      <w:start w:val="1"/>
      <w:numFmt w:val="bullet"/>
      <w:lvlText w:val=""/>
      <w:lvlJc w:val="left"/>
      <w:pPr>
        <w:ind w:left="5814" w:hanging="360"/>
      </w:pPr>
      <w:rPr>
        <w:rFonts w:ascii="Symbol" w:hAnsi="Symbol" w:hint="default"/>
      </w:rPr>
    </w:lvl>
    <w:lvl w:ilvl="7" w:tplc="08090003">
      <w:start w:val="1"/>
      <w:numFmt w:val="bullet"/>
      <w:lvlText w:val="o"/>
      <w:lvlJc w:val="left"/>
      <w:pPr>
        <w:ind w:left="6534" w:hanging="360"/>
      </w:pPr>
      <w:rPr>
        <w:rFonts w:ascii="Courier New" w:hAnsi="Courier New" w:cs="Courier New" w:hint="default"/>
      </w:rPr>
    </w:lvl>
    <w:lvl w:ilvl="8" w:tplc="08090005">
      <w:start w:val="1"/>
      <w:numFmt w:val="bullet"/>
      <w:lvlText w:val=""/>
      <w:lvlJc w:val="left"/>
      <w:pPr>
        <w:ind w:left="7254" w:hanging="360"/>
      </w:pPr>
      <w:rPr>
        <w:rFonts w:ascii="Wingdings" w:hAnsi="Wingdings" w:hint="default"/>
      </w:rPr>
    </w:lvl>
  </w:abstractNum>
  <w:abstractNum w:abstractNumId="4" w15:restartNumberingAfterBreak="0">
    <w:nsid w:val="14F404A3"/>
    <w:multiLevelType w:val="multilevel"/>
    <w:tmpl w:val="F16EB0F8"/>
    <w:lvl w:ilvl="0">
      <w:start w:val="3"/>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5" w15:restartNumberingAfterBreak="0">
    <w:nsid w:val="175A18D4"/>
    <w:multiLevelType w:val="hybridMultilevel"/>
    <w:tmpl w:val="5944F2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57018A"/>
    <w:multiLevelType w:val="hybridMultilevel"/>
    <w:tmpl w:val="8A30D634"/>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4A4E99"/>
    <w:multiLevelType w:val="multilevel"/>
    <w:tmpl w:val="F16EB0F8"/>
    <w:lvl w:ilvl="0">
      <w:start w:val="3"/>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8" w15:restartNumberingAfterBreak="0">
    <w:nsid w:val="1D782C34"/>
    <w:multiLevelType w:val="multilevel"/>
    <w:tmpl w:val="110E9358"/>
    <w:lvl w:ilvl="0">
      <w:start w:val="4"/>
      <w:numFmt w:val="decimal"/>
      <w:lvlText w:val="%1"/>
      <w:lvlJc w:val="left"/>
      <w:pPr>
        <w:ind w:left="608" w:hanging="608"/>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2139525F"/>
    <w:multiLevelType w:val="hybridMultilevel"/>
    <w:tmpl w:val="8CF40FB0"/>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224CCB"/>
    <w:multiLevelType w:val="multilevel"/>
    <w:tmpl w:val="A7001A28"/>
    <w:lvl w:ilvl="0">
      <w:start w:val="2"/>
      <w:numFmt w:val="decimal"/>
      <w:lvlText w:val="%1"/>
      <w:lvlJc w:val="left"/>
      <w:pPr>
        <w:ind w:left="360" w:hanging="360"/>
      </w:pPr>
      <w:rPr>
        <w:rFonts w:cs="Times New Roman" w:hint="default"/>
      </w:rPr>
    </w:lvl>
    <w:lvl w:ilv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95717D5"/>
    <w:multiLevelType w:val="multilevel"/>
    <w:tmpl w:val="07B614CC"/>
    <w:lvl w:ilvl="0">
      <w:start w:val="3"/>
      <w:numFmt w:val="decimal"/>
      <w:lvlText w:val="%1"/>
      <w:lvlJc w:val="left"/>
      <w:pPr>
        <w:ind w:left="390" w:hanging="390"/>
      </w:pPr>
      <w:rPr>
        <w:rFonts w:eastAsia="Times New Roman" w:hint="default"/>
        <w:color w:val="auto"/>
      </w:rPr>
    </w:lvl>
    <w:lvl w:ilvl="1">
      <w:start w:val="1"/>
      <w:numFmt w:val="decimal"/>
      <w:lvlText w:val="%1.%2"/>
      <w:lvlJc w:val="left"/>
      <w:pPr>
        <w:ind w:left="720" w:hanging="720"/>
      </w:pPr>
      <w:rPr>
        <w:rFonts w:eastAsia="Times New Roman" w:hint="default"/>
        <w:color w:val="auto"/>
      </w:rPr>
    </w:lvl>
    <w:lvl w:ilvl="2">
      <w:start w:val="1"/>
      <w:numFmt w:val="decimal"/>
      <w:lvlText w:val="%1.%2.%3"/>
      <w:lvlJc w:val="left"/>
      <w:pPr>
        <w:ind w:left="1080" w:hanging="1080"/>
      </w:pPr>
      <w:rPr>
        <w:rFonts w:eastAsia="Times New Roman" w:hint="default"/>
        <w:color w:val="auto"/>
      </w:rPr>
    </w:lvl>
    <w:lvl w:ilvl="3">
      <w:start w:val="1"/>
      <w:numFmt w:val="decimal"/>
      <w:lvlText w:val="%1.%2.%3.%4"/>
      <w:lvlJc w:val="left"/>
      <w:pPr>
        <w:ind w:left="1080" w:hanging="1080"/>
      </w:pPr>
      <w:rPr>
        <w:rFonts w:eastAsia="Times New Roman" w:hint="default"/>
        <w:color w:val="auto"/>
      </w:rPr>
    </w:lvl>
    <w:lvl w:ilvl="4">
      <w:start w:val="1"/>
      <w:numFmt w:val="decimal"/>
      <w:lvlText w:val="%1.%2.%3.%4.%5"/>
      <w:lvlJc w:val="left"/>
      <w:pPr>
        <w:ind w:left="1440" w:hanging="1440"/>
      </w:pPr>
      <w:rPr>
        <w:rFonts w:eastAsia="Times New Roman" w:hint="default"/>
        <w:color w:val="auto"/>
      </w:rPr>
    </w:lvl>
    <w:lvl w:ilvl="5">
      <w:start w:val="1"/>
      <w:numFmt w:val="decimal"/>
      <w:lvlText w:val="%1.%2.%3.%4.%5.%6"/>
      <w:lvlJc w:val="left"/>
      <w:pPr>
        <w:ind w:left="1800" w:hanging="1800"/>
      </w:pPr>
      <w:rPr>
        <w:rFonts w:eastAsia="Times New Roman" w:hint="default"/>
        <w:color w:val="auto"/>
      </w:rPr>
    </w:lvl>
    <w:lvl w:ilvl="6">
      <w:start w:val="1"/>
      <w:numFmt w:val="decimal"/>
      <w:lvlText w:val="%1.%2.%3.%4.%5.%6.%7"/>
      <w:lvlJc w:val="left"/>
      <w:pPr>
        <w:ind w:left="2160" w:hanging="2160"/>
      </w:pPr>
      <w:rPr>
        <w:rFonts w:eastAsia="Times New Roman" w:hint="default"/>
        <w:color w:val="auto"/>
      </w:rPr>
    </w:lvl>
    <w:lvl w:ilvl="7">
      <w:start w:val="1"/>
      <w:numFmt w:val="decimal"/>
      <w:lvlText w:val="%1.%2.%3.%4.%5.%6.%7.%8"/>
      <w:lvlJc w:val="left"/>
      <w:pPr>
        <w:ind w:left="2520" w:hanging="2520"/>
      </w:pPr>
      <w:rPr>
        <w:rFonts w:eastAsia="Times New Roman" w:hint="default"/>
        <w:color w:val="auto"/>
      </w:rPr>
    </w:lvl>
    <w:lvl w:ilvl="8">
      <w:start w:val="1"/>
      <w:numFmt w:val="decimal"/>
      <w:lvlText w:val="%1.%2.%3.%4.%5.%6.%7.%8.%9"/>
      <w:lvlJc w:val="left"/>
      <w:pPr>
        <w:ind w:left="2520" w:hanging="2520"/>
      </w:pPr>
      <w:rPr>
        <w:rFonts w:eastAsia="Times New Roman" w:hint="default"/>
        <w:color w:val="auto"/>
      </w:rPr>
    </w:lvl>
  </w:abstractNum>
  <w:abstractNum w:abstractNumId="12" w15:restartNumberingAfterBreak="0">
    <w:nsid w:val="2A2050A9"/>
    <w:multiLevelType w:val="hybridMultilevel"/>
    <w:tmpl w:val="77B02C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447DFB"/>
    <w:multiLevelType w:val="hybridMultilevel"/>
    <w:tmpl w:val="A3B84D18"/>
    <w:lvl w:ilvl="0" w:tplc="50960044">
      <w:start w:val="1"/>
      <w:numFmt w:val="decimal"/>
      <w:lvlText w:val="%1."/>
      <w:lvlJc w:val="left"/>
      <w:pPr>
        <w:ind w:left="360" w:hanging="360"/>
      </w:pPr>
      <w:rPr>
        <w:rFonts w:hint="default"/>
        <w:color w:val="7347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8013CB2"/>
    <w:multiLevelType w:val="multilevel"/>
    <w:tmpl w:val="6068D37E"/>
    <w:lvl w:ilvl="0">
      <w:start w:val="4"/>
      <w:numFmt w:val="decimal"/>
      <w:lvlText w:val="%1"/>
      <w:lvlJc w:val="left"/>
      <w:pPr>
        <w:ind w:left="608" w:hanging="608"/>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39D30299"/>
    <w:multiLevelType w:val="hybridMultilevel"/>
    <w:tmpl w:val="C720A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422170"/>
    <w:multiLevelType w:val="hybridMultilevel"/>
    <w:tmpl w:val="E522FDC6"/>
    <w:lvl w:ilvl="0" w:tplc="9174B4FC">
      <w:start w:val="1"/>
      <w:numFmt w:val="bullet"/>
      <w:lvlText w:val=""/>
      <w:lvlJc w:val="left"/>
      <w:pPr>
        <w:ind w:left="360" w:hanging="360"/>
      </w:pPr>
      <w:rPr>
        <w:rFonts w:ascii="Symbol" w:hAnsi="Symbol" w:hint="default"/>
        <w:color w:val="77328A"/>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A62C0A"/>
    <w:multiLevelType w:val="multilevel"/>
    <w:tmpl w:val="619040C0"/>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8" w15:restartNumberingAfterBreak="0">
    <w:nsid w:val="483A0D19"/>
    <w:multiLevelType w:val="multilevel"/>
    <w:tmpl w:val="F16EB0F8"/>
    <w:lvl w:ilvl="0">
      <w:start w:val="3"/>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9" w15:restartNumberingAfterBreak="0">
    <w:nsid w:val="4ECD46DA"/>
    <w:multiLevelType w:val="hybridMultilevel"/>
    <w:tmpl w:val="A198F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113044B"/>
    <w:multiLevelType w:val="multilevel"/>
    <w:tmpl w:val="FB30FF9E"/>
    <w:lvl w:ilvl="0">
      <w:start w:val="2"/>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F7C6A0F"/>
    <w:multiLevelType w:val="multilevel"/>
    <w:tmpl w:val="C6F2AA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82932B6"/>
    <w:multiLevelType w:val="multilevel"/>
    <w:tmpl w:val="FB30FF9E"/>
    <w:lvl w:ilvl="0">
      <w:start w:val="2"/>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216645"/>
    <w:multiLevelType w:val="multilevel"/>
    <w:tmpl w:val="639CCE84"/>
    <w:lvl w:ilvl="0">
      <w:start w:val="4"/>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4" w15:restartNumberingAfterBreak="0">
    <w:nsid w:val="6A464472"/>
    <w:multiLevelType w:val="multilevel"/>
    <w:tmpl w:val="C2166B60"/>
    <w:lvl w:ilvl="0">
      <w:start w:val="1"/>
      <w:numFmt w:val="decimal"/>
      <w:lvlText w:val="%1.0"/>
      <w:lvlJc w:val="left"/>
      <w:pPr>
        <w:ind w:left="720" w:hanging="720"/>
      </w:pPr>
      <w:rPr>
        <w:rFonts w:hint="default"/>
        <w:color w:val="77328A"/>
      </w:rPr>
    </w:lvl>
    <w:lvl w:ilvl="1">
      <w:numFmt w:val="decimal"/>
      <w:lvlText w:val="%1.%2"/>
      <w:lvlJc w:val="left"/>
      <w:pPr>
        <w:ind w:left="720" w:hanging="720"/>
      </w:pPr>
      <w:rPr>
        <w:rFonts w:hint="default"/>
        <w:b w:val="0"/>
        <w:color w:val="auto"/>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5" w15:restartNumberingAfterBreak="0">
    <w:nsid w:val="712B47C3"/>
    <w:multiLevelType w:val="multilevel"/>
    <w:tmpl w:val="9D266012"/>
    <w:lvl w:ilvl="0">
      <w:start w:val="4"/>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6" w15:restartNumberingAfterBreak="0">
    <w:nsid w:val="732D4628"/>
    <w:multiLevelType w:val="hybridMultilevel"/>
    <w:tmpl w:val="7BB07136"/>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79B3FE5"/>
    <w:multiLevelType w:val="multilevel"/>
    <w:tmpl w:val="F16EB0F8"/>
    <w:lvl w:ilvl="0">
      <w:start w:val="3"/>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8" w15:restartNumberingAfterBreak="0">
    <w:nsid w:val="7CD83C24"/>
    <w:multiLevelType w:val="hybridMultilevel"/>
    <w:tmpl w:val="F640AA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9"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E7826D0"/>
    <w:multiLevelType w:val="multilevel"/>
    <w:tmpl w:val="619040C0"/>
    <w:lvl w:ilvl="0">
      <w:start w:val="3"/>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num w:numId="1">
    <w:abstractNumId w:val="19"/>
  </w:num>
  <w:num w:numId="2">
    <w:abstractNumId w:val="29"/>
  </w:num>
  <w:num w:numId="3">
    <w:abstractNumId w:val="6"/>
  </w:num>
  <w:num w:numId="4">
    <w:abstractNumId w:val="13"/>
  </w:num>
  <w:num w:numId="5">
    <w:abstractNumId w:val="26"/>
  </w:num>
  <w:num w:numId="6">
    <w:abstractNumId w:val="9"/>
  </w:num>
  <w:num w:numId="7">
    <w:abstractNumId w:val="16"/>
  </w:num>
  <w:num w:numId="8">
    <w:abstractNumId w:val="1"/>
  </w:num>
  <w:num w:numId="9">
    <w:abstractNumId w:val="24"/>
  </w:num>
  <w:num w:numId="10">
    <w:abstractNumId w:val="3"/>
  </w:num>
  <w:num w:numId="11">
    <w:abstractNumId w:val="28"/>
  </w:num>
  <w:num w:numId="12">
    <w:abstractNumId w:val="20"/>
  </w:num>
  <w:num w:numId="13">
    <w:abstractNumId w:val="21"/>
  </w:num>
  <w:num w:numId="14">
    <w:abstractNumId w:val="0"/>
  </w:num>
  <w:num w:numId="15">
    <w:abstractNumId w:val="12"/>
  </w:num>
  <w:num w:numId="16">
    <w:abstractNumId w:val="15"/>
  </w:num>
  <w:num w:numId="17">
    <w:abstractNumId w:val="27"/>
  </w:num>
  <w:num w:numId="18">
    <w:abstractNumId w:val="30"/>
  </w:num>
  <w:num w:numId="19">
    <w:abstractNumId w:val="17"/>
  </w:num>
  <w:num w:numId="20">
    <w:abstractNumId w:val="4"/>
  </w:num>
  <w:num w:numId="21">
    <w:abstractNumId w:val="18"/>
  </w:num>
  <w:num w:numId="22">
    <w:abstractNumId w:val="7"/>
  </w:num>
  <w:num w:numId="23">
    <w:abstractNumId w:val="2"/>
  </w:num>
  <w:num w:numId="24">
    <w:abstractNumId w:val="10"/>
  </w:num>
  <w:num w:numId="25">
    <w:abstractNumId w:val="5"/>
  </w:num>
  <w:num w:numId="26">
    <w:abstractNumId w:val="22"/>
  </w:num>
  <w:num w:numId="27">
    <w:abstractNumId w:val="25"/>
  </w:num>
  <w:num w:numId="28">
    <w:abstractNumId w:val="11"/>
  </w:num>
  <w:num w:numId="29">
    <w:abstractNumId w:val="23"/>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1"/>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532"/>
    <w:rsid w:val="0000491C"/>
    <w:rsid w:val="0003410C"/>
    <w:rsid w:val="00046705"/>
    <w:rsid w:val="0005379E"/>
    <w:rsid w:val="00076D06"/>
    <w:rsid w:val="00092B27"/>
    <w:rsid w:val="000B5EB5"/>
    <w:rsid w:val="000E1F61"/>
    <w:rsid w:val="000E7F0C"/>
    <w:rsid w:val="000F2502"/>
    <w:rsid w:val="00102DE9"/>
    <w:rsid w:val="001313A6"/>
    <w:rsid w:val="00133DB6"/>
    <w:rsid w:val="00146A2C"/>
    <w:rsid w:val="00167584"/>
    <w:rsid w:val="00190EAA"/>
    <w:rsid w:val="001933A8"/>
    <w:rsid w:val="001E79A9"/>
    <w:rsid w:val="00213B8A"/>
    <w:rsid w:val="00215A8E"/>
    <w:rsid w:val="00217E85"/>
    <w:rsid w:val="00224140"/>
    <w:rsid w:val="00231F2B"/>
    <w:rsid w:val="002351CB"/>
    <w:rsid w:val="002428EC"/>
    <w:rsid w:val="002A4451"/>
    <w:rsid w:val="002B1272"/>
    <w:rsid w:val="002B3D88"/>
    <w:rsid w:val="002D6854"/>
    <w:rsid w:val="00304320"/>
    <w:rsid w:val="00306317"/>
    <w:rsid w:val="00310F19"/>
    <w:rsid w:val="00331C61"/>
    <w:rsid w:val="00341BFE"/>
    <w:rsid w:val="00363404"/>
    <w:rsid w:val="00365643"/>
    <w:rsid w:val="00367CCA"/>
    <w:rsid w:val="00384048"/>
    <w:rsid w:val="003B24C3"/>
    <w:rsid w:val="003B7D0E"/>
    <w:rsid w:val="003D09D2"/>
    <w:rsid w:val="003E2DD3"/>
    <w:rsid w:val="00400A68"/>
    <w:rsid w:val="0041116F"/>
    <w:rsid w:val="004147D2"/>
    <w:rsid w:val="004450AF"/>
    <w:rsid w:val="00456DBD"/>
    <w:rsid w:val="00463D6B"/>
    <w:rsid w:val="0046493E"/>
    <w:rsid w:val="00466A2E"/>
    <w:rsid w:val="004672AC"/>
    <w:rsid w:val="00481F4A"/>
    <w:rsid w:val="004B684F"/>
    <w:rsid w:val="00504E7A"/>
    <w:rsid w:val="0051619E"/>
    <w:rsid w:val="0052668C"/>
    <w:rsid w:val="0053335A"/>
    <w:rsid w:val="00540106"/>
    <w:rsid w:val="005451E6"/>
    <w:rsid w:val="00552293"/>
    <w:rsid w:val="00562673"/>
    <w:rsid w:val="00564966"/>
    <w:rsid w:val="005651FC"/>
    <w:rsid w:val="00566574"/>
    <w:rsid w:val="00583DCB"/>
    <w:rsid w:val="00597C1A"/>
    <w:rsid w:val="005B27AC"/>
    <w:rsid w:val="005B2A55"/>
    <w:rsid w:val="005B723E"/>
    <w:rsid w:val="005D20DD"/>
    <w:rsid w:val="005D3BCB"/>
    <w:rsid w:val="005F5F0D"/>
    <w:rsid w:val="00607633"/>
    <w:rsid w:val="0060797E"/>
    <w:rsid w:val="00613801"/>
    <w:rsid w:val="006253AF"/>
    <w:rsid w:val="00630499"/>
    <w:rsid w:val="00647477"/>
    <w:rsid w:val="00656ECD"/>
    <w:rsid w:val="00664C18"/>
    <w:rsid w:val="00667BAC"/>
    <w:rsid w:val="00676C08"/>
    <w:rsid w:val="00701507"/>
    <w:rsid w:val="00705833"/>
    <w:rsid w:val="00737A80"/>
    <w:rsid w:val="0074780E"/>
    <w:rsid w:val="007569C1"/>
    <w:rsid w:val="0076746C"/>
    <w:rsid w:val="00783B86"/>
    <w:rsid w:val="00786E3A"/>
    <w:rsid w:val="007A5EDB"/>
    <w:rsid w:val="007C3F8E"/>
    <w:rsid w:val="007C7979"/>
    <w:rsid w:val="007E4EFE"/>
    <w:rsid w:val="007E6A95"/>
    <w:rsid w:val="007F129C"/>
    <w:rsid w:val="007F266D"/>
    <w:rsid w:val="00812D47"/>
    <w:rsid w:val="008159E8"/>
    <w:rsid w:val="00824435"/>
    <w:rsid w:val="00825789"/>
    <w:rsid w:val="00827674"/>
    <w:rsid w:val="0083180E"/>
    <w:rsid w:val="00845EB8"/>
    <w:rsid w:val="008522FD"/>
    <w:rsid w:val="0086753D"/>
    <w:rsid w:val="0087161B"/>
    <w:rsid w:val="00872187"/>
    <w:rsid w:val="00875E68"/>
    <w:rsid w:val="00887575"/>
    <w:rsid w:val="008B4B8E"/>
    <w:rsid w:val="008D7C32"/>
    <w:rsid w:val="008E1E6F"/>
    <w:rsid w:val="008F109F"/>
    <w:rsid w:val="00904C81"/>
    <w:rsid w:val="0091232B"/>
    <w:rsid w:val="00941834"/>
    <w:rsid w:val="00946132"/>
    <w:rsid w:val="009607F6"/>
    <w:rsid w:val="00962B2B"/>
    <w:rsid w:val="0096459E"/>
    <w:rsid w:val="00991049"/>
    <w:rsid w:val="00991F97"/>
    <w:rsid w:val="009D3B57"/>
    <w:rsid w:val="00A001EE"/>
    <w:rsid w:val="00A25E56"/>
    <w:rsid w:val="00A33337"/>
    <w:rsid w:val="00A34466"/>
    <w:rsid w:val="00A349F7"/>
    <w:rsid w:val="00A44F08"/>
    <w:rsid w:val="00A465D1"/>
    <w:rsid w:val="00A67EF9"/>
    <w:rsid w:val="00A733CB"/>
    <w:rsid w:val="00A843E5"/>
    <w:rsid w:val="00AA28AF"/>
    <w:rsid w:val="00AB18E0"/>
    <w:rsid w:val="00AB7A5E"/>
    <w:rsid w:val="00AC4270"/>
    <w:rsid w:val="00AE5606"/>
    <w:rsid w:val="00B06A45"/>
    <w:rsid w:val="00B219F6"/>
    <w:rsid w:val="00B27295"/>
    <w:rsid w:val="00B40012"/>
    <w:rsid w:val="00B44BDA"/>
    <w:rsid w:val="00B54ED9"/>
    <w:rsid w:val="00B57454"/>
    <w:rsid w:val="00B96D34"/>
    <w:rsid w:val="00BB128E"/>
    <w:rsid w:val="00BB259F"/>
    <w:rsid w:val="00BE5849"/>
    <w:rsid w:val="00C2725D"/>
    <w:rsid w:val="00C63E64"/>
    <w:rsid w:val="00C7603E"/>
    <w:rsid w:val="00C76E49"/>
    <w:rsid w:val="00C9748D"/>
    <w:rsid w:val="00CA69C2"/>
    <w:rsid w:val="00CB104F"/>
    <w:rsid w:val="00CB7E38"/>
    <w:rsid w:val="00CC7929"/>
    <w:rsid w:val="00CE3039"/>
    <w:rsid w:val="00CE32B2"/>
    <w:rsid w:val="00CF0261"/>
    <w:rsid w:val="00D12EF8"/>
    <w:rsid w:val="00D16532"/>
    <w:rsid w:val="00D2770F"/>
    <w:rsid w:val="00D37C17"/>
    <w:rsid w:val="00D41305"/>
    <w:rsid w:val="00D73465"/>
    <w:rsid w:val="00D90BCA"/>
    <w:rsid w:val="00DC0730"/>
    <w:rsid w:val="00DF5375"/>
    <w:rsid w:val="00E14AD0"/>
    <w:rsid w:val="00E711C4"/>
    <w:rsid w:val="00E72287"/>
    <w:rsid w:val="00E828D6"/>
    <w:rsid w:val="00E85938"/>
    <w:rsid w:val="00E96779"/>
    <w:rsid w:val="00EA12CE"/>
    <w:rsid w:val="00EA2EB7"/>
    <w:rsid w:val="00EB4D08"/>
    <w:rsid w:val="00EB6B6F"/>
    <w:rsid w:val="00EF05A4"/>
    <w:rsid w:val="00F01986"/>
    <w:rsid w:val="00F31387"/>
    <w:rsid w:val="00F373DE"/>
    <w:rsid w:val="00F43CE4"/>
    <w:rsid w:val="00F51A88"/>
    <w:rsid w:val="00F56664"/>
    <w:rsid w:val="00F56C78"/>
    <w:rsid w:val="00F67137"/>
    <w:rsid w:val="00F7037E"/>
    <w:rsid w:val="00F836A2"/>
    <w:rsid w:val="00F87A03"/>
    <w:rsid w:val="00F91510"/>
    <w:rsid w:val="00FB3A69"/>
    <w:rsid w:val="00FC6A56"/>
    <w:rsid w:val="00FF3C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17343F"/>
  <w14:defaultImageDpi w14:val="300"/>
  <w15:docId w15:val="{CC4997BB-8FE9-49D1-BB35-C9A8DC93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pPr>
        <w:spacing w:before="24" w:after="24" w:line="288"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B104F"/>
    <w:pPr>
      <w:keepNext/>
      <w:keepLines/>
      <w:spacing w:before="240"/>
      <w:outlineLvl w:val="0"/>
    </w:pPr>
    <w:rPr>
      <w:rFonts w:ascii="Verdana" w:eastAsiaTheme="majorEastAsia" w:hAnsi="Verdana" w:cstheme="majorBidi"/>
      <w:b/>
      <w:sz w:val="30"/>
      <w:szCs w:val="32"/>
    </w:rPr>
  </w:style>
  <w:style w:type="paragraph" w:styleId="Heading2">
    <w:name w:val="heading 2"/>
    <w:basedOn w:val="Normal"/>
    <w:next w:val="Normal"/>
    <w:link w:val="Heading2Char"/>
    <w:uiPriority w:val="9"/>
    <w:unhideWhenUsed/>
    <w:qFormat/>
    <w:rsid w:val="00CB104F"/>
    <w:pPr>
      <w:keepNext/>
      <w:keepLines/>
      <w:spacing w:before="40"/>
      <w:outlineLvl w:val="1"/>
    </w:pPr>
    <w:rPr>
      <w:rFonts w:ascii="Verdana" w:eastAsiaTheme="majorEastAsia" w:hAnsi="Verdana" w:cstheme="majorBidi"/>
      <w:b/>
      <w:szCs w:val="26"/>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basedOn w:val="Normal"/>
    <w:link w:val="FootnoteTextChar"/>
    <w:uiPriority w:val="99"/>
    <w:unhideWhenUsed/>
    <w:rsid w:val="00224140"/>
  </w:style>
  <w:style w:type="character" w:customStyle="1" w:styleId="FootnoteTextChar">
    <w:name w:val="Footnote Text Char"/>
    <w:basedOn w:val="DefaultParagraphFont"/>
    <w:link w:val="FootnoteText"/>
    <w:uiPriority w:val="99"/>
    <w:rsid w:val="00224140"/>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ascii="Verdana" w:hAnsi="Verdana"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basedOn w:val="Normal"/>
    <w:uiPriority w:val="34"/>
    <w:qFormat/>
    <w:rsid w:val="00F51A88"/>
    <w:pPr>
      <w:contextualSpacing/>
    </w:pPr>
    <w:rPr>
      <w:rFonts w:ascii="Verdana" w:eastAsia="MS Mincho" w:hAnsi="Verdana" w:cs="Times New Roman"/>
    </w:rPr>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FootnoteReference"/>
    <w:uiPriority w:val="99"/>
    <w:rsid w:val="00CB104F"/>
    <w:pPr>
      <w:spacing w:after="160" w:line="240" w:lineRule="exact"/>
      <w:jc w:val="both"/>
    </w:pPr>
    <w:rPr>
      <w:vertAlign w:val="superscript"/>
    </w:rPr>
  </w:style>
  <w:style w:type="character" w:customStyle="1" w:styleId="Heading2Char">
    <w:name w:val="Heading 2 Char"/>
    <w:basedOn w:val="DefaultParagraphFont"/>
    <w:link w:val="Heading2"/>
    <w:uiPriority w:val="9"/>
    <w:rsid w:val="00CB104F"/>
    <w:rPr>
      <w:rFonts w:ascii="Verdana" w:eastAsiaTheme="majorEastAsia" w:hAnsi="Verdana" w:cstheme="majorBidi"/>
      <w:b/>
      <w:szCs w:val="26"/>
    </w:rPr>
  </w:style>
  <w:style w:type="character" w:customStyle="1" w:styleId="Heading1Char">
    <w:name w:val="Heading 1 Char"/>
    <w:basedOn w:val="DefaultParagraphFont"/>
    <w:link w:val="Heading1"/>
    <w:uiPriority w:val="9"/>
    <w:rsid w:val="00CB104F"/>
    <w:rPr>
      <w:rFonts w:ascii="Verdana" w:eastAsiaTheme="majorEastAsia" w:hAnsi="Verdana" w:cstheme="majorBidi"/>
      <w:b/>
      <w:sz w:val="30"/>
      <w:szCs w:val="32"/>
    </w:rPr>
  </w:style>
  <w:style w:type="paragraph" w:styleId="TOCHeading">
    <w:name w:val="TOC Heading"/>
    <w:basedOn w:val="Heading1"/>
    <w:next w:val="Normal"/>
    <w:uiPriority w:val="39"/>
    <w:unhideWhenUsed/>
    <w:qFormat/>
    <w:rsid w:val="00CA69C2"/>
    <w:pPr>
      <w:spacing w:line="259" w:lineRule="auto"/>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456DBD"/>
    <w:pPr>
      <w:tabs>
        <w:tab w:val="right" w:leader="dot" w:pos="9848"/>
      </w:tabs>
      <w:spacing w:after="100"/>
    </w:pPr>
    <w:rPr>
      <w:b/>
      <w:noProof/>
    </w:rPr>
  </w:style>
  <w:style w:type="paragraph" w:styleId="TOC2">
    <w:name w:val="toc 2"/>
    <w:basedOn w:val="Normal"/>
    <w:next w:val="Normal"/>
    <w:autoRedefine/>
    <w:uiPriority w:val="39"/>
    <w:unhideWhenUsed/>
    <w:rsid w:val="00CA69C2"/>
    <w:pPr>
      <w:spacing w:after="100"/>
      <w:ind w:left="240"/>
    </w:pPr>
  </w:style>
  <w:style w:type="paragraph" w:styleId="Quote">
    <w:name w:val="Quote"/>
    <w:basedOn w:val="Normal"/>
    <w:next w:val="Normal"/>
    <w:link w:val="QuoteChar"/>
    <w:uiPriority w:val="29"/>
    <w:qFormat/>
    <w:rsid w:val="00456DBD"/>
    <w:pPr>
      <w:spacing w:before="200" w:after="160"/>
      <w:ind w:left="864" w:right="864"/>
    </w:pPr>
    <w:rPr>
      <w:rFonts w:ascii="Verdana" w:hAnsi="Verdana"/>
      <w:iCs/>
    </w:rPr>
  </w:style>
  <w:style w:type="character" w:customStyle="1" w:styleId="QuoteChar">
    <w:name w:val="Quote Char"/>
    <w:basedOn w:val="DefaultParagraphFont"/>
    <w:link w:val="Quote"/>
    <w:uiPriority w:val="29"/>
    <w:rsid w:val="00456DBD"/>
    <w:rPr>
      <w:rFonts w:ascii="Verdana" w:hAnsi="Verdana"/>
      <w:iCs/>
    </w:rPr>
  </w:style>
  <w:style w:type="character" w:styleId="CommentReference">
    <w:name w:val="annotation reference"/>
    <w:basedOn w:val="DefaultParagraphFont"/>
    <w:uiPriority w:val="99"/>
    <w:semiHidden/>
    <w:unhideWhenUsed/>
    <w:rsid w:val="00D90BCA"/>
    <w:rPr>
      <w:sz w:val="16"/>
      <w:szCs w:val="16"/>
    </w:rPr>
  </w:style>
  <w:style w:type="paragraph" w:styleId="CommentText">
    <w:name w:val="annotation text"/>
    <w:basedOn w:val="Normal"/>
    <w:link w:val="CommentTextChar"/>
    <w:uiPriority w:val="99"/>
    <w:semiHidden/>
    <w:unhideWhenUsed/>
    <w:rsid w:val="00D90BCA"/>
    <w:pPr>
      <w:spacing w:line="240" w:lineRule="auto"/>
    </w:pPr>
    <w:rPr>
      <w:sz w:val="20"/>
      <w:szCs w:val="20"/>
    </w:rPr>
  </w:style>
  <w:style w:type="character" w:customStyle="1" w:styleId="CommentTextChar">
    <w:name w:val="Comment Text Char"/>
    <w:basedOn w:val="DefaultParagraphFont"/>
    <w:link w:val="CommentText"/>
    <w:uiPriority w:val="99"/>
    <w:semiHidden/>
    <w:rsid w:val="00D90BCA"/>
    <w:rPr>
      <w:sz w:val="20"/>
      <w:szCs w:val="20"/>
    </w:rPr>
  </w:style>
  <w:style w:type="paragraph" w:styleId="CommentSubject">
    <w:name w:val="annotation subject"/>
    <w:basedOn w:val="CommentText"/>
    <w:next w:val="CommentText"/>
    <w:link w:val="CommentSubjectChar"/>
    <w:uiPriority w:val="99"/>
    <w:semiHidden/>
    <w:unhideWhenUsed/>
    <w:rsid w:val="00D90BCA"/>
    <w:rPr>
      <w:b/>
      <w:bCs/>
    </w:rPr>
  </w:style>
  <w:style w:type="character" w:customStyle="1" w:styleId="CommentSubjectChar">
    <w:name w:val="Comment Subject Char"/>
    <w:basedOn w:val="CommentTextChar"/>
    <w:link w:val="CommentSubject"/>
    <w:uiPriority w:val="99"/>
    <w:semiHidden/>
    <w:rsid w:val="00D90BCA"/>
    <w:rPr>
      <w:b/>
      <w:bCs/>
      <w:sz w:val="20"/>
      <w:szCs w:val="20"/>
    </w:rPr>
  </w:style>
  <w:style w:type="character" w:styleId="Strong">
    <w:name w:val="Strong"/>
    <w:basedOn w:val="DefaultParagraphFont"/>
    <w:uiPriority w:val="22"/>
    <w:qFormat/>
    <w:rsid w:val="0003410C"/>
    <w:rPr>
      <w:b/>
      <w:bCs/>
    </w:rPr>
  </w:style>
  <w:style w:type="character" w:customStyle="1" w:styleId="normal10">
    <w:name w:val="normal10"/>
    <w:basedOn w:val="DefaultParagraphFont"/>
    <w:rsid w:val="0003410C"/>
  </w:style>
  <w:style w:type="paragraph" w:styleId="Revision">
    <w:name w:val="Revision"/>
    <w:hidden/>
    <w:uiPriority w:val="99"/>
    <w:semiHidden/>
    <w:rsid w:val="00F836A2"/>
    <w:pPr>
      <w:spacing w:before="0" w:after="0" w:line="240" w:lineRule="auto"/>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413199">
      <w:bodyDiv w:val="1"/>
      <w:marLeft w:val="0"/>
      <w:marRight w:val="0"/>
      <w:marTop w:val="0"/>
      <w:marBottom w:val="0"/>
      <w:divBdr>
        <w:top w:val="none" w:sz="0" w:space="0" w:color="auto"/>
        <w:left w:val="none" w:sz="0" w:space="0" w:color="auto"/>
        <w:bottom w:val="none" w:sz="0" w:space="0" w:color="auto"/>
        <w:right w:val="none" w:sz="0" w:space="0" w:color="auto"/>
      </w:divBdr>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44833">
      <w:bodyDiv w:val="1"/>
      <w:marLeft w:val="0"/>
      <w:marRight w:val="0"/>
      <w:marTop w:val="0"/>
      <w:marBottom w:val="0"/>
      <w:divBdr>
        <w:top w:val="none" w:sz="0" w:space="0" w:color="auto"/>
        <w:left w:val="none" w:sz="0" w:space="0" w:color="auto"/>
        <w:bottom w:val="none" w:sz="0" w:space="0" w:color="auto"/>
        <w:right w:val="none" w:sz="0" w:space="0" w:color="auto"/>
      </w:divBdr>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1747260304">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ihr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ihr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AD2BB5DFF6441BF4CFA009782A63B" ma:contentTypeVersion="10" ma:contentTypeDescription="Create a new document." ma:contentTypeScope="" ma:versionID="3971ab932d864ccae1821e6cda6cfb16">
  <xsd:schema xmlns:xsd="http://www.w3.org/2001/XMLSchema" xmlns:xs="http://www.w3.org/2001/XMLSchema" xmlns:p="http://schemas.microsoft.com/office/2006/metadata/properties" xmlns:ns3="18f1ece0-6612-47c8-941d-14a5148bb64f" targetNamespace="http://schemas.microsoft.com/office/2006/metadata/properties" ma:root="true" ma:fieldsID="0339965a9141169c220d8fe86f7bc3ce" ns3:_="">
    <xsd:import namespace="18f1ece0-6612-47c8-941d-14a5148bb6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1ece0-6612-47c8-941d-14a5148bb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90602-E1F1-42ED-95A5-21FBA61D1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1ece0-6612-47c8-941d-14a5148bb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F41AC6-56F0-4437-8C67-3F6BFF044C2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18f1ece0-6612-47c8-941d-14a5148bb64f"/>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7588107-A945-4F4B-9236-73EC82470D53}">
  <ds:schemaRefs>
    <ds:schemaRef ds:uri="http://schemas.microsoft.com/sharepoint/v3/contenttype/forms"/>
  </ds:schemaRefs>
</ds:datastoreItem>
</file>

<file path=customXml/itemProps4.xml><?xml version="1.0" encoding="utf-8"?>
<ds:datastoreItem xmlns:ds="http://schemas.openxmlformats.org/officeDocument/2006/customXml" ds:itemID="{522A5A9B-3554-447F-9761-9454AF706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4634</Words>
  <Characters>26416</Characters>
  <Application>Microsoft Office Word</Application>
  <DocSecurity>8</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30989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Helena Begley</cp:lastModifiedBy>
  <cp:revision>2</cp:revision>
  <cp:lastPrinted>2021-02-18T17:03:00Z</cp:lastPrinted>
  <dcterms:created xsi:type="dcterms:W3CDTF">2021-03-17T11:16:00Z</dcterms:created>
  <dcterms:modified xsi:type="dcterms:W3CDTF">2021-03-17T11:16:00Z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0x010100CECAD2BB5DFF6441BF4CFA009782A63B</vt:lpwstr>
  </property>
</Properties>
</file>