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3694" w14:textId="7F40E874" w:rsidR="00DD7B91" w:rsidRPr="000835C7" w:rsidRDefault="0056190F" w:rsidP="0019753B">
      <w:pPr>
        <w:pStyle w:val="BasicParagraph"/>
        <w:tabs>
          <w:tab w:val="left" w:pos="4820"/>
        </w:tabs>
        <w:suppressAutoHyphens/>
        <w:jc w:val="center"/>
        <w:rPr>
          <w:rFonts w:ascii="Verdana" w:hAnsi="Verdana" w:cs="Arial"/>
          <w:b/>
          <w:bCs/>
          <w:color w:val="734791"/>
          <w:sz w:val="36"/>
          <w:szCs w:val="36"/>
        </w:rPr>
      </w:pPr>
      <w:r>
        <w:rPr>
          <w:rFonts w:ascii="Verdana" w:hAnsi="Verdana" w:cs="Arial"/>
          <w:b/>
          <w:bCs/>
          <w:noProof/>
          <w:color w:val="734791"/>
          <w:sz w:val="36"/>
          <w:szCs w:val="36"/>
        </w:rPr>
        <w:t xml:space="preserve"> </w:t>
      </w:r>
      <w:r w:rsidR="00DD7B91" w:rsidRPr="000835C7">
        <w:rPr>
          <w:noProof/>
          <w:lang w:eastAsia="en-GB"/>
        </w:rPr>
        <w:drawing>
          <wp:inline distT="0" distB="0" distL="0" distR="0" wp14:anchorId="77C9F3DB" wp14:editId="7822A399">
            <wp:extent cx="2481943" cy="1140032"/>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8497" cy="1152229"/>
                    </a:xfrm>
                    <a:prstGeom prst="rect">
                      <a:avLst/>
                    </a:prstGeom>
                    <a:noFill/>
                  </pic:spPr>
                </pic:pic>
              </a:graphicData>
            </a:graphic>
          </wp:inline>
        </w:drawing>
      </w:r>
      <w:r w:rsidR="00DD7B91" w:rsidRPr="000835C7">
        <w:rPr>
          <w:rFonts w:ascii="Verdana" w:hAnsi="Verdana" w:cs="Arial"/>
          <w:b/>
          <w:bCs/>
          <w:noProof/>
          <w:color w:val="734791"/>
          <w:sz w:val="36"/>
          <w:szCs w:val="36"/>
          <w:lang w:eastAsia="en-GB"/>
        </w:rPr>
        <w:drawing>
          <wp:inline distT="0" distB="0" distL="0" distR="0" wp14:anchorId="372B4C49" wp14:editId="056B44F4">
            <wp:extent cx="2088372" cy="2790701"/>
            <wp:effectExtent l="0" t="0" r="0" b="0"/>
            <wp:docPr id="1" name="Picture 1"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6410" cy="2868257"/>
                    </a:xfrm>
                    <a:prstGeom prst="rect">
                      <a:avLst/>
                    </a:prstGeom>
                    <a:noFill/>
                    <a:ln>
                      <a:noFill/>
                    </a:ln>
                  </pic:spPr>
                </pic:pic>
              </a:graphicData>
            </a:graphic>
          </wp:inline>
        </w:drawing>
      </w:r>
    </w:p>
    <w:p w14:paraId="16EE5ACE" w14:textId="77777777" w:rsidR="00C81645" w:rsidRPr="000835C7" w:rsidRDefault="00C81645" w:rsidP="001436A8">
      <w:pPr>
        <w:pStyle w:val="Default"/>
        <w:spacing w:line="276" w:lineRule="auto"/>
        <w:jc w:val="center"/>
        <w:rPr>
          <w:rFonts w:cs="Arial"/>
          <w:b/>
          <w:bCs/>
          <w:color w:val="auto"/>
          <w:sz w:val="44"/>
          <w:szCs w:val="44"/>
          <w:lang w:val="en-GB"/>
        </w:rPr>
      </w:pPr>
    </w:p>
    <w:p w14:paraId="10550C91" w14:textId="77777777" w:rsidR="00C81645" w:rsidRPr="000835C7" w:rsidRDefault="00C81645" w:rsidP="001436A8">
      <w:pPr>
        <w:pStyle w:val="Default"/>
        <w:spacing w:line="276" w:lineRule="auto"/>
        <w:jc w:val="center"/>
        <w:rPr>
          <w:rFonts w:cs="Arial"/>
          <w:b/>
          <w:bCs/>
          <w:color w:val="auto"/>
          <w:sz w:val="44"/>
          <w:szCs w:val="44"/>
          <w:lang w:val="en-GB"/>
        </w:rPr>
      </w:pPr>
    </w:p>
    <w:p w14:paraId="246B41C1" w14:textId="77777777" w:rsidR="00C81645" w:rsidRPr="000835C7" w:rsidRDefault="00C81645" w:rsidP="001436A8">
      <w:pPr>
        <w:pStyle w:val="Default"/>
        <w:spacing w:line="276" w:lineRule="auto"/>
        <w:jc w:val="center"/>
        <w:rPr>
          <w:rFonts w:cs="Arial"/>
          <w:b/>
          <w:bCs/>
          <w:color w:val="auto"/>
          <w:sz w:val="44"/>
          <w:szCs w:val="44"/>
          <w:lang w:val="en-GB"/>
        </w:rPr>
      </w:pPr>
    </w:p>
    <w:p w14:paraId="690A760D" w14:textId="77777777" w:rsidR="008C0641" w:rsidRPr="000835C7" w:rsidRDefault="007A0AE4" w:rsidP="0022115D">
      <w:pPr>
        <w:pStyle w:val="Title"/>
      </w:pPr>
      <w:r w:rsidRPr="000835C7">
        <w:t>Submission</w:t>
      </w:r>
      <w:r w:rsidR="00AB572F" w:rsidRPr="000835C7">
        <w:t xml:space="preserve"> of the NIHRC and ECNI</w:t>
      </w:r>
      <w:r w:rsidRPr="000835C7">
        <w:t xml:space="preserve"> </w:t>
      </w:r>
    </w:p>
    <w:p w14:paraId="10E0FE5D" w14:textId="18B4BEDA" w:rsidR="00E716BD" w:rsidRPr="000835C7" w:rsidRDefault="00D11B36" w:rsidP="0022115D">
      <w:pPr>
        <w:pStyle w:val="Title"/>
      </w:pPr>
      <w:r w:rsidRPr="000835C7">
        <w:t xml:space="preserve">to the Introductory Inquiry into the Operation of the Protocol </w:t>
      </w:r>
    </w:p>
    <w:p w14:paraId="184A396C" w14:textId="24C767AC" w:rsidR="000A1FBA" w:rsidRPr="000835C7" w:rsidRDefault="00D11B36" w:rsidP="0022115D">
      <w:pPr>
        <w:pStyle w:val="Title"/>
      </w:pPr>
      <w:r w:rsidRPr="000835C7">
        <w:t xml:space="preserve">by the </w:t>
      </w:r>
      <w:r w:rsidR="00631F37" w:rsidRPr="000835C7">
        <w:t>House of Lords Sub-Committee on the Protocol</w:t>
      </w:r>
      <w:r w:rsidR="000A1FBA" w:rsidRPr="000835C7">
        <w:t xml:space="preserve"> on Ireland/Northern Ireland</w:t>
      </w:r>
    </w:p>
    <w:p w14:paraId="61787267" w14:textId="450E821D" w:rsidR="00CC7150" w:rsidRPr="000835C7" w:rsidRDefault="00CC7150" w:rsidP="001436A8">
      <w:pPr>
        <w:pStyle w:val="Default"/>
        <w:spacing w:line="276" w:lineRule="auto"/>
        <w:jc w:val="center"/>
        <w:rPr>
          <w:rFonts w:asciiTheme="minorHAnsi" w:hAnsiTheme="minorHAnsi" w:cstheme="minorHAnsi"/>
          <w:b/>
          <w:color w:val="auto"/>
        </w:rPr>
      </w:pPr>
    </w:p>
    <w:p w14:paraId="58A27BF5" w14:textId="6C7A55A5" w:rsidR="00861D93" w:rsidRPr="000835C7" w:rsidRDefault="00861D93" w:rsidP="001436A8">
      <w:pPr>
        <w:pStyle w:val="Default"/>
        <w:spacing w:line="276" w:lineRule="auto"/>
        <w:jc w:val="center"/>
        <w:rPr>
          <w:rFonts w:asciiTheme="minorHAnsi" w:hAnsiTheme="minorHAnsi" w:cstheme="minorHAnsi"/>
          <w:b/>
          <w:color w:val="auto"/>
        </w:rPr>
      </w:pPr>
    </w:p>
    <w:p w14:paraId="2C348D82" w14:textId="77777777" w:rsidR="00861D93" w:rsidRPr="000835C7" w:rsidRDefault="00861D93" w:rsidP="001436A8">
      <w:pPr>
        <w:pStyle w:val="Default"/>
        <w:spacing w:line="276" w:lineRule="auto"/>
        <w:jc w:val="center"/>
        <w:rPr>
          <w:rFonts w:asciiTheme="minorHAnsi" w:hAnsiTheme="minorHAnsi" w:cstheme="minorHAnsi"/>
          <w:b/>
          <w:color w:val="auto"/>
        </w:rPr>
      </w:pPr>
    </w:p>
    <w:p w14:paraId="64C9C743" w14:textId="77777777" w:rsidR="00CC7150" w:rsidRPr="000835C7" w:rsidRDefault="00CC7150" w:rsidP="001436A8">
      <w:pPr>
        <w:pStyle w:val="Default"/>
        <w:spacing w:line="276" w:lineRule="auto"/>
        <w:jc w:val="center"/>
        <w:rPr>
          <w:rFonts w:asciiTheme="minorHAnsi" w:hAnsiTheme="minorHAnsi" w:cstheme="minorHAnsi"/>
          <w:color w:val="232120"/>
        </w:rPr>
      </w:pPr>
    </w:p>
    <w:p w14:paraId="7E78F02A" w14:textId="77777777" w:rsidR="0056190F" w:rsidRPr="000835C7" w:rsidRDefault="0056190F" w:rsidP="001436A8">
      <w:pPr>
        <w:spacing w:line="276" w:lineRule="auto"/>
        <w:jc w:val="center"/>
        <w:rPr>
          <w:rFonts w:asciiTheme="minorHAnsi" w:hAnsiTheme="minorHAnsi" w:cstheme="minorHAnsi"/>
          <w:b/>
          <w:color w:val="232120"/>
          <w:sz w:val="30"/>
          <w:szCs w:val="30"/>
        </w:rPr>
      </w:pPr>
    </w:p>
    <w:p w14:paraId="2D0491BF" w14:textId="5A3CF69F" w:rsidR="00A7082E" w:rsidRPr="000835C7" w:rsidRDefault="000A2684" w:rsidP="001436A8">
      <w:pPr>
        <w:spacing w:line="276" w:lineRule="auto"/>
        <w:jc w:val="center"/>
        <w:rPr>
          <w:rFonts w:asciiTheme="minorHAnsi" w:hAnsiTheme="minorHAnsi" w:cstheme="minorHAnsi"/>
          <w:b/>
          <w:color w:val="232120"/>
          <w:sz w:val="36"/>
          <w:szCs w:val="36"/>
        </w:rPr>
      </w:pPr>
      <w:r w:rsidRPr="000835C7">
        <w:rPr>
          <w:rFonts w:asciiTheme="minorHAnsi" w:hAnsiTheme="minorHAnsi" w:cstheme="minorHAnsi"/>
          <w:b/>
          <w:color w:val="232120"/>
          <w:sz w:val="36"/>
          <w:szCs w:val="36"/>
        </w:rPr>
        <w:t>1</w:t>
      </w:r>
      <w:r w:rsidR="00A537DC" w:rsidRPr="000835C7">
        <w:rPr>
          <w:rFonts w:asciiTheme="minorHAnsi" w:hAnsiTheme="minorHAnsi" w:cstheme="minorHAnsi"/>
          <w:b/>
          <w:color w:val="232120"/>
          <w:sz w:val="36"/>
          <w:szCs w:val="36"/>
        </w:rPr>
        <w:t>4</w:t>
      </w:r>
      <w:r w:rsidR="00576C9A" w:rsidRPr="000835C7">
        <w:rPr>
          <w:rFonts w:asciiTheme="minorHAnsi" w:hAnsiTheme="minorHAnsi" w:cstheme="minorHAnsi"/>
          <w:b/>
          <w:color w:val="232120"/>
          <w:sz w:val="36"/>
          <w:szCs w:val="36"/>
        </w:rPr>
        <w:t xml:space="preserve"> June </w:t>
      </w:r>
      <w:r w:rsidR="00304434" w:rsidRPr="000835C7">
        <w:rPr>
          <w:rFonts w:asciiTheme="minorHAnsi" w:hAnsiTheme="minorHAnsi" w:cstheme="minorHAnsi"/>
          <w:b/>
          <w:color w:val="232120"/>
          <w:sz w:val="36"/>
          <w:szCs w:val="36"/>
        </w:rPr>
        <w:t>2021</w:t>
      </w:r>
    </w:p>
    <w:p w14:paraId="69E11558" w14:textId="77777777" w:rsidR="00A7082E" w:rsidRPr="000835C7" w:rsidRDefault="00A7082E">
      <w:pPr>
        <w:spacing w:line="240" w:lineRule="auto"/>
        <w:rPr>
          <w:rFonts w:asciiTheme="minorHAnsi" w:hAnsiTheme="minorHAnsi" w:cstheme="minorHAnsi"/>
          <w:b/>
          <w:color w:val="232120"/>
          <w:sz w:val="30"/>
          <w:szCs w:val="30"/>
        </w:rPr>
      </w:pPr>
      <w:r w:rsidRPr="000835C7">
        <w:rPr>
          <w:rFonts w:asciiTheme="minorHAnsi" w:hAnsiTheme="minorHAnsi" w:cstheme="minorHAnsi"/>
          <w:b/>
          <w:color w:val="232120"/>
          <w:sz w:val="30"/>
          <w:szCs w:val="30"/>
        </w:rPr>
        <w:br w:type="page"/>
      </w:r>
    </w:p>
    <w:sdt>
      <w:sdtPr>
        <w:rPr>
          <w:rFonts w:asciiTheme="minorHAnsi" w:eastAsiaTheme="minorEastAsia" w:hAnsiTheme="minorHAnsi" w:cstheme="minorHAnsi"/>
          <w:color w:val="auto"/>
          <w:sz w:val="24"/>
          <w:szCs w:val="24"/>
        </w:rPr>
        <w:id w:val="1199127081"/>
        <w:docPartObj>
          <w:docPartGallery w:val="Table of Contents"/>
          <w:docPartUnique/>
        </w:docPartObj>
      </w:sdtPr>
      <w:sdtEndPr>
        <w:rPr>
          <w:b/>
          <w:bCs/>
          <w:noProof/>
        </w:rPr>
      </w:sdtEndPr>
      <w:sdtContent>
        <w:p w14:paraId="542AF51E" w14:textId="77777777" w:rsidR="00E569F0" w:rsidRPr="001A1C21" w:rsidRDefault="00E569F0" w:rsidP="0019753B">
          <w:pPr>
            <w:pStyle w:val="TOCHeading"/>
            <w:rPr>
              <w:rFonts w:asciiTheme="minorHAnsi" w:hAnsiTheme="minorHAnsi" w:cstheme="minorHAnsi"/>
              <w:sz w:val="28"/>
              <w:szCs w:val="28"/>
            </w:rPr>
          </w:pPr>
          <w:r w:rsidRPr="001A1C21">
            <w:rPr>
              <w:rStyle w:val="Heading2Char"/>
              <w:color w:val="auto"/>
              <w:sz w:val="28"/>
              <w:szCs w:val="28"/>
            </w:rPr>
            <w:t>Table of Contents</w:t>
          </w:r>
          <w:r w:rsidR="00067F8E" w:rsidRPr="001A1C21">
            <w:rPr>
              <w:rFonts w:asciiTheme="minorHAnsi" w:hAnsiTheme="minorHAnsi" w:cstheme="minorHAnsi"/>
              <w:sz w:val="28"/>
              <w:szCs w:val="28"/>
            </w:rPr>
            <w:tab/>
          </w:r>
        </w:p>
        <w:p w14:paraId="0F0A62F5" w14:textId="77777777" w:rsidR="00E569F0" w:rsidRPr="001A1C21" w:rsidRDefault="00E569F0" w:rsidP="007A4DC5">
          <w:pPr>
            <w:spacing w:line="276" w:lineRule="auto"/>
            <w:rPr>
              <w:rFonts w:asciiTheme="minorHAnsi" w:hAnsiTheme="minorHAnsi" w:cstheme="minorHAnsi"/>
              <w:sz w:val="28"/>
              <w:szCs w:val="28"/>
              <w:lang w:val="en-US"/>
            </w:rPr>
          </w:pPr>
        </w:p>
        <w:p w14:paraId="3E964D89" w14:textId="07E1A45A" w:rsidR="00231C80" w:rsidRPr="001A1C21" w:rsidRDefault="00E569F0">
          <w:pPr>
            <w:pStyle w:val="TOC1"/>
            <w:rPr>
              <w:rFonts w:asciiTheme="minorHAnsi" w:hAnsiTheme="minorHAnsi" w:cstheme="minorHAnsi"/>
              <w:b w:val="0"/>
              <w:noProof/>
              <w:sz w:val="28"/>
              <w:szCs w:val="28"/>
              <w:lang w:eastAsia="en-GB"/>
            </w:rPr>
          </w:pPr>
          <w:r w:rsidRPr="001A1C21">
            <w:rPr>
              <w:rFonts w:asciiTheme="minorHAnsi" w:hAnsiTheme="minorHAnsi" w:cstheme="minorHAnsi"/>
              <w:sz w:val="28"/>
              <w:szCs w:val="28"/>
            </w:rPr>
            <w:fldChar w:fldCharType="begin"/>
          </w:r>
          <w:r w:rsidRPr="001A1C21">
            <w:rPr>
              <w:rFonts w:asciiTheme="minorHAnsi" w:hAnsiTheme="minorHAnsi" w:cstheme="minorHAnsi"/>
              <w:sz w:val="28"/>
              <w:szCs w:val="28"/>
            </w:rPr>
            <w:instrText xml:space="preserve"> TOC \o "1-3" \h \z \u </w:instrText>
          </w:r>
          <w:r w:rsidRPr="001A1C21">
            <w:rPr>
              <w:rFonts w:asciiTheme="minorHAnsi" w:hAnsiTheme="minorHAnsi" w:cstheme="minorHAnsi"/>
              <w:sz w:val="28"/>
              <w:szCs w:val="28"/>
            </w:rPr>
            <w:fldChar w:fldCharType="separate"/>
          </w:r>
          <w:hyperlink w:anchor="_Toc74584440" w:history="1">
            <w:r w:rsidR="00231C80" w:rsidRPr="001A1C21">
              <w:rPr>
                <w:rStyle w:val="Hyperlink"/>
                <w:rFonts w:asciiTheme="minorHAnsi" w:hAnsiTheme="minorHAnsi" w:cstheme="minorHAnsi"/>
                <w:noProof/>
                <w:sz w:val="28"/>
                <w:szCs w:val="28"/>
              </w:rPr>
              <w:t>1.0</w:t>
            </w:r>
            <w:r w:rsidR="00231C80" w:rsidRPr="001A1C21">
              <w:rPr>
                <w:rFonts w:asciiTheme="minorHAnsi" w:hAnsiTheme="minorHAnsi" w:cstheme="minorHAnsi"/>
                <w:b w:val="0"/>
                <w:noProof/>
                <w:sz w:val="28"/>
                <w:szCs w:val="28"/>
                <w:lang w:eastAsia="en-GB"/>
              </w:rPr>
              <w:tab/>
            </w:r>
            <w:r w:rsidR="00231C80" w:rsidRPr="001A1C21">
              <w:rPr>
                <w:rStyle w:val="Hyperlink"/>
                <w:rFonts w:asciiTheme="minorHAnsi" w:hAnsiTheme="minorHAnsi" w:cstheme="minorHAnsi"/>
                <w:noProof/>
                <w:sz w:val="28"/>
                <w:szCs w:val="28"/>
              </w:rPr>
              <w:t>Introduction</w:t>
            </w:r>
            <w:r w:rsidR="00231C80" w:rsidRPr="001A1C21">
              <w:rPr>
                <w:rFonts w:asciiTheme="minorHAnsi" w:hAnsiTheme="minorHAnsi" w:cstheme="minorHAnsi"/>
                <w:noProof/>
                <w:webHidden/>
                <w:sz w:val="28"/>
                <w:szCs w:val="28"/>
              </w:rPr>
              <w:tab/>
            </w:r>
            <w:r w:rsidR="00231C80" w:rsidRPr="001A1C21">
              <w:rPr>
                <w:rFonts w:asciiTheme="minorHAnsi" w:hAnsiTheme="minorHAnsi" w:cstheme="minorHAnsi"/>
                <w:noProof/>
                <w:webHidden/>
                <w:sz w:val="28"/>
                <w:szCs w:val="28"/>
              </w:rPr>
              <w:fldChar w:fldCharType="begin"/>
            </w:r>
            <w:r w:rsidR="00231C80" w:rsidRPr="001A1C21">
              <w:rPr>
                <w:rFonts w:asciiTheme="minorHAnsi" w:hAnsiTheme="minorHAnsi" w:cstheme="minorHAnsi"/>
                <w:noProof/>
                <w:webHidden/>
                <w:sz w:val="28"/>
                <w:szCs w:val="28"/>
              </w:rPr>
              <w:instrText xml:space="preserve"> PAGEREF _Toc74584440 \h </w:instrText>
            </w:r>
            <w:r w:rsidR="00231C80" w:rsidRPr="001A1C21">
              <w:rPr>
                <w:rFonts w:asciiTheme="minorHAnsi" w:hAnsiTheme="minorHAnsi" w:cstheme="minorHAnsi"/>
                <w:noProof/>
                <w:webHidden/>
                <w:sz w:val="28"/>
                <w:szCs w:val="28"/>
              </w:rPr>
            </w:r>
            <w:r w:rsidR="00231C80" w:rsidRPr="001A1C21">
              <w:rPr>
                <w:rFonts w:asciiTheme="minorHAnsi" w:hAnsiTheme="minorHAnsi" w:cstheme="minorHAnsi"/>
                <w:noProof/>
                <w:webHidden/>
                <w:sz w:val="28"/>
                <w:szCs w:val="28"/>
              </w:rPr>
              <w:fldChar w:fldCharType="separate"/>
            </w:r>
            <w:r w:rsidR="00E15E4E">
              <w:rPr>
                <w:rFonts w:asciiTheme="minorHAnsi" w:hAnsiTheme="minorHAnsi" w:cstheme="minorHAnsi"/>
                <w:noProof/>
                <w:webHidden/>
                <w:sz w:val="28"/>
                <w:szCs w:val="28"/>
              </w:rPr>
              <w:t>3</w:t>
            </w:r>
            <w:r w:rsidR="00231C80" w:rsidRPr="001A1C21">
              <w:rPr>
                <w:rFonts w:asciiTheme="minorHAnsi" w:hAnsiTheme="minorHAnsi" w:cstheme="minorHAnsi"/>
                <w:noProof/>
                <w:webHidden/>
                <w:sz w:val="28"/>
                <w:szCs w:val="28"/>
              </w:rPr>
              <w:fldChar w:fldCharType="end"/>
            </w:r>
          </w:hyperlink>
        </w:p>
        <w:p w14:paraId="27294F25" w14:textId="0FB435D2" w:rsidR="00231C80" w:rsidRPr="001A1C21" w:rsidRDefault="00E15E4E">
          <w:pPr>
            <w:pStyle w:val="TOC1"/>
            <w:rPr>
              <w:rFonts w:asciiTheme="minorHAnsi" w:hAnsiTheme="minorHAnsi" w:cstheme="minorHAnsi"/>
              <w:b w:val="0"/>
              <w:noProof/>
              <w:sz w:val="28"/>
              <w:szCs w:val="28"/>
              <w:lang w:eastAsia="en-GB"/>
            </w:rPr>
          </w:pPr>
          <w:hyperlink w:anchor="_Toc74584441" w:history="1">
            <w:r w:rsidR="00231C80" w:rsidRPr="001A1C21">
              <w:rPr>
                <w:rStyle w:val="Hyperlink"/>
                <w:rFonts w:asciiTheme="minorHAnsi" w:hAnsiTheme="minorHAnsi" w:cstheme="minorHAnsi"/>
                <w:noProof/>
                <w:sz w:val="28"/>
                <w:szCs w:val="28"/>
              </w:rPr>
              <w:t>2.0</w:t>
            </w:r>
            <w:r w:rsidR="00231C80" w:rsidRPr="001A1C21">
              <w:rPr>
                <w:rFonts w:asciiTheme="minorHAnsi" w:hAnsiTheme="minorHAnsi" w:cstheme="minorHAnsi"/>
                <w:b w:val="0"/>
                <w:noProof/>
                <w:sz w:val="28"/>
                <w:szCs w:val="28"/>
                <w:lang w:eastAsia="en-GB"/>
              </w:rPr>
              <w:tab/>
            </w:r>
            <w:r w:rsidR="00231C80" w:rsidRPr="001A1C21">
              <w:rPr>
                <w:rStyle w:val="Hyperlink"/>
                <w:rFonts w:asciiTheme="minorHAnsi" w:hAnsiTheme="minorHAnsi" w:cstheme="minorHAnsi"/>
                <w:noProof/>
                <w:sz w:val="28"/>
                <w:szCs w:val="28"/>
              </w:rPr>
              <w:t>Positive impact of the Protocol</w:t>
            </w:r>
            <w:r w:rsidR="00231C80" w:rsidRPr="001A1C21">
              <w:rPr>
                <w:rFonts w:asciiTheme="minorHAnsi" w:hAnsiTheme="minorHAnsi" w:cstheme="minorHAnsi"/>
                <w:noProof/>
                <w:webHidden/>
                <w:sz w:val="28"/>
                <w:szCs w:val="28"/>
              </w:rPr>
              <w:tab/>
            </w:r>
            <w:r w:rsidR="00231C80" w:rsidRPr="001A1C21">
              <w:rPr>
                <w:rFonts w:asciiTheme="minorHAnsi" w:hAnsiTheme="minorHAnsi" w:cstheme="minorHAnsi"/>
                <w:noProof/>
                <w:webHidden/>
                <w:sz w:val="28"/>
                <w:szCs w:val="28"/>
              </w:rPr>
              <w:fldChar w:fldCharType="begin"/>
            </w:r>
            <w:r w:rsidR="00231C80" w:rsidRPr="001A1C21">
              <w:rPr>
                <w:rFonts w:asciiTheme="minorHAnsi" w:hAnsiTheme="minorHAnsi" w:cstheme="minorHAnsi"/>
                <w:noProof/>
                <w:webHidden/>
                <w:sz w:val="28"/>
                <w:szCs w:val="28"/>
              </w:rPr>
              <w:instrText xml:space="preserve"> PAGEREF _Toc74584441 \h </w:instrText>
            </w:r>
            <w:r w:rsidR="00231C80" w:rsidRPr="001A1C21">
              <w:rPr>
                <w:rFonts w:asciiTheme="minorHAnsi" w:hAnsiTheme="minorHAnsi" w:cstheme="minorHAnsi"/>
                <w:noProof/>
                <w:webHidden/>
                <w:sz w:val="28"/>
                <w:szCs w:val="28"/>
              </w:rPr>
            </w:r>
            <w:r w:rsidR="00231C80" w:rsidRPr="001A1C21">
              <w:rPr>
                <w:rFonts w:asciiTheme="minorHAnsi" w:hAnsiTheme="minorHAnsi" w:cstheme="minorHAnsi"/>
                <w:noProof/>
                <w:webHidden/>
                <w:sz w:val="28"/>
                <w:szCs w:val="28"/>
              </w:rPr>
              <w:fldChar w:fldCharType="separate"/>
            </w:r>
            <w:r>
              <w:rPr>
                <w:rFonts w:asciiTheme="minorHAnsi" w:hAnsiTheme="minorHAnsi" w:cstheme="minorHAnsi"/>
                <w:noProof/>
                <w:webHidden/>
                <w:sz w:val="28"/>
                <w:szCs w:val="28"/>
              </w:rPr>
              <w:t>4</w:t>
            </w:r>
            <w:r w:rsidR="00231C80" w:rsidRPr="001A1C21">
              <w:rPr>
                <w:rFonts w:asciiTheme="minorHAnsi" w:hAnsiTheme="minorHAnsi" w:cstheme="minorHAnsi"/>
                <w:noProof/>
                <w:webHidden/>
                <w:sz w:val="28"/>
                <w:szCs w:val="28"/>
              </w:rPr>
              <w:fldChar w:fldCharType="end"/>
            </w:r>
          </w:hyperlink>
        </w:p>
        <w:p w14:paraId="76CE1821" w14:textId="71DA9C85" w:rsidR="00231C80" w:rsidRPr="001A1C21" w:rsidRDefault="00E15E4E">
          <w:pPr>
            <w:pStyle w:val="TOC2"/>
            <w:rPr>
              <w:rFonts w:asciiTheme="minorHAnsi" w:hAnsiTheme="minorHAnsi" w:cstheme="minorHAnsi"/>
              <w:noProof/>
              <w:sz w:val="28"/>
              <w:szCs w:val="28"/>
              <w:lang w:eastAsia="en-GB"/>
            </w:rPr>
          </w:pPr>
          <w:hyperlink w:anchor="_Toc74584442" w:history="1">
            <w:r w:rsidR="00231C80" w:rsidRPr="001A1C21">
              <w:rPr>
                <w:rStyle w:val="Hyperlink"/>
                <w:rFonts w:asciiTheme="minorHAnsi" w:hAnsiTheme="minorHAnsi" w:cstheme="minorHAnsi"/>
                <w:noProof/>
                <w:sz w:val="28"/>
                <w:szCs w:val="28"/>
              </w:rPr>
              <w:t>Scope of Article 2</w:t>
            </w:r>
            <w:r w:rsidR="00231C80" w:rsidRPr="001A1C21">
              <w:rPr>
                <w:rFonts w:asciiTheme="minorHAnsi" w:hAnsiTheme="minorHAnsi" w:cstheme="minorHAnsi"/>
                <w:noProof/>
                <w:webHidden/>
                <w:sz w:val="28"/>
                <w:szCs w:val="28"/>
              </w:rPr>
              <w:tab/>
            </w:r>
            <w:r w:rsidR="00231C80" w:rsidRPr="001A1C21">
              <w:rPr>
                <w:rFonts w:asciiTheme="minorHAnsi" w:hAnsiTheme="minorHAnsi" w:cstheme="minorHAnsi"/>
                <w:noProof/>
                <w:webHidden/>
                <w:sz w:val="28"/>
                <w:szCs w:val="28"/>
              </w:rPr>
              <w:fldChar w:fldCharType="begin"/>
            </w:r>
            <w:r w:rsidR="00231C80" w:rsidRPr="001A1C21">
              <w:rPr>
                <w:rFonts w:asciiTheme="minorHAnsi" w:hAnsiTheme="minorHAnsi" w:cstheme="minorHAnsi"/>
                <w:noProof/>
                <w:webHidden/>
                <w:sz w:val="28"/>
                <w:szCs w:val="28"/>
              </w:rPr>
              <w:instrText xml:space="preserve"> PAGEREF _Toc74584442 \h </w:instrText>
            </w:r>
            <w:r w:rsidR="00231C80" w:rsidRPr="001A1C21">
              <w:rPr>
                <w:rFonts w:asciiTheme="minorHAnsi" w:hAnsiTheme="minorHAnsi" w:cstheme="minorHAnsi"/>
                <w:noProof/>
                <w:webHidden/>
                <w:sz w:val="28"/>
                <w:szCs w:val="28"/>
              </w:rPr>
            </w:r>
            <w:r w:rsidR="00231C80" w:rsidRPr="001A1C21">
              <w:rPr>
                <w:rFonts w:asciiTheme="minorHAnsi" w:hAnsiTheme="minorHAnsi" w:cstheme="minorHAnsi"/>
                <w:noProof/>
                <w:webHidden/>
                <w:sz w:val="28"/>
                <w:szCs w:val="28"/>
              </w:rPr>
              <w:fldChar w:fldCharType="separate"/>
            </w:r>
            <w:r>
              <w:rPr>
                <w:rFonts w:asciiTheme="minorHAnsi" w:hAnsiTheme="minorHAnsi" w:cstheme="minorHAnsi"/>
                <w:noProof/>
                <w:webHidden/>
                <w:sz w:val="28"/>
                <w:szCs w:val="28"/>
              </w:rPr>
              <w:t>5</w:t>
            </w:r>
            <w:r w:rsidR="00231C80" w:rsidRPr="001A1C21">
              <w:rPr>
                <w:rFonts w:asciiTheme="minorHAnsi" w:hAnsiTheme="minorHAnsi" w:cstheme="minorHAnsi"/>
                <w:noProof/>
                <w:webHidden/>
                <w:sz w:val="28"/>
                <w:szCs w:val="28"/>
              </w:rPr>
              <w:fldChar w:fldCharType="end"/>
            </w:r>
          </w:hyperlink>
        </w:p>
        <w:p w14:paraId="5B809416" w14:textId="072792E6" w:rsidR="00231C80" w:rsidRPr="001A1C21" w:rsidRDefault="00E15E4E">
          <w:pPr>
            <w:pStyle w:val="TOC1"/>
            <w:rPr>
              <w:rFonts w:asciiTheme="minorHAnsi" w:hAnsiTheme="minorHAnsi" w:cstheme="minorHAnsi"/>
              <w:b w:val="0"/>
              <w:noProof/>
              <w:sz w:val="28"/>
              <w:szCs w:val="28"/>
              <w:lang w:eastAsia="en-GB"/>
            </w:rPr>
          </w:pPr>
          <w:hyperlink w:anchor="_Toc74584443" w:history="1">
            <w:r w:rsidR="00231C80" w:rsidRPr="001A1C21">
              <w:rPr>
                <w:rStyle w:val="Hyperlink"/>
                <w:rFonts w:asciiTheme="minorHAnsi" w:hAnsiTheme="minorHAnsi" w:cstheme="minorHAnsi"/>
                <w:noProof/>
                <w:sz w:val="28"/>
                <w:szCs w:val="28"/>
              </w:rPr>
              <w:t>3.0</w:t>
            </w:r>
            <w:r w:rsidR="00231C80" w:rsidRPr="001A1C21">
              <w:rPr>
                <w:rFonts w:asciiTheme="minorHAnsi" w:hAnsiTheme="minorHAnsi" w:cstheme="minorHAnsi"/>
                <w:b w:val="0"/>
                <w:noProof/>
                <w:sz w:val="28"/>
                <w:szCs w:val="28"/>
                <w:lang w:eastAsia="en-GB"/>
              </w:rPr>
              <w:tab/>
            </w:r>
            <w:r w:rsidR="00231C80" w:rsidRPr="001A1C21">
              <w:rPr>
                <w:rStyle w:val="Hyperlink"/>
                <w:rFonts w:asciiTheme="minorHAnsi" w:hAnsiTheme="minorHAnsi" w:cstheme="minorHAnsi"/>
                <w:noProof/>
                <w:sz w:val="28"/>
                <w:szCs w:val="28"/>
              </w:rPr>
              <w:t>Role of the NI Executive in relation to the Protocol</w:t>
            </w:r>
            <w:r w:rsidR="00231C80" w:rsidRPr="001A1C21">
              <w:rPr>
                <w:rFonts w:asciiTheme="minorHAnsi" w:hAnsiTheme="minorHAnsi" w:cstheme="minorHAnsi"/>
                <w:noProof/>
                <w:webHidden/>
                <w:sz w:val="28"/>
                <w:szCs w:val="28"/>
              </w:rPr>
              <w:tab/>
            </w:r>
            <w:r w:rsidR="00231C80" w:rsidRPr="001A1C21">
              <w:rPr>
                <w:rFonts w:asciiTheme="minorHAnsi" w:hAnsiTheme="minorHAnsi" w:cstheme="minorHAnsi"/>
                <w:noProof/>
                <w:webHidden/>
                <w:sz w:val="28"/>
                <w:szCs w:val="28"/>
              </w:rPr>
              <w:fldChar w:fldCharType="begin"/>
            </w:r>
            <w:r w:rsidR="00231C80" w:rsidRPr="001A1C21">
              <w:rPr>
                <w:rFonts w:asciiTheme="minorHAnsi" w:hAnsiTheme="minorHAnsi" w:cstheme="minorHAnsi"/>
                <w:noProof/>
                <w:webHidden/>
                <w:sz w:val="28"/>
                <w:szCs w:val="28"/>
              </w:rPr>
              <w:instrText xml:space="preserve"> PAGEREF _Toc74584443 \h </w:instrText>
            </w:r>
            <w:r w:rsidR="00231C80" w:rsidRPr="001A1C21">
              <w:rPr>
                <w:rFonts w:asciiTheme="minorHAnsi" w:hAnsiTheme="minorHAnsi" w:cstheme="minorHAnsi"/>
                <w:noProof/>
                <w:webHidden/>
                <w:sz w:val="28"/>
                <w:szCs w:val="28"/>
              </w:rPr>
            </w:r>
            <w:r w:rsidR="00231C80" w:rsidRPr="001A1C21">
              <w:rPr>
                <w:rFonts w:asciiTheme="minorHAnsi" w:hAnsiTheme="minorHAnsi" w:cstheme="minorHAnsi"/>
                <w:noProof/>
                <w:webHidden/>
                <w:sz w:val="28"/>
                <w:szCs w:val="28"/>
              </w:rPr>
              <w:fldChar w:fldCharType="separate"/>
            </w:r>
            <w:r>
              <w:rPr>
                <w:rFonts w:asciiTheme="minorHAnsi" w:hAnsiTheme="minorHAnsi" w:cstheme="minorHAnsi"/>
                <w:noProof/>
                <w:webHidden/>
                <w:sz w:val="28"/>
                <w:szCs w:val="28"/>
              </w:rPr>
              <w:t>6</w:t>
            </w:r>
            <w:r w:rsidR="00231C80" w:rsidRPr="001A1C21">
              <w:rPr>
                <w:rFonts w:asciiTheme="minorHAnsi" w:hAnsiTheme="minorHAnsi" w:cstheme="minorHAnsi"/>
                <w:noProof/>
                <w:webHidden/>
                <w:sz w:val="28"/>
                <w:szCs w:val="28"/>
              </w:rPr>
              <w:fldChar w:fldCharType="end"/>
            </w:r>
          </w:hyperlink>
        </w:p>
        <w:p w14:paraId="6EBDF19F" w14:textId="3CEFF6C7" w:rsidR="00231C80" w:rsidRPr="001A1C21" w:rsidRDefault="00E15E4E">
          <w:pPr>
            <w:pStyle w:val="TOC1"/>
            <w:rPr>
              <w:rFonts w:asciiTheme="minorHAnsi" w:hAnsiTheme="minorHAnsi" w:cstheme="minorHAnsi"/>
              <w:b w:val="0"/>
              <w:noProof/>
              <w:sz w:val="28"/>
              <w:szCs w:val="28"/>
              <w:lang w:eastAsia="en-GB"/>
            </w:rPr>
          </w:pPr>
          <w:hyperlink w:anchor="_Toc74584444" w:history="1">
            <w:r w:rsidR="00231C80" w:rsidRPr="001A1C21">
              <w:rPr>
                <w:rStyle w:val="Hyperlink"/>
                <w:rFonts w:asciiTheme="minorHAnsi" w:hAnsiTheme="minorHAnsi" w:cstheme="minorHAnsi"/>
                <w:noProof/>
                <w:sz w:val="28"/>
                <w:szCs w:val="28"/>
              </w:rPr>
              <w:t>4.0</w:t>
            </w:r>
            <w:r w:rsidR="00231C80" w:rsidRPr="001A1C21">
              <w:rPr>
                <w:rFonts w:asciiTheme="minorHAnsi" w:hAnsiTheme="minorHAnsi" w:cstheme="minorHAnsi"/>
                <w:b w:val="0"/>
                <w:noProof/>
                <w:sz w:val="28"/>
                <w:szCs w:val="28"/>
                <w:lang w:eastAsia="en-GB"/>
              </w:rPr>
              <w:tab/>
            </w:r>
            <w:r w:rsidR="00231C80" w:rsidRPr="001A1C21">
              <w:rPr>
                <w:rStyle w:val="Hyperlink"/>
                <w:rFonts w:asciiTheme="minorHAnsi" w:hAnsiTheme="minorHAnsi" w:cstheme="minorHAnsi"/>
                <w:noProof/>
                <w:sz w:val="28"/>
                <w:szCs w:val="28"/>
              </w:rPr>
              <w:t>Work of the Committee</w:t>
            </w:r>
            <w:r w:rsidR="00231C80" w:rsidRPr="001A1C21">
              <w:rPr>
                <w:rFonts w:asciiTheme="minorHAnsi" w:hAnsiTheme="minorHAnsi" w:cstheme="minorHAnsi"/>
                <w:noProof/>
                <w:webHidden/>
                <w:sz w:val="28"/>
                <w:szCs w:val="28"/>
              </w:rPr>
              <w:tab/>
            </w:r>
            <w:r w:rsidR="00231C80" w:rsidRPr="001A1C21">
              <w:rPr>
                <w:rFonts w:asciiTheme="minorHAnsi" w:hAnsiTheme="minorHAnsi" w:cstheme="minorHAnsi"/>
                <w:noProof/>
                <w:webHidden/>
                <w:sz w:val="28"/>
                <w:szCs w:val="28"/>
              </w:rPr>
              <w:fldChar w:fldCharType="begin"/>
            </w:r>
            <w:r w:rsidR="00231C80" w:rsidRPr="001A1C21">
              <w:rPr>
                <w:rFonts w:asciiTheme="minorHAnsi" w:hAnsiTheme="minorHAnsi" w:cstheme="minorHAnsi"/>
                <w:noProof/>
                <w:webHidden/>
                <w:sz w:val="28"/>
                <w:szCs w:val="28"/>
              </w:rPr>
              <w:instrText xml:space="preserve"> PAGEREF _Toc74584444 \h </w:instrText>
            </w:r>
            <w:r w:rsidR="00231C80" w:rsidRPr="001A1C21">
              <w:rPr>
                <w:rFonts w:asciiTheme="minorHAnsi" w:hAnsiTheme="minorHAnsi" w:cstheme="minorHAnsi"/>
                <w:noProof/>
                <w:webHidden/>
                <w:sz w:val="28"/>
                <w:szCs w:val="28"/>
              </w:rPr>
            </w:r>
            <w:r w:rsidR="00231C80" w:rsidRPr="001A1C21">
              <w:rPr>
                <w:rFonts w:asciiTheme="minorHAnsi" w:hAnsiTheme="minorHAnsi" w:cstheme="minorHAnsi"/>
                <w:noProof/>
                <w:webHidden/>
                <w:sz w:val="28"/>
                <w:szCs w:val="28"/>
              </w:rPr>
              <w:fldChar w:fldCharType="separate"/>
            </w:r>
            <w:r>
              <w:rPr>
                <w:rFonts w:asciiTheme="minorHAnsi" w:hAnsiTheme="minorHAnsi" w:cstheme="minorHAnsi"/>
                <w:noProof/>
                <w:webHidden/>
                <w:sz w:val="28"/>
                <w:szCs w:val="28"/>
              </w:rPr>
              <w:t>8</w:t>
            </w:r>
            <w:r w:rsidR="00231C80" w:rsidRPr="001A1C21">
              <w:rPr>
                <w:rFonts w:asciiTheme="minorHAnsi" w:hAnsiTheme="minorHAnsi" w:cstheme="minorHAnsi"/>
                <w:noProof/>
                <w:webHidden/>
                <w:sz w:val="28"/>
                <w:szCs w:val="28"/>
              </w:rPr>
              <w:fldChar w:fldCharType="end"/>
            </w:r>
          </w:hyperlink>
        </w:p>
        <w:p w14:paraId="07EB549B" w14:textId="5BB5D9C9" w:rsidR="00231C80" w:rsidRPr="001A1C21" w:rsidRDefault="00E15E4E">
          <w:pPr>
            <w:pStyle w:val="TOC1"/>
            <w:rPr>
              <w:rFonts w:asciiTheme="minorHAnsi" w:hAnsiTheme="minorHAnsi" w:cstheme="minorHAnsi"/>
              <w:b w:val="0"/>
              <w:noProof/>
              <w:sz w:val="28"/>
              <w:szCs w:val="28"/>
              <w:lang w:eastAsia="en-GB"/>
            </w:rPr>
          </w:pPr>
          <w:hyperlink w:anchor="_Toc74584445" w:history="1">
            <w:r w:rsidR="00231C80" w:rsidRPr="001A1C21">
              <w:rPr>
                <w:rStyle w:val="Hyperlink"/>
                <w:rFonts w:asciiTheme="minorHAnsi" w:hAnsiTheme="minorHAnsi" w:cstheme="minorHAnsi"/>
                <w:noProof/>
                <w:sz w:val="28"/>
                <w:szCs w:val="28"/>
              </w:rPr>
              <w:t>5.0</w:t>
            </w:r>
            <w:r w:rsidR="00231C80" w:rsidRPr="001A1C21">
              <w:rPr>
                <w:rFonts w:asciiTheme="minorHAnsi" w:hAnsiTheme="minorHAnsi" w:cstheme="minorHAnsi"/>
                <w:b w:val="0"/>
                <w:noProof/>
                <w:sz w:val="28"/>
                <w:szCs w:val="28"/>
                <w:lang w:eastAsia="en-GB"/>
              </w:rPr>
              <w:tab/>
            </w:r>
            <w:r w:rsidR="00231C80" w:rsidRPr="001A1C21">
              <w:rPr>
                <w:rStyle w:val="Hyperlink"/>
                <w:rFonts w:asciiTheme="minorHAnsi" w:hAnsiTheme="minorHAnsi" w:cstheme="minorHAnsi"/>
                <w:noProof/>
                <w:sz w:val="28"/>
                <w:szCs w:val="28"/>
              </w:rPr>
              <w:t>Engagement and participation</w:t>
            </w:r>
            <w:r w:rsidR="00231C80" w:rsidRPr="001A1C21">
              <w:rPr>
                <w:rFonts w:asciiTheme="minorHAnsi" w:hAnsiTheme="minorHAnsi" w:cstheme="minorHAnsi"/>
                <w:noProof/>
                <w:webHidden/>
                <w:sz w:val="28"/>
                <w:szCs w:val="28"/>
              </w:rPr>
              <w:tab/>
            </w:r>
            <w:r w:rsidR="00231C80" w:rsidRPr="001A1C21">
              <w:rPr>
                <w:rFonts w:asciiTheme="minorHAnsi" w:hAnsiTheme="minorHAnsi" w:cstheme="minorHAnsi"/>
                <w:noProof/>
                <w:webHidden/>
                <w:sz w:val="28"/>
                <w:szCs w:val="28"/>
              </w:rPr>
              <w:fldChar w:fldCharType="begin"/>
            </w:r>
            <w:r w:rsidR="00231C80" w:rsidRPr="001A1C21">
              <w:rPr>
                <w:rFonts w:asciiTheme="minorHAnsi" w:hAnsiTheme="minorHAnsi" w:cstheme="minorHAnsi"/>
                <w:noProof/>
                <w:webHidden/>
                <w:sz w:val="28"/>
                <w:szCs w:val="28"/>
              </w:rPr>
              <w:instrText xml:space="preserve"> PAGEREF _Toc74584445 \h </w:instrText>
            </w:r>
            <w:r w:rsidR="00231C80" w:rsidRPr="001A1C21">
              <w:rPr>
                <w:rFonts w:asciiTheme="minorHAnsi" w:hAnsiTheme="minorHAnsi" w:cstheme="minorHAnsi"/>
                <w:noProof/>
                <w:webHidden/>
                <w:sz w:val="28"/>
                <w:szCs w:val="28"/>
              </w:rPr>
            </w:r>
            <w:r w:rsidR="00231C80" w:rsidRPr="001A1C21">
              <w:rPr>
                <w:rFonts w:asciiTheme="minorHAnsi" w:hAnsiTheme="minorHAnsi" w:cstheme="minorHAnsi"/>
                <w:noProof/>
                <w:webHidden/>
                <w:sz w:val="28"/>
                <w:szCs w:val="28"/>
              </w:rPr>
              <w:fldChar w:fldCharType="separate"/>
            </w:r>
            <w:r>
              <w:rPr>
                <w:rFonts w:asciiTheme="minorHAnsi" w:hAnsiTheme="minorHAnsi" w:cstheme="minorHAnsi"/>
                <w:noProof/>
                <w:webHidden/>
                <w:sz w:val="28"/>
                <w:szCs w:val="28"/>
              </w:rPr>
              <w:t>9</w:t>
            </w:r>
            <w:r w:rsidR="00231C80" w:rsidRPr="001A1C21">
              <w:rPr>
                <w:rFonts w:asciiTheme="minorHAnsi" w:hAnsiTheme="minorHAnsi" w:cstheme="minorHAnsi"/>
                <w:noProof/>
                <w:webHidden/>
                <w:sz w:val="28"/>
                <w:szCs w:val="28"/>
              </w:rPr>
              <w:fldChar w:fldCharType="end"/>
            </w:r>
          </w:hyperlink>
        </w:p>
        <w:p w14:paraId="6A196AE4" w14:textId="096D2ADC" w:rsidR="00231C80" w:rsidRPr="001A1C21" w:rsidRDefault="00E15E4E">
          <w:pPr>
            <w:pStyle w:val="TOC2"/>
            <w:rPr>
              <w:rFonts w:asciiTheme="minorHAnsi" w:hAnsiTheme="minorHAnsi" w:cstheme="minorHAnsi"/>
              <w:noProof/>
              <w:sz w:val="28"/>
              <w:szCs w:val="28"/>
              <w:lang w:eastAsia="en-GB"/>
            </w:rPr>
          </w:pPr>
          <w:hyperlink w:anchor="_Toc74584446" w:history="1">
            <w:r w:rsidR="00231C80" w:rsidRPr="001A1C21">
              <w:rPr>
                <w:rStyle w:val="Hyperlink"/>
                <w:rFonts w:asciiTheme="minorHAnsi" w:hAnsiTheme="minorHAnsi" w:cstheme="minorHAnsi"/>
                <w:noProof/>
                <w:sz w:val="28"/>
                <w:szCs w:val="28"/>
              </w:rPr>
              <w:t>Engagement with Northern Ireland stakeholders on the Protocol</w:t>
            </w:r>
            <w:r w:rsidR="00231C80" w:rsidRPr="001A1C21">
              <w:rPr>
                <w:rFonts w:asciiTheme="minorHAnsi" w:hAnsiTheme="minorHAnsi" w:cstheme="minorHAnsi"/>
                <w:noProof/>
                <w:webHidden/>
                <w:sz w:val="28"/>
                <w:szCs w:val="28"/>
              </w:rPr>
              <w:tab/>
            </w:r>
            <w:r w:rsidR="00231C80" w:rsidRPr="001A1C21">
              <w:rPr>
                <w:rFonts w:asciiTheme="minorHAnsi" w:hAnsiTheme="minorHAnsi" w:cstheme="minorHAnsi"/>
                <w:noProof/>
                <w:webHidden/>
                <w:sz w:val="28"/>
                <w:szCs w:val="28"/>
              </w:rPr>
              <w:fldChar w:fldCharType="begin"/>
            </w:r>
            <w:r w:rsidR="00231C80" w:rsidRPr="001A1C21">
              <w:rPr>
                <w:rFonts w:asciiTheme="minorHAnsi" w:hAnsiTheme="minorHAnsi" w:cstheme="minorHAnsi"/>
                <w:noProof/>
                <w:webHidden/>
                <w:sz w:val="28"/>
                <w:szCs w:val="28"/>
              </w:rPr>
              <w:instrText xml:space="preserve"> PAGEREF _Toc74584446 \h </w:instrText>
            </w:r>
            <w:r w:rsidR="00231C80" w:rsidRPr="001A1C21">
              <w:rPr>
                <w:rFonts w:asciiTheme="minorHAnsi" w:hAnsiTheme="minorHAnsi" w:cstheme="minorHAnsi"/>
                <w:noProof/>
                <w:webHidden/>
                <w:sz w:val="28"/>
                <w:szCs w:val="28"/>
              </w:rPr>
            </w:r>
            <w:r w:rsidR="00231C80" w:rsidRPr="001A1C21">
              <w:rPr>
                <w:rFonts w:asciiTheme="minorHAnsi" w:hAnsiTheme="minorHAnsi" w:cstheme="minorHAnsi"/>
                <w:noProof/>
                <w:webHidden/>
                <w:sz w:val="28"/>
                <w:szCs w:val="28"/>
              </w:rPr>
              <w:fldChar w:fldCharType="separate"/>
            </w:r>
            <w:r>
              <w:rPr>
                <w:rFonts w:asciiTheme="minorHAnsi" w:hAnsiTheme="minorHAnsi" w:cstheme="minorHAnsi"/>
                <w:noProof/>
                <w:webHidden/>
                <w:sz w:val="28"/>
                <w:szCs w:val="28"/>
              </w:rPr>
              <w:t>9</w:t>
            </w:r>
            <w:r w:rsidR="00231C80" w:rsidRPr="001A1C21">
              <w:rPr>
                <w:rFonts w:asciiTheme="minorHAnsi" w:hAnsiTheme="minorHAnsi" w:cstheme="minorHAnsi"/>
                <w:noProof/>
                <w:webHidden/>
                <w:sz w:val="28"/>
                <w:szCs w:val="28"/>
              </w:rPr>
              <w:fldChar w:fldCharType="end"/>
            </w:r>
          </w:hyperlink>
        </w:p>
        <w:p w14:paraId="6C268996" w14:textId="1504284B" w:rsidR="00231C80" w:rsidRPr="001A1C21" w:rsidRDefault="00E15E4E">
          <w:pPr>
            <w:pStyle w:val="TOC2"/>
            <w:rPr>
              <w:rFonts w:asciiTheme="minorHAnsi" w:hAnsiTheme="minorHAnsi" w:cstheme="minorHAnsi"/>
              <w:noProof/>
              <w:sz w:val="28"/>
              <w:szCs w:val="28"/>
              <w:lang w:eastAsia="en-GB"/>
            </w:rPr>
          </w:pPr>
          <w:hyperlink w:anchor="_Toc74584447" w:history="1">
            <w:r w:rsidR="00231C80" w:rsidRPr="001A1C21">
              <w:rPr>
                <w:rStyle w:val="Hyperlink"/>
                <w:rFonts w:asciiTheme="minorHAnsi" w:hAnsiTheme="minorHAnsi" w:cstheme="minorHAnsi"/>
                <w:noProof/>
                <w:sz w:val="28"/>
                <w:szCs w:val="28"/>
              </w:rPr>
              <w:t>Addressing the democratic deficit</w:t>
            </w:r>
            <w:r w:rsidR="00231C80" w:rsidRPr="001A1C21">
              <w:rPr>
                <w:rFonts w:asciiTheme="minorHAnsi" w:hAnsiTheme="minorHAnsi" w:cstheme="minorHAnsi"/>
                <w:noProof/>
                <w:webHidden/>
                <w:sz w:val="28"/>
                <w:szCs w:val="28"/>
              </w:rPr>
              <w:tab/>
            </w:r>
            <w:r w:rsidR="00231C80" w:rsidRPr="001A1C21">
              <w:rPr>
                <w:rFonts w:asciiTheme="minorHAnsi" w:hAnsiTheme="minorHAnsi" w:cstheme="minorHAnsi"/>
                <w:noProof/>
                <w:webHidden/>
                <w:sz w:val="28"/>
                <w:szCs w:val="28"/>
              </w:rPr>
              <w:fldChar w:fldCharType="begin"/>
            </w:r>
            <w:r w:rsidR="00231C80" w:rsidRPr="001A1C21">
              <w:rPr>
                <w:rFonts w:asciiTheme="minorHAnsi" w:hAnsiTheme="minorHAnsi" w:cstheme="minorHAnsi"/>
                <w:noProof/>
                <w:webHidden/>
                <w:sz w:val="28"/>
                <w:szCs w:val="28"/>
              </w:rPr>
              <w:instrText xml:space="preserve"> PAGEREF _Toc74584447 \h </w:instrText>
            </w:r>
            <w:r w:rsidR="00231C80" w:rsidRPr="001A1C21">
              <w:rPr>
                <w:rFonts w:asciiTheme="minorHAnsi" w:hAnsiTheme="minorHAnsi" w:cstheme="minorHAnsi"/>
                <w:noProof/>
                <w:webHidden/>
                <w:sz w:val="28"/>
                <w:szCs w:val="28"/>
              </w:rPr>
            </w:r>
            <w:r w:rsidR="00231C80" w:rsidRPr="001A1C21">
              <w:rPr>
                <w:rFonts w:asciiTheme="minorHAnsi" w:hAnsiTheme="minorHAnsi" w:cstheme="minorHAnsi"/>
                <w:noProof/>
                <w:webHidden/>
                <w:sz w:val="28"/>
                <w:szCs w:val="28"/>
              </w:rPr>
              <w:fldChar w:fldCharType="separate"/>
            </w:r>
            <w:r>
              <w:rPr>
                <w:rFonts w:asciiTheme="minorHAnsi" w:hAnsiTheme="minorHAnsi" w:cstheme="minorHAnsi"/>
                <w:noProof/>
                <w:webHidden/>
                <w:sz w:val="28"/>
                <w:szCs w:val="28"/>
              </w:rPr>
              <w:t>10</w:t>
            </w:r>
            <w:r w:rsidR="00231C80" w:rsidRPr="001A1C21">
              <w:rPr>
                <w:rFonts w:asciiTheme="minorHAnsi" w:hAnsiTheme="minorHAnsi" w:cstheme="minorHAnsi"/>
                <w:noProof/>
                <w:webHidden/>
                <w:sz w:val="28"/>
                <w:szCs w:val="28"/>
              </w:rPr>
              <w:fldChar w:fldCharType="end"/>
            </w:r>
          </w:hyperlink>
        </w:p>
        <w:p w14:paraId="1D793AC0" w14:textId="6AAABE5A" w:rsidR="00231C80" w:rsidRPr="001A1C21" w:rsidRDefault="00E15E4E">
          <w:pPr>
            <w:pStyle w:val="TOC1"/>
            <w:rPr>
              <w:rFonts w:asciiTheme="minorHAnsi" w:hAnsiTheme="minorHAnsi" w:cstheme="minorHAnsi"/>
              <w:b w:val="0"/>
              <w:noProof/>
              <w:sz w:val="28"/>
              <w:szCs w:val="28"/>
              <w:lang w:eastAsia="en-GB"/>
            </w:rPr>
          </w:pPr>
          <w:hyperlink w:anchor="_Toc74584448" w:history="1">
            <w:r w:rsidR="00231C80" w:rsidRPr="001A1C21">
              <w:rPr>
                <w:rStyle w:val="Hyperlink"/>
                <w:rFonts w:asciiTheme="minorHAnsi" w:hAnsiTheme="minorHAnsi" w:cstheme="minorHAnsi"/>
                <w:noProof/>
                <w:sz w:val="28"/>
                <w:szCs w:val="28"/>
              </w:rPr>
              <w:t>6.0</w:t>
            </w:r>
            <w:r w:rsidR="00231C80" w:rsidRPr="001A1C21">
              <w:rPr>
                <w:rFonts w:asciiTheme="minorHAnsi" w:hAnsiTheme="minorHAnsi" w:cstheme="minorHAnsi"/>
                <w:b w:val="0"/>
                <w:noProof/>
                <w:sz w:val="28"/>
                <w:szCs w:val="28"/>
                <w:lang w:eastAsia="en-GB"/>
              </w:rPr>
              <w:tab/>
            </w:r>
            <w:r w:rsidR="00231C80" w:rsidRPr="001A1C21">
              <w:rPr>
                <w:rStyle w:val="Hyperlink"/>
                <w:rFonts w:asciiTheme="minorHAnsi" w:hAnsiTheme="minorHAnsi" w:cstheme="minorHAnsi"/>
                <w:noProof/>
                <w:sz w:val="28"/>
                <w:szCs w:val="28"/>
              </w:rPr>
              <w:t>Appendix 1</w:t>
            </w:r>
            <w:r w:rsidR="00231C80" w:rsidRPr="001A1C21">
              <w:rPr>
                <w:rFonts w:asciiTheme="minorHAnsi" w:hAnsiTheme="minorHAnsi" w:cstheme="minorHAnsi"/>
                <w:noProof/>
                <w:webHidden/>
                <w:sz w:val="28"/>
                <w:szCs w:val="28"/>
              </w:rPr>
              <w:tab/>
            </w:r>
            <w:r w:rsidR="00231C80" w:rsidRPr="001A1C21">
              <w:rPr>
                <w:rFonts w:asciiTheme="minorHAnsi" w:hAnsiTheme="minorHAnsi" w:cstheme="minorHAnsi"/>
                <w:noProof/>
                <w:webHidden/>
                <w:sz w:val="28"/>
                <w:szCs w:val="28"/>
              </w:rPr>
              <w:fldChar w:fldCharType="begin"/>
            </w:r>
            <w:r w:rsidR="00231C80" w:rsidRPr="001A1C21">
              <w:rPr>
                <w:rFonts w:asciiTheme="minorHAnsi" w:hAnsiTheme="minorHAnsi" w:cstheme="minorHAnsi"/>
                <w:noProof/>
                <w:webHidden/>
                <w:sz w:val="28"/>
                <w:szCs w:val="28"/>
              </w:rPr>
              <w:instrText xml:space="preserve"> PAGEREF _Toc74584448 \h </w:instrText>
            </w:r>
            <w:r w:rsidR="00231C80" w:rsidRPr="001A1C21">
              <w:rPr>
                <w:rFonts w:asciiTheme="minorHAnsi" w:hAnsiTheme="minorHAnsi" w:cstheme="minorHAnsi"/>
                <w:noProof/>
                <w:webHidden/>
                <w:sz w:val="28"/>
                <w:szCs w:val="28"/>
              </w:rPr>
            </w:r>
            <w:r w:rsidR="00231C80" w:rsidRPr="001A1C21">
              <w:rPr>
                <w:rFonts w:asciiTheme="minorHAnsi" w:hAnsiTheme="minorHAnsi" w:cstheme="minorHAnsi"/>
                <w:noProof/>
                <w:webHidden/>
                <w:sz w:val="28"/>
                <w:szCs w:val="28"/>
              </w:rPr>
              <w:fldChar w:fldCharType="separate"/>
            </w:r>
            <w:r>
              <w:rPr>
                <w:rFonts w:asciiTheme="minorHAnsi" w:hAnsiTheme="minorHAnsi" w:cstheme="minorHAnsi"/>
                <w:noProof/>
                <w:webHidden/>
                <w:sz w:val="28"/>
                <w:szCs w:val="28"/>
              </w:rPr>
              <w:t>12</w:t>
            </w:r>
            <w:r w:rsidR="00231C80" w:rsidRPr="001A1C21">
              <w:rPr>
                <w:rFonts w:asciiTheme="minorHAnsi" w:hAnsiTheme="minorHAnsi" w:cstheme="minorHAnsi"/>
                <w:noProof/>
                <w:webHidden/>
                <w:sz w:val="28"/>
                <w:szCs w:val="28"/>
              </w:rPr>
              <w:fldChar w:fldCharType="end"/>
            </w:r>
          </w:hyperlink>
        </w:p>
        <w:p w14:paraId="1C04E181" w14:textId="4ECFA9F2" w:rsidR="00E569F0" w:rsidRPr="000835C7" w:rsidRDefault="00E569F0" w:rsidP="007A4DC5">
          <w:pPr>
            <w:spacing w:line="276" w:lineRule="auto"/>
          </w:pPr>
          <w:r w:rsidRPr="001A1C21">
            <w:rPr>
              <w:rFonts w:asciiTheme="minorHAnsi" w:hAnsiTheme="minorHAnsi" w:cstheme="minorHAnsi"/>
              <w:b/>
              <w:bCs/>
              <w:noProof/>
              <w:sz w:val="28"/>
              <w:szCs w:val="28"/>
            </w:rPr>
            <w:fldChar w:fldCharType="end"/>
          </w:r>
        </w:p>
      </w:sdtContent>
    </w:sdt>
    <w:p w14:paraId="024BCEEF" w14:textId="77777777" w:rsidR="00223BBF" w:rsidRPr="000835C7" w:rsidRDefault="00E569F0" w:rsidP="00D0719F">
      <w:pPr>
        <w:spacing w:line="276" w:lineRule="auto"/>
        <w:rPr>
          <w:rFonts w:cs="Arial"/>
          <w:b/>
          <w:color w:val="232120"/>
          <w:sz w:val="30"/>
          <w:szCs w:val="30"/>
        </w:rPr>
      </w:pPr>
      <w:r w:rsidRPr="000835C7">
        <w:rPr>
          <w:rFonts w:cs="Arial"/>
          <w:b/>
          <w:color w:val="232120"/>
          <w:sz w:val="30"/>
          <w:szCs w:val="30"/>
        </w:rPr>
        <w:t xml:space="preserve"> </w:t>
      </w:r>
    </w:p>
    <w:p w14:paraId="314E5BBA" w14:textId="77777777" w:rsidR="00223BBF" w:rsidRPr="000835C7" w:rsidRDefault="00223BBF" w:rsidP="00D0719F">
      <w:pPr>
        <w:spacing w:line="276" w:lineRule="auto"/>
        <w:rPr>
          <w:rFonts w:cs="Arial"/>
          <w:b/>
          <w:color w:val="232120"/>
          <w:sz w:val="30"/>
          <w:szCs w:val="30"/>
        </w:rPr>
      </w:pPr>
      <w:r w:rsidRPr="000835C7">
        <w:rPr>
          <w:rFonts w:cs="Arial"/>
          <w:b/>
          <w:color w:val="232120"/>
          <w:sz w:val="30"/>
          <w:szCs w:val="30"/>
        </w:rPr>
        <w:br w:type="page"/>
      </w:r>
    </w:p>
    <w:p w14:paraId="2621AB31" w14:textId="7923ACBE" w:rsidR="00CC7150" w:rsidRPr="000835C7" w:rsidRDefault="00CC7150" w:rsidP="0019753B">
      <w:pPr>
        <w:pStyle w:val="Heading1"/>
      </w:pPr>
      <w:bookmarkStart w:id="0" w:name="_Toc74584440"/>
      <w:r w:rsidRPr="000835C7">
        <w:lastRenderedPageBreak/>
        <w:t>Introduction</w:t>
      </w:r>
      <w:bookmarkEnd w:id="0"/>
      <w:r w:rsidRPr="000835C7">
        <w:t xml:space="preserve"> </w:t>
      </w:r>
    </w:p>
    <w:p w14:paraId="4ED49341" w14:textId="20DEF808" w:rsidR="009A622B" w:rsidRPr="000835C7" w:rsidRDefault="00E569F0" w:rsidP="00040230">
      <w:pPr>
        <w:pStyle w:val="ListParagraph"/>
      </w:pPr>
      <w:r w:rsidRPr="000835C7">
        <w:t xml:space="preserve">The Northern Ireland Human Rights Commission (the </w:t>
      </w:r>
      <w:r w:rsidR="00E91263" w:rsidRPr="000835C7">
        <w:t xml:space="preserve">NIHRC), pursuant to </w:t>
      </w:r>
      <w:r w:rsidR="0025285E" w:rsidRPr="000835C7">
        <w:t>s</w:t>
      </w:r>
      <w:r w:rsidR="00E91263" w:rsidRPr="000835C7">
        <w:t>ection 69(1</w:t>
      </w:r>
      <w:r w:rsidRPr="000835C7">
        <w:t>) the Northern Ireland Act 1998, reviews the adequacy and effectiveness of law and practice relating to the protection of human rights</w:t>
      </w:r>
      <w:r w:rsidR="00E91263" w:rsidRPr="000835C7">
        <w:t xml:space="preserve"> in Northern Ireland (NI)</w:t>
      </w:r>
      <w:r w:rsidRPr="000835C7">
        <w:t xml:space="preserve">. </w:t>
      </w:r>
    </w:p>
    <w:p w14:paraId="4EACFF81" w14:textId="2287376C" w:rsidR="002A3C94" w:rsidRPr="000835C7" w:rsidRDefault="009A622B" w:rsidP="00040230">
      <w:pPr>
        <w:pStyle w:val="ListParagraph"/>
      </w:pPr>
      <w:r w:rsidRPr="000835C7">
        <w:t>The NIHRC bases its advice on the full range of internationally accepted human rights standards, including the European Convention on Human Rights (ECHR), as incorporated by the Human Rights Act 1998 and the treaty obligations of the Council of Europe (</w:t>
      </w:r>
      <w:proofErr w:type="spellStart"/>
      <w:r w:rsidRPr="000835C7">
        <w:t>CoE</w:t>
      </w:r>
      <w:proofErr w:type="spellEnd"/>
      <w:r w:rsidRPr="000835C7">
        <w:t xml:space="preserve">) and United Nations (UN) systems. In addition to these treaty standards, there exists a body of ‘soft law’ developed by the human rights bodies of the </w:t>
      </w:r>
      <w:proofErr w:type="spellStart"/>
      <w:r w:rsidRPr="000835C7">
        <w:t>CoE</w:t>
      </w:r>
      <w:proofErr w:type="spellEnd"/>
      <w:r w:rsidRPr="000835C7">
        <w:t xml:space="preserve"> and UN. These declarations and principles are non-binding but provide further guidance in respect of specific areas. </w:t>
      </w:r>
    </w:p>
    <w:p w14:paraId="7A200AF1" w14:textId="7F17A21B" w:rsidR="007A0D22" w:rsidRPr="000835C7" w:rsidRDefault="002A3C94" w:rsidP="00040230">
      <w:pPr>
        <w:pStyle w:val="ListParagraph"/>
      </w:pPr>
      <w:r w:rsidRPr="000835C7">
        <w:t>The Equality Commission for Northern Ireland (ECNI)</w:t>
      </w:r>
      <w:r w:rsidR="00C97D5A" w:rsidRPr="000835C7">
        <w:t xml:space="preserve"> </w:t>
      </w:r>
      <w:r w:rsidR="008D05C4" w:rsidRPr="000835C7">
        <w:t xml:space="preserve">is an independent public body established under the Northern Ireland Act 1998. Its </w:t>
      </w:r>
      <w:r w:rsidR="00C97D5A" w:rsidRPr="000835C7">
        <w:t xml:space="preserve">powers and duties derive from </w:t>
      </w:r>
      <w:proofErr w:type="gramStart"/>
      <w:r w:rsidR="00C97D5A" w:rsidRPr="000835C7">
        <w:t>a number of</w:t>
      </w:r>
      <w:proofErr w:type="gramEnd"/>
      <w:r w:rsidR="00C97D5A" w:rsidRPr="000835C7">
        <w:t xml:space="preserve"> </w:t>
      </w:r>
      <w:r w:rsidR="008D05C4" w:rsidRPr="000835C7">
        <w:t xml:space="preserve">equality </w:t>
      </w:r>
      <w:r w:rsidR="00C97D5A" w:rsidRPr="000835C7">
        <w:t>statutes providing protection against discrimination on the grounds of age, disability, race, religion and political opinion, sex and sexual orientation</w:t>
      </w:r>
      <w:r w:rsidR="008D05C4" w:rsidRPr="000835C7">
        <w:t xml:space="preserve">. Its </w:t>
      </w:r>
      <w:r w:rsidR="00C97D5A" w:rsidRPr="000835C7">
        <w:t>remit also includes overseeing the statutory duties on public authorities to promote equality of opportunity and good relations under Section 75 o</w:t>
      </w:r>
      <w:r w:rsidR="008D05C4" w:rsidRPr="000835C7">
        <w:t>f the Northern Ireland Act 1998</w:t>
      </w:r>
      <w:r w:rsidR="00C97D5A" w:rsidRPr="000835C7">
        <w:t xml:space="preserve">. </w:t>
      </w:r>
    </w:p>
    <w:p w14:paraId="44F63696" w14:textId="248A9B3C" w:rsidR="002A3C94" w:rsidRPr="000835C7" w:rsidRDefault="007A0D22" w:rsidP="00040230">
      <w:pPr>
        <w:pStyle w:val="ListParagraph"/>
      </w:pPr>
      <w:r w:rsidRPr="000835C7">
        <w:t>The EU (Withdrawal Agreement) Act 2020 empowers the Commissions</w:t>
      </w:r>
      <w:r w:rsidR="00707425" w:rsidRPr="000835C7">
        <w:t xml:space="preserve"> </w:t>
      </w:r>
      <w:r w:rsidRPr="000835C7">
        <w:t xml:space="preserve">with new functions to monitor, advise, report on, promote, and enforce the implementation of Article 2(1) of the Ireland/Northern Ireland Protocol </w:t>
      </w:r>
      <w:r w:rsidR="009F3340" w:rsidRPr="000835C7">
        <w:t xml:space="preserve">(‘the Protocol’) </w:t>
      </w:r>
      <w:r w:rsidRPr="000835C7">
        <w:t xml:space="preserve">to the UK-EU Withdrawal Agreement.     </w:t>
      </w:r>
    </w:p>
    <w:p w14:paraId="4207D30B" w14:textId="17E71FF5" w:rsidR="001F587F" w:rsidRPr="000835C7" w:rsidRDefault="002A3C94" w:rsidP="00040230">
      <w:pPr>
        <w:pStyle w:val="ListParagraph"/>
      </w:pPr>
      <w:r w:rsidRPr="000835C7">
        <w:t xml:space="preserve">In accordance with </w:t>
      </w:r>
      <w:r w:rsidR="00D37638" w:rsidRPr="000835C7">
        <w:t>these functions</w:t>
      </w:r>
      <w:r w:rsidR="00987CDA" w:rsidRPr="000835C7">
        <w:t xml:space="preserve">, the Commissions </w:t>
      </w:r>
      <w:r w:rsidRPr="000835C7">
        <w:t xml:space="preserve">provide this </w:t>
      </w:r>
      <w:r w:rsidR="007A0D22" w:rsidRPr="000835C7">
        <w:t xml:space="preserve">joint </w:t>
      </w:r>
      <w:r w:rsidRPr="000835C7">
        <w:t>submission to</w:t>
      </w:r>
      <w:r w:rsidR="0013344F">
        <w:t xml:space="preserve"> the </w:t>
      </w:r>
      <w:r w:rsidR="00FD6A06" w:rsidRPr="000835C7">
        <w:t>Introductory Inquiry into the Operation of the Protocol on Ireland/Northern Ireland</w:t>
      </w:r>
      <w:r w:rsidRPr="000835C7">
        <w:t xml:space="preserve"> </w:t>
      </w:r>
      <w:r w:rsidR="00FD6A06" w:rsidRPr="000835C7">
        <w:t xml:space="preserve">of </w:t>
      </w:r>
      <w:r w:rsidRPr="000835C7">
        <w:t xml:space="preserve">the </w:t>
      </w:r>
      <w:r w:rsidR="00B85421" w:rsidRPr="000835C7">
        <w:t>European Affairs Sub-Committee on the Protocol</w:t>
      </w:r>
      <w:r w:rsidR="00FD6A06" w:rsidRPr="000835C7">
        <w:t>.</w:t>
      </w:r>
      <w:r w:rsidR="00B503A5" w:rsidRPr="000835C7">
        <w:rPr>
          <w:rStyle w:val="FootnoteReference"/>
        </w:rPr>
        <w:footnoteReference w:id="1"/>
      </w:r>
      <w:r w:rsidR="00FD6A06" w:rsidRPr="000835C7">
        <w:t xml:space="preserve"> </w:t>
      </w:r>
    </w:p>
    <w:p w14:paraId="3325E5E0" w14:textId="134DFFE1" w:rsidR="000D21CB" w:rsidRPr="000835C7" w:rsidRDefault="00B11A27" w:rsidP="00040230">
      <w:pPr>
        <w:pStyle w:val="ListParagraph"/>
      </w:pPr>
      <w:r w:rsidRPr="000835C7">
        <w:t>The Commissions welcome this opportunity to provide written evidence to the introductory inquiry and are available to provide an oral briefing if this could provide further assistance to the Committee. In this briefing, the Commissions have focused on addressing only those questions in the Sub-Committee’s call for evidence which fall within the scope of our respective roles and remit</w:t>
      </w:r>
      <w:r w:rsidR="00204391" w:rsidRPr="000835C7">
        <w:t xml:space="preserve">. </w:t>
      </w:r>
    </w:p>
    <w:p w14:paraId="72E72C23" w14:textId="44189B29" w:rsidR="00D13294" w:rsidRPr="000835C7" w:rsidRDefault="00043B92" w:rsidP="00040230">
      <w:pPr>
        <w:pStyle w:val="Heading1"/>
      </w:pPr>
      <w:bookmarkStart w:id="1" w:name="_Toc74584441"/>
      <w:r w:rsidRPr="000835C7">
        <w:lastRenderedPageBreak/>
        <w:t>Positive impact of the Protocol</w:t>
      </w:r>
      <w:bookmarkEnd w:id="1"/>
      <w:r w:rsidRPr="000835C7">
        <w:t xml:space="preserve"> </w:t>
      </w:r>
    </w:p>
    <w:p w14:paraId="0481970A" w14:textId="00952A84" w:rsidR="00F57A2D" w:rsidRPr="000835C7" w:rsidRDefault="002E21E5" w:rsidP="007D4457">
      <w:pPr>
        <w:pStyle w:val="ListParagraph"/>
        <w:numPr>
          <w:ilvl w:val="1"/>
          <w:numId w:val="1"/>
        </w:numPr>
      </w:pPr>
      <w:r w:rsidRPr="000835C7">
        <w:t>Qu</w:t>
      </w:r>
      <w:r w:rsidR="004A15A9" w:rsidRPr="000835C7">
        <w:t xml:space="preserve">estion </w:t>
      </w:r>
      <w:r w:rsidR="006210F3" w:rsidRPr="000835C7">
        <w:t xml:space="preserve">4 </w:t>
      </w:r>
      <w:r w:rsidR="002B3B7A" w:rsidRPr="000835C7">
        <w:t xml:space="preserve">of the call for evidence requests evidence on whether the </w:t>
      </w:r>
      <w:r w:rsidR="005679CA" w:rsidRPr="000835C7">
        <w:t>Protocol</w:t>
      </w:r>
      <w:r w:rsidR="00A763EF" w:rsidRPr="000835C7">
        <w:t xml:space="preserve"> has had any positive impact for NI</w:t>
      </w:r>
      <w:r w:rsidR="00026996" w:rsidRPr="000835C7">
        <w:t>.</w:t>
      </w:r>
    </w:p>
    <w:p w14:paraId="012821F8" w14:textId="5A6886F6" w:rsidR="002D246C" w:rsidRPr="000835C7" w:rsidRDefault="00505A96" w:rsidP="0019753B">
      <w:pPr>
        <w:pStyle w:val="ListParagraph"/>
        <w:numPr>
          <w:ilvl w:val="1"/>
          <w:numId w:val="1"/>
        </w:numPr>
      </w:pPr>
      <w:r w:rsidRPr="000835C7">
        <w:t xml:space="preserve">Human rights and equality </w:t>
      </w:r>
      <w:r w:rsidR="005E35EE" w:rsidRPr="000835C7">
        <w:t xml:space="preserve">protections </w:t>
      </w:r>
      <w:r w:rsidRPr="000835C7">
        <w:t xml:space="preserve">are at the heart of the Belfast (Good Friday) Agreement 1998 and are central to the peace process in NI. </w:t>
      </w:r>
      <w:r w:rsidR="00E61FB9" w:rsidRPr="000835C7">
        <w:t xml:space="preserve">The </w:t>
      </w:r>
      <w:r w:rsidR="00DF1FFC" w:rsidRPr="000835C7">
        <w:t>importance of protecting the</w:t>
      </w:r>
      <w:r w:rsidRPr="000835C7">
        <w:t xml:space="preserve"> 1998 Agreement</w:t>
      </w:r>
      <w:r w:rsidR="00DF1FFC" w:rsidRPr="000835C7">
        <w:t xml:space="preserve"> and its human rights and equality commitments was accepted in negotiations leading to the UK’s withdrawal from the EU</w:t>
      </w:r>
      <w:r w:rsidRPr="000835C7">
        <w:t>.</w:t>
      </w:r>
      <w:r w:rsidRPr="000835C7">
        <w:rPr>
          <w:rStyle w:val="FootnoteReference"/>
        </w:rPr>
        <w:footnoteReference w:id="2"/>
      </w:r>
      <w:r w:rsidRPr="000835C7">
        <w:t xml:space="preserve"> </w:t>
      </w:r>
      <w:r w:rsidR="005E35EE" w:rsidRPr="000835C7">
        <w:t xml:space="preserve">This </w:t>
      </w:r>
      <w:r w:rsidRPr="000835C7">
        <w:t>is</w:t>
      </w:r>
      <w:r w:rsidR="00791D00" w:rsidRPr="000835C7">
        <w:t xml:space="preserve"> reflected in the Ireland/Northern Ireland Protocol to the UK-EU Withdrawal Agreement 2020</w:t>
      </w:r>
      <w:r w:rsidR="00530DDE" w:rsidRPr="000835C7">
        <w:t xml:space="preserve"> (‘the Protocol’)</w:t>
      </w:r>
      <w:r w:rsidR="00E27920" w:rsidRPr="000835C7">
        <w:t>.</w:t>
      </w:r>
      <w:r w:rsidR="00E27920" w:rsidRPr="000835C7">
        <w:rPr>
          <w:rStyle w:val="FootnoteReference"/>
        </w:rPr>
        <w:footnoteReference w:id="3"/>
      </w:r>
      <w:r w:rsidR="00E27920" w:rsidRPr="000835C7">
        <w:t xml:space="preserve">  </w:t>
      </w:r>
    </w:p>
    <w:p w14:paraId="59A5043E" w14:textId="5D657D72" w:rsidR="00DA4122" w:rsidRPr="000835C7" w:rsidRDefault="00183B9F" w:rsidP="0019753B">
      <w:pPr>
        <w:pStyle w:val="ListParagraph"/>
        <w:numPr>
          <w:ilvl w:val="1"/>
          <w:numId w:val="1"/>
        </w:numPr>
      </w:pPr>
      <w:r w:rsidRPr="000835C7">
        <w:t xml:space="preserve">The Commissions consider that the commitment by the UK Government in Article 2 of the Protocol is a positive development as it recognises the centrality of equality and human rights in the Belfast (Good Friday) Agreement and the durability of the peace process.  </w:t>
      </w:r>
      <w:r w:rsidR="00166131" w:rsidRPr="000835C7">
        <w:t xml:space="preserve">In addition, </w:t>
      </w:r>
      <w:r w:rsidR="002D246C" w:rsidRPr="000835C7">
        <w:t>the establishment</w:t>
      </w:r>
      <w:r w:rsidR="001B7A89" w:rsidRPr="000835C7">
        <w:t>,</w:t>
      </w:r>
      <w:r w:rsidR="002D246C" w:rsidRPr="000835C7">
        <w:t xml:space="preserve"> resourcing</w:t>
      </w:r>
      <w:r w:rsidR="001B7A89" w:rsidRPr="000835C7">
        <w:t>, and new powers and duties</w:t>
      </w:r>
      <w:r w:rsidR="002D246C" w:rsidRPr="000835C7">
        <w:t xml:space="preserve"> of the </w:t>
      </w:r>
      <w:r w:rsidR="001B7A89" w:rsidRPr="000835C7">
        <w:t xml:space="preserve">Commissions as the </w:t>
      </w:r>
      <w:r w:rsidR="002D246C" w:rsidRPr="000835C7">
        <w:t>dedicated mechanism to</w:t>
      </w:r>
      <w:r w:rsidR="00D21F15" w:rsidRPr="000835C7">
        <w:t xml:space="preserve"> oversee the implementation o</w:t>
      </w:r>
      <w:r w:rsidR="009B7777" w:rsidRPr="000835C7">
        <w:t>f this commitment</w:t>
      </w:r>
      <w:r w:rsidR="00166131" w:rsidRPr="000835C7">
        <w:t xml:space="preserve"> is another positive development</w:t>
      </w:r>
      <w:r w:rsidR="00DA4122" w:rsidRPr="000835C7">
        <w:t xml:space="preserve"> (see Appendix 1</w:t>
      </w:r>
      <w:r w:rsidR="0013344F">
        <w:t xml:space="preserve"> hereto</w:t>
      </w:r>
      <w:r w:rsidR="00DA4122" w:rsidRPr="000835C7">
        <w:t>).</w:t>
      </w:r>
      <w:r w:rsidR="009F1B32">
        <w:rPr>
          <w:rStyle w:val="FootnoteReference"/>
        </w:rPr>
        <w:footnoteReference w:id="4"/>
      </w:r>
      <w:r w:rsidR="005C0C19" w:rsidRPr="000835C7">
        <w:t xml:space="preserve"> </w:t>
      </w:r>
    </w:p>
    <w:p w14:paraId="15E37086" w14:textId="52BBDC84" w:rsidR="001B2DD4" w:rsidRPr="000835C7" w:rsidRDefault="001330ED" w:rsidP="0019753B">
      <w:pPr>
        <w:pStyle w:val="ListParagraph"/>
        <w:numPr>
          <w:ilvl w:val="1"/>
          <w:numId w:val="1"/>
        </w:numPr>
      </w:pPr>
      <w:r w:rsidRPr="000835C7">
        <w:t xml:space="preserve">This enables the Commissions to hold </w:t>
      </w:r>
      <w:r w:rsidR="00E77130">
        <w:t>the UK G</w:t>
      </w:r>
      <w:r w:rsidRPr="000835C7">
        <w:t>overnment to account in terms of the implementation of the Article 2 commitment.  It also provides individuals with rights to challenge the actions of the NI Executive, NI Ministers, and the NI Assembly should they breach this commitment.  A further positive aspect of the role of the dedicated mechanism is its close working with the Irish Human Rights and Equality Commission on matters relevant to Article 2 that have an island of Ireland dimension. The Commissions’ also have the power to directly raise matters of concern with the Specialised Committee on the implementation of the Protocol.</w:t>
      </w:r>
    </w:p>
    <w:p w14:paraId="046CFD30" w14:textId="4520F108" w:rsidR="002D246C" w:rsidRDefault="00A41480" w:rsidP="00040230">
      <w:pPr>
        <w:pStyle w:val="ListParagraph"/>
        <w:numPr>
          <w:ilvl w:val="1"/>
          <w:numId w:val="1"/>
        </w:numPr>
      </w:pPr>
      <w:r w:rsidRPr="000835C7">
        <w:t>As a result of being granted these new functions, t</w:t>
      </w:r>
      <w:r w:rsidR="00126F90" w:rsidRPr="000835C7">
        <w:t>he Commissions have commenced engageme</w:t>
      </w:r>
      <w:r w:rsidRPr="000835C7">
        <w:t>nt with a range of stakeholders</w:t>
      </w:r>
      <w:r w:rsidR="00126F90" w:rsidRPr="000835C7">
        <w:t xml:space="preserve">, including </w:t>
      </w:r>
      <w:r w:rsidR="001B2DD4" w:rsidRPr="000835C7">
        <w:t>equality and human stakeholders</w:t>
      </w:r>
      <w:r w:rsidR="00126F90" w:rsidRPr="000835C7">
        <w:t>, to raise awareness of the rights of individuals</w:t>
      </w:r>
      <w:r w:rsidR="000D375E" w:rsidRPr="000835C7">
        <w:t xml:space="preserve"> in respect of Article 2</w:t>
      </w:r>
      <w:r w:rsidR="00126F90" w:rsidRPr="000835C7">
        <w:t xml:space="preserve"> and the role and remit of the dedicated mechanism. </w:t>
      </w:r>
      <w:r w:rsidR="009B7777" w:rsidRPr="000835C7">
        <w:t>However, as noted below, there are limitations to the Article 2 commitment.</w:t>
      </w:r>
    </w:p>
    <w:p w14:paraId="1BCB96AD" w14:textId="77777777" w:rsidR="00D43974" w:rsidRPr="000835C7" w:rsidRDefault="00D43974" w:rsidP="00D43974"/>
    <w:p w14:paraId="74B96ECB" w14:textId="45FFD608" w:rsidR="006A0627" w:rsidRPr="000835C7" w:rsidRDefault="006A0627" w:rsidP="00040230">
      <w:pPr>
        <w:pStyle w:val="Heading2"/>
        <w:spacing w:before="360" w:after="240" w:line="240" w:lineRule="auto"/>
      </w:pPr>
      <w:bookmarkStart w:id="2" w:name="_Toc74584442"/>
      <w:r w:rsidRPr="000835C7">
        <w:lastRenderedPageBreak/>
        <w:t>Scope of Article 2</w:t>
      </w:r>
      <w:bookmarkEnd w:id="2"/>
    </w:p>
    <w:p w14:paraId="407EA361" w14:textId="13783480" w:rsidR="00D94249" w:rsidRPr="000835C7" w:rsidRDefault="0049725F" w:rsidP="00040230">
      <w:pPr>
        <w:pStyle w:val="ListParagraph"/>
        <w:numPr>
          <w:ilvl w:val="1"/>
          <w:numId w:val="1"/>
        </w:numPr>
      </w:pPr>
      <w:r w:rsidRPr="000835C7">
        <w:t xml:space="preserve">In </w:t>
      </w:r>
      <w:r w:rsidR="00D544C8" w:rsidRPr="000835C7">
        <w:t>Article 2 of the Protocol</w:t>
      </w:r>
      <w:r w:rsidRPr="000835C7">
        <w:t>,</w:t>
      </w:r>
      <w:r w:rsidR="00D544C8" w:rsidRPr="000835C7">
        <w:t xml:space="preserve"> the UK Government has committed to ensuring that</w:t>
      </w:r>
      <w:r w:rsidR="00704610" w:rsidRPr="000835C7">
        <w:t>:</w:t>
      </w:r>
      <w:r w:rsidR="00D544C8" w:rsidRPr="000835C7">
        <w:t xml:space="preserve"> </w:t>
      </w:r>
    </w:p>
    <w:p w14:paraId="5ABF877D" w14:textId="18ACD486" w:rsidR="00063568" w:rsidRPr="000835C7" w:rsidRDefault="00D544C8" w:rsidP="00F6435E">
      <w:pPr>
        <w:pStyle w:val="Quote"/>
      </w:pPr>
      <w:r w:rsidRPr="000835C7">
        <w:t xml:space="preserve">no diminution of rights, </w:t>
      </w:r>
      <w:proofErr w:type="gramStart"/>
      <w:r w:rsidRPr="000835C7">
        <w:t>safeguards</w:t>
      </w:r>
      <w:proofErr w:type="gramEnd"/>
      <w:r w:rsidRPr="000835C7">
        <w:t xml:space="preserve"> or equality of opportunity, as set out in that part of the 1998 Agreement entitled Rights, Safeguards and Equality of Opportunity results from its withdrawal from the Union, including in the area of protection against discrimination, as enshrined in the provisions of Union law listed in Annex 1 to this Protocol, and shall implement this paragraph through dedicated mechanisms.</w:t>
      </w:r>
    </w:p>
    <w:p w14:paraId="656ACB30" w14:textId="38D10F38" w:rsidR="002132A6" w:rsidRPr="000835C7" w:rsidRDefault="00847FC3" w:rsidP="009C5F7F">
      <w:pPr>
        <w:pStyle w:val="ListParagraph"/>
        <w:numPr>
          <w:ilvl w:val="1"/>
          <w:numId w:val="1"/>
        </w:numPr>
      </w:pPr>
      <w:r w:rsidRPr="000835C7">
        <w:t>T</w:t>
      </w:r>
      <w:r w:rsidR="00AE3530" w:rsidRPr="000835C7">
        <w:t xml:space="preserve">he </w:t>
      </w:r>
      <w:r w:rsidR="009D0678" w:rsidRPr="000835C7">
        <w:t>‘</w:t>
      </w:r>
      <w:r w:rsidR="00AE3530" w:rsidRPr="000835C7">
        <w:t>non-diminution</w:t>
      </w:r>
      <w:r w:rsidR="00F178EA" w:rsidRPr="000835C7">
        <w:t>’</w:t>
      </w:r>
      <w:r w:rsidR="00AE3530" w:rsidRPr="000835C7">
        <w:t xml:space="preserve"> guarantee </w:t>
      </w:r>
      <w:r w:rsidR="001E11D1" w:rsidRPr="000835C7">
        <w:t xml:space="preserve">commits the UK </w:t>
      </w:r>
      <w:r w:rsidR="00E77130" w:rsidRPr="000835C7">
        <w:t xml:space="preserve">Government </w:t>
      </w:r>
      <w:r w:rsidR="001E11D1" w:rsidRPr="000835C7">
        <w:t>to ensuring there is</w:t>
      </w:r>
      <w:r w:rsidR="00B72CD1" w:rsidRPr="000835C7">
        <w:t xml:space="preserve"> no </w:t>
      </w:r>
      <w:r w:rsidR="00B90627" w:rsidRPr="000835C7">
        <w:t xml:space="preserve">lowering of the </w:t>
      </w:r>
      <w:r w:rsidR="00016240" w:rsidRPr="000835C7">
        <w:t>rights set out in the relevant chapter of the Belfast (Good Friday) Agreement</w:t>
      </w:r>
      <w:r w:rsidR="00B76F60" w:rsidRPr="000835C7">
        <w:t xml:space="preserve"> (as set out in Appendix 1)</w:t>
      </w:r>
      <w:r w:rsidR="00016240" w:rsidRPr="000835C7">
        <w:t xml:space="preserve"> and </w:t>
      </w:r>
      <w:r w:rsidR="006C38CF" w:rsidRPr="000835C7">
        <w:t xml:space="preserve">which are </w:t>
      </w:r>
      <w:r w:rsidR="00016240" w:rsidRPr="000835C7">
        <w:t>underpinned by EU obligations</w:t>
      </w:r>
      <w:r w:rsidR="006C38CF" w:rsidRPr="000835C7">
        <w:t>, including</w:t>
      </w:r>
      <w:r w:rsidR="00091189" w:rsidRPr="000835C7">
        <w:t xml:space="preserve"> EU treaties, </w:t>
      </w:r>
      <w:proofErr w:type="gramStart"/>
      <w:r w:rsidR="006C38CF" w:rsidRPr="000835C7">
        <w:t>directives</w:t>
      </w:r>
      <w:proofErr w:type="gramEnd"/>
      <w:r w:rsidR="00091189" w:rsidRPr="000835C7">
        <w:t xml:space="preserve"> and </w:t>
      </w:r>
      <w:r w:rsidR="006C38CF" w:rsidRPr="000835C7">
        <w:t>regulations</w:t>
      </w:r>
      <w:r w:rsidR="00091189" w:rsidRPr="000835C7">
        <w:t>,</w:t>
      </w:r>
      <w:r w:rsidR="006C38CF" w:rsidRPr="000835C7">
        <w:t xml:space="preserve"> </w:t>
      </w:r>
      <w:r w:rsidR="00016240" w:rsidRPr="000835C7">
        <w:t xml:space="preserve">in place at the end of the transition period. </w:t>
      </w:r>
    </w:p>
    <w:p w14:paraId="61A92951" w14:textId="5E6A82E2" w:rsidR="003F233D" w:rsidRPr="000835C7" w:rsidRDefault="00997FDD" w:rsidP="009C5F7F">
      <w:pPr>
        <w:pStyle w:val="ListParagraph"/>
        <w:numPr>
          <w:ilvl w:val="1"/>
          <w:numId w:val="1"/>
        </w:numPr>
      </w:pPr>
      <w:r w:rsidRPr="000835C7">
        <w:t>Annex 1 of the Protocol</w:t>
      </w:r>
      <w:r w:rsidR="007C7B77" w:rsidRPr="000835C7">
        <w:t xml:space="preserve"> </w:t>
      </w:r>
      <w:r w:rsidRPr="000835C7">
        <w:t>sets out six EU equality Directive</w:t>
      </w:r>
      <w:r w:rsidR="007C7B77" w:rsidRPr="000835C7">
        <w:t>s</w:t>
      </w:r>
      <w:r w:rsidR="00B76F60" w:rsidRPr="000835C7">
        <w:t xml:space="preserve"> (</w:t>
      </w:r>
      <w:r w:rsidR="003E37A7" w:rsidRPr="000835C7">
        <w:t>a</w:t>
      </w:r>
      <w:r w:rsidR="00B76F60" w:rsidRPr="000835C7">
        <w:t>s set out in Appendix 1)</w:t>
      </w:r>
      <w:r w:rsidR="00D81813" w:rsidRPr="000835C7">
        <w:t xml:space="preserve">. </w:t>
      </w:r>
      <w:r w:rsidR="007C7B77" w:rsidRPr="000835C7">
        <w:t xml:space="preserve">Under the Protocol, the UK Government has committed </w:t>
      </w:r>
      <w:r w:rsidR="00D73529" w:rsidRPr="000835C7">
        <w:t xml:space="preserve">not only </w:t>
      </w:r>
      <w:r w:rsidR="00B76F60" w:rsidRPr="000835C7">
        <w:t xml:space="preserve">to ensuring </w:t>
      </w:r>
      <w:r w:rsidR="007C7B77" w:rsidRPr="000835C7">
        <w:t>there is no diminution of the rights contained in the</w:t>
      </w:r>
      <w:r w:rsidR="00EE5DEB" w:rsidRPr="000835C7">
        <w:t xml:space="preserve"> Annex 1</w:t>
      </w:r>
      <w:r w:rsidR="007C7B77" w:rsidRPr="000835C7">
        <w:t xml:space="preserve"> Directives </w:t>
      </w:r>
      <w:r w:rsidR="00D73529" w:rsidRPr="000835C7">
        <w:t xml:space="preserve">but </w:t>
      </w:r>
      <w:r w:rsidR="00B76F60" w:rsidRPr="000835C7">
        <w:t xml:space="preserve">also </w:t>
      </w:r>
      <w:r w:rsidR="007C7B77" w:rsidRPr="000835C7">
        <w:t xml:space="preserve">that </w:t>
      </w:r>
      <w:r w:rsidR="00B76F60" w:rsidRPr="000835C7">
        <w:t xml:space="preserve">NI </w:t>
      </w:r>
      <w:r w:rsidR="007C7B77" w:rsidRPr="000835C7">
        <w:t xml:space="preserve">equality law will </w:t>
      </w:r>
      <w:r w:rsidR="00E94A51" w:rsidRPr="000835C7">
        <w:t xml:space="preserve">dynamically align </w:t>
      </w:r>
      <w:r w:rsidR="007C7B77" w:rsidRPr="000835C7">
        <w:t xml:space="preserve">with any </w:t>
      </w:r>
      <w:r w:rsidR="00B76F60" w:rsidRPr="000835C7">
        <w:t>enhancement</w:t>
      </w:r>
      <w:r w:rsidR="007C7B77" w:rsidRPr="000835C7">
        <w:t>s made by the EU to these rights, after 1 January 2021.</w:t>
      </w:r>
      <w:r w:rsidR="00331B41" w:rsidRPr="000835C7">
        <w:rPr>
          <w:rStyle w:val="FootnoteReference"/>
        </w:rPr>
        <w:footnoteReference w:id="5"/>
      </w:r>
      <w:r w:rsidR="007C7B77" w:rsidRPr="000835C7">
        <w:t xml:space="preserve"> </w:t>
      </w:r>
    </w:p>
    <w:p w14:paraId="4C155FC2" w14:textId="43DBA206" w:rsidR="00A426D8" w:rsidRPr="000835C7" w:rsidRDefault="008C4FBB" w:rsidP="009C5F7F">
      <w:pPr>
        <w:pStyle w:val="ListParagraph"/>
        <w:numPr>
          <w:ilvl w:val="1"/>
          <w:numId w:val="1"/>
        </w:numPr>
      </w:pPr>
      <w:r w:rsidRPr="000835C7">
        <w:t>A</w:t>
      </w:r>
      <w:r w:rsidR="002634D4" w:rsidRPr="000835C7">
        <w:t xml:space="preserve">rticle 2 binds the UK Government as a matter of international law </w:t>
      </w:r>
      <w:r w:rsidR="003F233D" w:rsidRPr="000835C7">
        <w:t xml:space="preserve">and </w:t>
      </w:r>
      <w:r w:rsidR="00FF3DE1" w:rsidRPr="000835C7">
        <w:t xml:space="preserve">has been given domestic legal effect through </w:t>
      </w:r>
      <w:r w:rsidR="003F233D" w:rsidRPr="000835C7">
        <w:t xml:space="preserve">the EU </w:t>
      </w:r>
      <w:r w:rsidR="008A3CFF" w:rsidRPr="000835C7">
        <w:t>(</w:t>
      </w:r>
      <w:r w:rsidR="003F233D" w:rsidRPr="000835C7">
        <w:t>Withdrawal Agreement</w:t>
      </w:r>
      <w:r w:rsidR="008A3CFF" w:rsidRPr="000835C7">
        <w:t>)</w:t>
      </w:r>
      <w:r w:rsidR="003F233D" w:rsidRPr="000835C7">
        <w:t xml:space="preserve"> Act 20</w:t>
      </w:r>
      <w:r w:rsidR="0023244E" w:rsidRPr="000835C7">
        <w:t>20</w:t>
      </w:r>
      <w:r w:rsidR="003F233D" w:rsidRPr="000835C7">
        <w:t xml:space="preserve">.  Ministers and </w:t>
      </w:r>
      <w:proofErr w:type="gramStart"/>
      <w:r w:rsidR="003F233D" w:rsidRPr="000835C7">
        <w:t>policy-makers</w:t>
      </w:r>
      <w:proofErr w:type="gramEnd"/>
      <w:r w:rsidR="003F233D" w:rsidRPr="000835C7">
        <w:t xml:space="preserve">, in the NI Assembly and Westminster, </w:t>
      </w:r>
      <w:r w:rsidR="00080C38" w:rsidRPr="000835C7">
        <w:t xml:space="preserve">must </w:t>
      </w:r>
      <w:r w:rsidR="003F233D" w:rsidRPr="000835C7">
        <w:t>consider human rights and equality issues in the development of policy and the passage of legislation affecting Northern Ireland.</w:t>
      </w:r>
      <w:r w:rsidR="00080C38" w:rsidRPr="000835C7">
        <w:rPr>
          <w:rStyle w:val="FootnoteReference"/>
        </w:rPr>
        <w:footnoteReference w:id="6"/>
      </w:r>
      <w:r w:rsidR="00080C38" w:rsidRPr="000835C7">
        <w:t xml:space="preserve"> </w:t>
      </w:r>
      <w:r w:rsidR="00953907" w:rsidRPr="000835C7">
        <w:t xml:space="preserve"> </w:t>
      </w:r>
    </w:p>
    <w:p w14:paraId="0B22AB61" w14:textId="3763958E" w:rsidR="00A426D8" w:rsidRDefault="00A426D8" w:rsidP="00040230">
      <w:pPr>
        <w:pStyle w:val="ListParagraph"/>
        <w:numPr>
          <w:ilvl w:val="1"/>
          <w:numId w:val="1"/>
        </w:numPr>
      </w:pPr>
      <w:r w:rsidRPr="000835C7">
        <w:t xml:space="preserve">The Commissions are currently undertaking </w:t>
      </w:r>
      <w:r w:rsidR="00123FFA" w:rsidRPr="000835C7">
        <w:t>work</w:t>
      </w:r>
      <w:r w:rsidRPr="000835C7">
        <w:t xml:space="preserve"> to examine the </w:t>
      </w:r>
      <w:r w:rsidR="00123FFA" w:rsidRPr="000835C7">
        <w:t xml:space="preserve">scope of Article </w:t>
      </w:r>
      <w:proofErr w:type="gramStart"/>
      <w:r w:rsidR="00123FFA" w:rsidRPr="000835C7">
        <w:t>2</w:t>
      </w:r>
      <w:r w:rsidR="00C90DA5" w:rsidRPr="000835C7">
        <w:t>,</w:t>
      </w:r>
      <w:proofErr w:type="gramEnd"/>
      <w:r w:rsidR="00C90DA5" w:rsidRPr="000835C7">
        <w:t xml:space="preserve"> h</w:t>
      </w:r>
      <w:r w:rsidRPr="000835C7">
        <w:t>owever, it will be the courts that will ultimately interpret the parameters of Article 2 of the Protocol.</w:t>
      </w:r>
    </w:p>
    <w:p w14:paraId="026D31CC" w14:textId="28664F81" w:rsidR="00D43974" w:rsidRDefault="00D43974" w:rsidP="00D43974"/>
    <w:p w14:paraId="7804DCAE" w14:textId="1900267B" w:rsidR="00D43974" w:rsidRDefault="00D43974" w:rsidP="00D43974"/>
    <w:p w14:paraId="35D0EAB1" w14:textId="77777777" w:rsidR="00D43974" w:rsidRPr="000835C7" w:rsidRDefault="00D43974" w:rsidP="00D43974"/>
    <w:p w14:paraId="356BFF98" w14:textId="3F77DFB3" w:rsidR="009F0A1F" w:rsidRPr="000835C7" w:rsidRDefault="009900D0" w:rsidP="0019753B">
      <w:pPr>
        <w:pStyle w:val="Heading1"/>
      </w:pPr>
      <w:bookmarkStart w:id="3" w:name="_Toc74322288"/>
      <w:bookmarkStart w:id="4" w:name="_Toc74322335"/>
      <w:bookmarkStart w:id="5" w:name="_Toc74322292"/>
      <w:bookmarkStart w:id="6" w:name="_Toc74322339"/>
      <w:bookmarkStart w:id="7" w:name="_Toc74584443"/>
      <w:bookmarkEnd w:id="3"/>
      <w:bookmarkEnd w:id="4"/>
      <w:bookmarkEnd w:id="5"/>
      <w:bookmarkEnd w:id="6"/>
      <w:r w:rsidRPr="000835C7">
        <w:lastRenderedPageBreak/>
        <w:t>Role of the</w:t>
      </w:r>
      <w:r w:rsidR="00917FA4" w:rsidRPr="000835C7">
        <w:t xml:space="preserve"> </w:t>
      </w:r>
      <w:r w:rsidR="00A972E0" w:rsidRPr="000835C7">
        <w:t>NI</w:t>
      </w:r>
      <w:r w:rsidR="00917FA4" w:rsidRPr="000835C7">
        <w:t xml:space="preserve"> Executive in relation to the Protocol</w:t>
      </w:r>
      <w:bookmarkEnd w:id="7"/>
    </w:p>
    <w:p w14:paraId="24C468A0" w14:textId="74CDAB98" w:rsidR="00152E44" w:rsidRPr="000835C7" w:rsidRDefault="005A7BAD" w:rsidP="009C5F7F">
      <w:pPr>
        <w:pStyle w:val="ListParagraph"/>
        <w:numPr>
          <w:ilvl w:val="1"/>
          <w:numId w:val="1"/>
        </w:numPr>
      </w:pPr>
      <w:r w:rsidRPr="000835C7">
        <w:t xml:space="preserve">Question 7 </w:t>
      </w:r>
      <w:r w:rsidR="00EC2333" w:rsidRPr="000835C7">
        <w:t xml:space="preserve">of the call for evidence asks </w:t>
      </w:r>
      <w:r w:rsidR="0038478C" w:rsidRPr="000835C7">
        <w:t xml:space="preserve">about </w:t>
      </w:r>
      <w:r w:rsidR="00444A44" w:rsidRPr="000835C7">
        <w:t>w</w:t>
      </w:r>
      <w:r w:rsidR="00A763EF" w:rsidRPr="000835C7">
        <w:t xml:space="preserve">hat </w:t>
      </w:r>
      <w:r w:rsidR="00241D69" w:rsidRPr="000835C7">
        <w:t xml:space="preserve">action </w:t>
      </w:r>
      <w:r w:rsidR="00A763EF" w:rsidRPr="000835C7">
        <w:t xml:space="preserve">the </w:t>
      </w:r>
      <w:r w:rsidR="00F7656A" w:rsidRPr="000835C7">
        <w:t>NI</w:t>
      </w:r>
      <w:r w:rsidR="00A763EF" w:rsidRPr="000835C7">
        <w:t xml:space="preserve"> Executive </w:t>
      </w:r>
      <w:r w:rsidR="0038478C" w:rsidRPr="000835C7">
        <w:t xml:space="preserve">should </w:t>
      </w:r>
      <w:r w:rsidR="00A763EF" w:rsidRPr="000835C7">
        <w:t>take in relation to the Protocol</w:t>
      </w:r>
      <w:r w:rsidR="00444A44" w:rsidRPr="000835C7">
        <w:t xml:space="preserve"> and highlights in particular </w:t>
      </w:r>
      <w:r w:rsidR="00A763EF" w:rsidRPr="000835C7">
        <w:t xml:space="preserve">its engagement with the UK Government, the </w:t>
      </w:r>
      <w:proofErr w:type="gramStart"/>
      <w:r w:rsidR="00A763EF" w:rsidRPr="000835C7">
        <w:t>EU</w:t>
      </w:r>
      <w:proofErr w:type="gramEnd"/>
      <w:r w:rsidR="00A763EF" w:rsidRPr="000835C7">
        <w:t xml:space="preserve"> and the </w:t>
      </w:r>
      <w:r w:rsidR="00D961B5" w:rsidRPr="000835C7">
        <w:t>Government of Ireland.</w:t>
      </w:r>
    </w:p>
    <w:p w14:paraId="0157B590" w14:textId="113CD0B2" w:rsidR="00B2565F" w:rsidRPr="000835C7" w:rsidRDefault="00B65AB3" w:rsidP="00211AE2">
      <w:pPr>
        <w:pStyle w:val="ListParagraph"/>
        <w:numPr>
          <w:ilvl w:val="1"/>
          <w:numId w:val="1"/>
        </w:numPr>
      </w:pPr>
      <w:r w:rsidRPr="000835C7">
        <w:t xml:space="preserve">The Protocol covers a range of complex </w:t>
      </w:r>
      <w:proofErr w:type="gramStart"/>
      <w:r w:rsidRPr="000835C7">
        <w:t>issues</w:t>
      </w:r>
      <w:proofErr w:type="gramEnd"/>
      <w:r w:rsidRPr="000835C7">
        <w:t xml:space="preserve"> and the Commissions are mindful that its implementation </w:t>
      </w:r>
      <w:r w:rsidR="00242BE9" w:rsidRPr="000835C7">
        <w:t xml:space="preserve">will require the NI Executive and </w:t>
      </w:r>
      <w:r w:rsidR="00453074" w:rsidRPr="000835C7">
        <w:t xml:space="preserve">departments </w:t>
      </w:r>
      <w:r w:rsidR="00242BE9" w:rsidRPr="000835C7">
        <w:t xml:space="preserve">to </w:t>
      </w:r>
      <w:r w:rsidR="00B565B5" w:rsidRPr="000835C7">
        <w:t xml:space="preserve">build knowledge and understanding </w:t>
      </w:r>
      <w:r w:rsidR="00242BE9" w:rsidRPr="000835C7">
        <w:t xml:space="preserve">on the </w:t>
      </w:r>
      <w:r w:rsidR="006737B3" w:rsidRPr="000835C7">
        <w:t xml:space="preserve">full </w:t>
      </w:r>
      <w:r w:rsidR="00242BE9" w:rsidRPr="000835C7">
        <w:t xml:space="preserve">range of issues covered by </w:t>
      </w:r>
      <w:r w:rsidR="005216F7" w:rsidRPr="000835C7">
        <w:t>it</w:t>
      </w:r>
      <w:r w:rsidR="00242BE9" w:rsidRPr="000835C7">
        <w:t xml:space="preserve">. </w:t>
      </w:r>
      <w:r w:rsidR="005216F7" w:rsidRPr="000835C7">
        <w:t xml:space="preserve"> In the context of the wider </w:t>
      </w:r>
      <w:r w:rsidR="001308F6" w:rsidRPr="000835C7">
        <w:t xml:space="preserve">significant </w:t>
      </w:r>
      <w:r w:rsidR="005216F7" w:rsidRPr="000835C7">
        <w:t>economic concerns which are dominating much of the public discussion around the Protocol</w:t>
      </w:r>
      <w:r w:rsidR="006C2B67" w:rsidRPr="000835C7">
        <w:t>,</w:t>
      </w:r>
      <w:r w:rsidR="00242BE9" w:rsidRPr="000835C7">
        <w:t xml:space="preserve"> </w:t>
      </w:r>
      <w:r w:rsidR="006C2B67" w:rsidRPr="000835C7">
        <w:t xml:space="preserve">it </w:t>
      </w:r>
      <w:r w:rsidR="00F37722" w:rsidRPr="000835C7">
        <w:t xml:space="preserve">is essential that </w:t>
      </w:r>
      <w:r w:rsidR="001308F6" w:rsidRPr="000835C7">
        <w:t xml:space="preserve">awareness of the </w:t>
      </w:r>
      <w:r w:rsidR="00C946EC" w:rsidRPr="000835C7">
        <w:t>human rights and equality obligations</w:t>
      </w:r>
      <w:r w:rsidR="005216F7" w:rsidRPr="000835C7">
        <w:t xml:space="preserve"> </w:t>
      </w:r>
      <w:r w:rsidR="00130071" w:rsidRPr="000835C7">
        <w:t xml:space="preserve">that relate to </w:t>
      </w:r>
      <w:r w:rsidR="005216F7" w:rsidRPr="000835C7">
        <w:t>Article 2</w:t>
      </w:r>
      <w:r w:rsidR="006C2B67" w:rsidRPr="000835C7">
        <w:t xml:space="preserve"> </w:t>
      </w:r>
      <w:r w:rsidR="00C946EC" w:rsidRPr="000835C7">
        <w:t>are prioritised within the NI Executive and departments at all levels</w:t>
      </w:r>
      <w:r w:rsidR="005216F7" w:rsidRPr="000835C7">
        <w:t xml:space="preserve">. </w:t>
      </w:r>
      <w:r w:rsidR="006C2B67" w:rsidRPr="000835C7">
        <w:t>This includes monitoring of EU policy and legislative development</w:t>
      </w:r>
      <w:r w:rsidR="00125DD0" w:rsidRPr="000835C7">
        <w:t>s</w:t>
      </w:r>
      <w:r w:rsidR="006C2B67" w:rsidRPr="000835C7">
        <w:t xml:space="preserve"> and relevant CJEU case law relating to Article 2. </w:t>
      </w:r>
    </w:p>
    <w:p w14:paraId="18CF208F" w14:textId="651EF47C" w:rsidR="00E9607B" w:rsidRPr="000835C7" w:rsidRDefault="00A7233B" w:rsidP="00040230">
      <w:pPr>
        <w:pStyle w:val="ListParagraph"/>
        <w:numPr>
          <w:ilvl w:val="1"/>
          <w:numId w:val="1"/>
        </w:numPr>
      </w:pPr>
      <w:r w:rsidRPr="000835C7">
        <w:t xml:space="preserve">The </w:t>
      </w:r>
      <w:r w:rsidR="00E02439" w:rsidRPr="000835C7">
        <w:t xml:space="preserve">EU </w:t>
      </w:r>
      <w:r w:rsidRPr="000835C7">
        <w:t>(</w:t>
      </w:r>
      <w:r w:rsidR="00E02439" w:rsidRPr="000835C7">
        <w:t>Withdrawal Agreement</w:t>
      </w:r>
      <w:r w:rsidRPr="000835C7">
        <w:t>)</w:t>
      </w:r>
      <w:r w:rsidR="00E02439" w:rsidRPr="000835C7">
        <w:t xml:space="preserve"> Act 20</w:t>
      </w:r>
      <w:r w:rsidR="00C90DA5" w:rsidRPr="000835C7">
        <w:t>20</w:t>
      </w:r>
      <w:r w:rsidR="00E02439" w:rsidRPr="000835C7">
        <w:t xml:space="preserve"> </w:t>
      </w:r>
      <w:r w:rsidR="0058386B" w:rsidRPr="000835C7">
        <w:t xml:space="preserve">creates an obligation on the </w:t>
      </w:r>
      <w:r w:rsidR="00211AE2" w:rsidRPr="000835C7">
        <w:t>NI Executive</w:t>
      </w:r>
      <w:r w:rsidR="003C4A45" w:rsidRPr="000835C7">
        <w:t>,</w:t>
      </w:r>
      <w:r w:rsidR="00211AE2" w:rsidRPr="000835C7">
        <w:t xml:space="preserve"> and the UK Government</w:t>
      </w:r>
      <w:r w:rsidR="003C4A45" w:rsidRPr="000835C7">
        <w:t>,</w:t>
      </w:r>
      <w:r w:rsidR="00211AE2" w:rsidRPr="000835C7">
        <w:t xml:space="preserve"> to </w:t>
      </w:r>
      <w:r w:rsidR="00130071" w:rsidRPr="000835C7">
        <w:t xml:space="preserve">ensure that </w:t>
      </w:r>
      <w:r w:rsidR="00E747B7" w:rsidRPr="000835C7">
        <w:t>it embeds</w:t>
      </w:r>
      <w:r w:rsidR="009D6329" w:rsidRPr="000835C7">
        <w:t xml:space="preserve"> consideration of Article 2 </w:t>
      </w:r>
      <w:r w:rsidR="00993C96" w:rsidRPr="000835C7">
        <w:t>in the development of law and policy</w:t>
      </w:r>
      <w:r w:rsidR="003D6246" w:rsidRPr="000835C7">
        <w:t>.</w:t>
      </w:r>
    </w:p>
    <w:p w14:paraId="7E2EC9FC" w14:textId="031FCDE5" w:rsidR="00677BBA" w:rsidRPr="000835C7" w:rsidRDefault="003A1B7D" w:rsidP="00B743EF">
      <w:pPr>
        <w:pStyle w:val="ListParagraph"/>
        <w:numPr>
          <w:ilvl w:val="1"/>
          <w:numId w:val="1"/>
        </w:numPr>
        <w:rPr>
          <w:b/>
          <w:bCs/>
        </w:rPr>
      </w:pPr>
      <w:r w:rsidRPr="000835C7">
        <w:rPr>
          <w:b/>
          <w:bCs/>
        </w:rPr>
        <w:t xml:space="preserve">The Commissions </w:t>
      </w:r>
      <w:r w:rsidR="00B14EF5" w:rsidRPr="000835C7">
        <w:rPr>
          <w:b/>
          <w:bCs/>
        </w:rPr>
        <w:t xml:space="preserve">recommend that </w:t>
      </w:r>
      <w:r w:rsidR="00C3014B" w:rsidRPr="000835C7">
        <w:rPr>
          <w:b/>
          <w:bCs/>
        </w:rPr>
        <w:t xml:space="preserve">the NI Executive </w:t>
      </w:r>
      <w:r w:rsidR="000A0E8E" w:rsidRPr="000835C7">
        <w:rPr>
          <w:b/>
          <w:bCs/>
        </w:rPr>
        <w:t>ensure</w:t>
      </w:r>
      <w:r w:rsidR="00C97AC8" w:rsidRPr="000835C7">
        <w:rPr>
          <w:b/>
          <w:bCs/>
        </w:rPr>
        <w:t>s</w:t>
      </w:r>
      <w:r w:rsidR="000A0E8E" w:rsidRPr="000835C7">
        <w:rPr>
          <w:b/>
          <w:bCs/>
        </w:rPr>
        <w:t xml:space="preserve"> </w:t>
      </w:r>
      <w:r w:rsidR="00C3014B" w:rsidRPr="000835C7">
        <w:rPr>
          <w:b/>
          <w:bCs/>
        </w:rPr>
        <w:t>th</w:t>
      </w:r>
      <w:r w:rsidR="000A0E8E" w:rsidRPr="000835C7">
        <w:rPr>
          <w:b/>
          <w:bCs/>
        </w:rPr>
        <w:t>at</w:t>
      </w:r>
      <w:r w:rsidR="00C3014B" w:rsidRPr="000835C7">
        <w:rPr>
          <w:b/>
          <w:bCs/>
        </w:rPr>
        <w:t xml:space="preserve"> </w:t>
      </w:r>
      <w:r w:rsidR="0096058B" w:rsidRPr="000835C7">
        <w:rPr>
          <w:b/>
          <w:bCs/>
        </w:rPr>
        <w:t>models of</w:t>
      </w:r>
      <w:r w:rsidR="00C3014B" w:rsidRPr="000835C7">
        <w:rPr>
          <w:b/>
          <w:bCs/>
        </w:rPr>
        <w:t xml:space="preserve"> </w:t>
      </w:r>
      <w:r w:rsidR="00DF2FBF" w:rsidRPr="000835C7">
        <w:rPr>
          <w:b/>
          <w:bCs/>
        </w:rPr>
        <w:t xml:space="preserve">scrutiny and </w:t>
      </w:r>
      <w:r w:rsidR="00C3014B" w:rsidRPr="000835C7">
        <w:rPr>
          <w:b/>
          <w:bCs/>
        </w:rPr>
        <w:t xml:space="preserve">compliance with </w:t>
      </w:r>
      <w:r w:rsidR="00CD2990" w:rsidRPr="000835C7">
        <w:rPr>
          <w:b/>
          <w:bCs/>
        </w:rPr>
        <w:t xml:space="preserve">human rights and equality protections include </w:t>
      </w:r>
      <w:r w:rsidR="00713DC1" w:rsidRPr="000835C7">
        <w:rPr>
          <w:b/>
          <w:bCs/>
        </w:rPr>
        <w:t xml:space="preserve">effective </w:t>
      </w:r>
      <w:r w:rsidR="00CD2990" w:rsidRPr="000835C7">
        <w:rPr>
          <w:b/>
          <w:bCs/>
        </w:rPr>
        <w:t>consideration of Article 2</w:t>
      </w:r>
      <w:r w:rsidR="00713DC1" w:rsidRPr="000835C7">
        <w:rPr>
          <w:b/>
          <w:bCs/>
        </w:rPr>
        <w:t xml:space="preserve"> at all stages of development of law and policy</w:t>
      </w:r>
      <w:r w:rsidR="00CD2990" w:rsidRPr="000835C7">
        <w:rPr>
          <w:b/>
          <w:bCs/>
        </w:rPr>
        <w:t xml:space="preserve">. </w:t>
      </w:r>
    </w:p>
    <w:p w14:paraId="6ABCA7E2" w14:textId="3FB0F3BF" w:rsidR="006C2396" w:rsidRPr="000835C7" w:rsidRDefault="00677BBA" w:rsidP="00B743EF">
      <w:pPr>
        <w:pStyle w:val="ListParagraph"/>
        <w:numPr>
          <w:ilvl w:val="1"/>
          <w:numId w:val="1"/>
        </w:numPr>
      </w:pPr>
      <w:r w:rsidRPr="000835C7">
        <w:t>Further, there is no reference in the NI Executive’s Programme for Government (</w:t>
      </w:r>
      <w:proofErr w:type="spellStart"/>
      <w:r w:rsidRPr="000835C7">
        <w:t>PfG</w:t>
      </w:r>
      <w:proofErr w:type="spellEnd"/>
      <w:r w:rsidRPr="000835C7">
        <w:t>) draft Outcomes Framework of the impact of exit from the E</w:t>
      </w:r>
      <w:r w:rsidR="001D3A3B" w:rsidRPr="000835C7">
        <w:t xml:space="preserve">U </w:t>
      </w:r>
      <w:r w:rsidRPr="000835C7">
        <w:t>on equality groups or on equality and human rights</w:t>
      </w:r>
      <w:r w:rsidR="00A50585">
        <w:t>.</w:t>
      </w:r>
      <w:r w:rsidRPr="000835C7">
        <w:rPr>
          <w:rStyle w:val="FootnoteReference"/>
        </w:rPr>
        <w:footnoteReference w:id="7"/>
      </w:r>
    </w:p>
    <w:p w14:paraId="149C65B4" w14:textId="3171F546" w:rsidR="00A25082" w:rsidRPr="000835C7" w:rsidRDefault="00D952A6" w:rsidP="00B743EF">
      <w:pPr>
        <w:pStyle w:val="ListParagraph"/>
        <w:numPr>
          <w:ilvl w:val="1"/>
          <w:numId w:val="1"/>
        </w:numPr>
        <w:rPr>
          <w:b/>
          <w:bCs/>
        </w:rPr>
      </w:pPr>
      <w:r w:rsidRPr="000835C7">
        <w:rPr>
          <w:b/>
          <w:bCs/>
        </w:rPr>
        <w:t xml:space="preserve">The Commissions </w:t>
      </w:r>
      <w:r w:rsidR="00740461" w:rsidRPr="000835C7">
        <w:rPr>
          <w:b/>
          <w:bCs/>
        </w:rPr>
        <w:t xml:space="preserve">recommend that the NI </w:t>
      </w:r>
      <w:r w:rsidR="00B92E70" w:rsidRPr="000835C7">
        <w:rPr>
          <w:b/>
          <w:bCs/>
        </w:rPr>
        <w:t xml:space="preserve">Executive makes clear in its </w:t>
      </w:r>
      <w:proofErr w:type="spellStart"/>
      <w:r w:rsidRPr="000835C7">
        <w:rPr>
          <w:b/>
          <w:bCs/>
        </w:rPr>
        <w:t>PfG</w:t>
      </w:r>
      <w:proofErr w:type="spellEnd"/>
      <w:r w:rsidRPr="000835C7">
        <w:rPr>
          <w:b/>
          <w:bCs/>
        </w:rPr>
        <w:t xml:space="preserve"> </w:t>
      </w:r>
      <w:r w:rsidR="00740461" w:rsidRPr="000835C7">
        <w:rPr>
          <w:b/>
          <w:bCs/>
        </w:rPr>
        <w:t>Outcomes Framework</w:t>
      </w:r>
      <w:r w:rsidRPr="000835C7">
        <w:rPr>
          <w:b/>
          <w:bCs/>
        </w:rPr>
        <w:t>,</w:t>
      </w:r>
      <w:r w:rsidR="00740461" w:rsidRPr="000835C7">
        <w:rPr>
          <w:b/>
          <w:bCs/>
        </w:rPr>
        <w:t xml:space="preserve"> and any subsequent </w:t>
      </w:r>
      <w:proofErr w:type="spellStart"/>
      <w:r w:rsidR="00143E2B" w:rsidRPr="000835C7">
        <w:rPr>
          <w:b/>
          <w:bCs/>
        </w:rPr>
        <w:t>PfG</w:t>
      </w:r>
      <w:proofErr w:type="spellEnd"/>
      <w:r w:rsidRPr="000835C7">
        <w:rPr>
          <w:b/>
          <w:bCs/>
        </w:rPr>
        <w:t>,</w:t>
      </w:r>
      <w:r w:rsidR="00143E2B" w:rsidRPr="000835C7">
        <w:rPr>
          <w:b/>
          <w:bCs/>
        </w:rPr>
        <w:t xml:space="preserve"> </w:t>
      </w:r>
      <w:r w:rsidR="00740461" w:rsidRPr="000835C7">
        <w:rPr>
          <w:b/>
          <w:bCs/>
        </w:rPr>
        <w:t xml:space="preserve">its </w:t>
      </w:r>
      <w:r w:rsidR="0023700F">
        <w:rPr>
          <w:b/>
          <w:bCs/>
        </w:rPr>
        <w:t xml:space="preserve">support for the </w:t>
      </w:r>
      <w:r w:rsidR="00740461" w:rsidRPr="000835C7">
        <w:rPr>
          <w:b/>
          <w:bCs/>
        </w:rPr>
        <w:t xml:space="preserve">commitment to act in accordance with the UK Government’s obligations under Article 2 of the Protocol, </w:t>
      </w:r>
      <w:r w:rsidRPr="000835C7">
        <w:rPr>
          <w:b/>
          <w:bCs/>
        </w:rPr>
        <w:t xml:space="preserve">and </w:t>
      </w:r>
      <w:r w:rsidR="00917DBE">
        <w:rPr>
          <w:b/>
          <w:bCs/>
        </w:rPr>
        <w:t>the</w:t>
      </w:r>
      <w:r w:rsidR="00917DBE" w:rsidRPr="000835C7">
        <w:rPr>
          <w:b/>
          <w:bCs/>
        </w:rPr>
        <w:t xml:space="preserve"> </w:t>
      </w:r>
      <w:r w:rsidR="00C97AC8" w:rsidRPr="000835C7">
        <w:rPr>
          <w:b/>
          <w:bCs/>
        </w:rPr>
        <w:t xml:space="preserve">commitment in the Protocol to keep pace with any future EU changes to the Annex 1 </w:t>
      </w:r>
      <w:r w:rsidRPr="000835C7">
        <w:rPr>
          <w:b/>
          <w:bCs/>
        </w:rPr>
        <w:t xml:space="preserve">equality </w:t>
      </w:r>
      <w:r w:rsidR="00C97AC8" w:rsidRPr="000835C7">
        <w:rPr>
          <w:b/>
          <w:bCs/>
        </w:rPr>
        <w:t>Directives.</w:t>
      </w:r>
    </w:p>
    <w:p w14:paraId="4AF0D814" w14:textId="33375C6B" w:rsidR="00734AB7" w:rsidRPr="000835C7" w:rsidRDefault="00E242CC" w:rsidP="00734AB7">
      <w:pPr>
        <w:pStyle w:val="ListParagraph"/>
        <w:numPr>
          <w:ilvl w:val="1"/>
          <w:numId w:val="1"/>
        </w:numPr>
      </w:pPr>
      <w:r w:rsidRPr="000835C7">
        <w:t xml:space="preserve">The scope of Article 2 is limited </w:t>
      </w:r>
      <w:r w:rsidR="00D66773" w:rsidRPr="000835C7">
        <w:t xml:space="preserve">to </w:t>
      </w:r>
      <w:r w:rsidR="00086F59" w:rsidRPr="000835C7">
        <w:t xml:space="preserve">ensuring there is no lowering of </w:t>
      </w:r>
      <w:r w:rsidR="00D904CB" w:rsidRPr="000835C7">
        <w:t xml:space="preserve">certain </w:t>
      </w:r>
      <w:r w:rsidR="00086F59" w:rsidRPr="000835C7">
        <w:t xml:space="preserve">human rights and equality protections </w:t>
      </w:r>
      <w:r w:rsidR="00712772" w:rsidRPr="000835C7">
        <w:t xml:space="preserve">following the UK withdrawal from the EU and the </w:t>
      </w:r>
      <w:r w:rsidRPr="000835C7">
        <w:t xml:space="preserve">‘keeping pace’ requirement only applies to the six specified directives in Annex 1 of the Protocol and not to other relevant directives </w:t>
      </w:r>
      <w:r w:rsidR="00706D27" w:rsidRPr="000835C7">
        <w:t xml:space="preserve">which </w:t>
      </w:r>
      <w:r w:rsidR="00706D27" w:rsidRPr="000835C7">
        <w:lastRenderedPageBreak/>
        <w:t xml:space="preserve">underpin the rights, </w:t>
      </w:r>
      <w:proofErr w:type="gramStart"/>
      <w:r w:rsidR="00706D27" w:rsidRPr="000835C7">
        <w:t>equality</w:t>
      </w:r>
      <w:proofErr w:type="gramEnd"/>
      <w:r w:rsidR="00706D27" w:rsidRPr="000835C7">
        <w:t xml:space="preserve"> and safeguards in the relevant chapter of the Belfast (Good Friday) Agreement</w:t>
      </w:r>
      <w:r w:rsidR="00D63551" w:rsidRPr="000835C7">
        <w:t xml:space="preserve">.  </w:t>
      </w:r>
    </w:p>
    <w:p w14:paraId="51DA3911" w14:textId="661EE786" w:rsidR="00C80B75" w:rsidRPr="000835C7" w:rsidRDefault="00E4543D" w:rsidP="00B743EF">
      <w:pPr>
        <w:pStyle w:val="ListParagraph"/>
        <w:numPr>
          <w:ilvl w:val="1"/>
          <w:numId w:val="1"/>
        </w:numPr>
      </w:pPr>
      <w:r w:rsidRPr="000835C7">
        <w:t>T</w:t>
      </w:r>
      <w:r w:rsidR="00736A7B" w:rsidRPr="000835C7">
        <w:t xml:space="preserve">he NI </w:t>
      </w:r>
      <w:r w:rsidR="00021BAF" w:rsidRPr="000835C7">
        <w:t xml:space="preserve">Executive must </w:t>
      </w:r>
      <w:r w:rsidR="000E28B6" w:rsidRPr="000835C7">
        <w:t>work with the UK Government</w:t>
      </w:r>
      <w:r w:rsidR="002B09C1" w:rsidRPr="000835C7">
        <w:t xml:space="preserve">, including through the UK Government’s role on the </w:t>
      </w:r>
      <w:r w:rsidR="00CE56DA" w:rsidRPr="000835C7">
        <w:t xml:space="preserve">UK-EU </w:t>
      </w:r>
      <w:r w:rsidR="002B09C1" w:rsidRPr="000835C7">
        <w:t>Joint Consultative Working Group,</w:t>
      </w:r>
      <w:r w:rsidR="000E28B6" w:rsidRPr="000835C7">
        <w:t xml:space="preserve"> to </w:t>
      </w:r>
      <w:r w:rsidR="00E843FF" w:rsidRPr="000835C7">
        <w:t>ensure that it is kept informed of any developments at an EU level of relevance to the human rights and equality protections within the scope of Article 2.</w:t>
      </w:r>
      <w:r w:rsidR="001308F6" w:rsidRPr="000835C7">
        <w:t xml:space="preserve"> </w:t>
      </w:r>
    </w:p>
    <w:p w14:paraId="08CE3DDE" w14:textId="54B70B8C" w:rsidR="00C80B75" w:rsidRPr="000835C7" w:rsidRDefault="003703C7" w:rsidP="00B743EF">
      <w:pPr>
        <w:pStyle w:val="ListParagraph"/>
        <w:numPr>
          <w:ilvl w:val="1"/>
          <w:numId w:val="1"/>
        </w:numPr>
      </w:pPr>
      <w:r w:rsidRPr="000835C7">
        <w:t>Alongside the UK dimension</w:t>
      </w:r>
      <w:r w:rsidR="008945DC" w:rsidRPr="000835C7">
        <w:t xml:space="preserve">, the </w:t>
      </w:r>
      <w:r w:rsidR="00C80B75" w:rsidRPr="000835C7">
        <w:t xml:space="preserve">NI Executive </w:t>
      </w:r>
      <w:r w:rsidR="00BA3401" w:rsidRPr="000835C7">
        <w:t xml:space="preserve">should </w:t>
      </w:r>
      <w:r w:rsidR="001308F6" w:rsidRPr="000835C7">
        <w:t xml:space="preserve">also </w:t>
      </w:r>
      <w:r w:rsidR="00BA3401" w:rsidRPr="000835C7">
        <w:t xml:space="preserve">be </w:t>
      </w:r>
      <w:r w:rsidR="00C80B75" w:rsidRPr="000835C7">
        <w:t>work</w:t>
      </w:r>
      <w:r w:rsidR="00BA3401" w:rsidRPr="000835C7">
        <w:t>ing</w:t>
      </w:r>
      <w:r w:rsidR="00FF0730" w:rsidRPr="000835C7">
        <w:t>, on a North-South basis</w:t>
      </w:r>
      <w:r w:rsidR="00C65C9A" w:rsidRPr="000835C7">
        <w:t>,</w:t>
      </w:r>
      <w:r w:rsidR="00FF0730" w:rsidRPr="000835C7">
        <w:t xml:space="preserve"> </w:t>
      </w:r>
      <w:r w:rsidR="00C65C9A" w:rsidRPr="000835C7">
        <w:t xml:space="preserve">including </w:t>
      </w:r>
      <w:r w:rsidR="00FF0730" w:rsidRPr="000835C7">
        <w:t xml:space="preserve">through the institutions </w:t>
      </w:r>
      <w:r w:rsidR="00C65C9A" w:rsidRPr="000835C7">
        <w:t xml:space="preserve">established in line with the Belfast (Good Friday) Agreement, in relation to those </w:t>
      </w:r>
      <w:r w:rsidR="004B2734" w:rsidRPr="000835C7">
        <w:t xml:space="preserve">aspects of upholding the Article 2 commitment which have an all-island dimension.  </w:t>
      </w:r>
    </w:p>
    <w:p w14:paraId="28614BEC" w14:textId="09DE1579" w:rsidR="00B23D40" w:rsidRPr="000835C7" w:rsidRDefault="0050406B" w:rsidP="00552832">
      <w:pPr>
        <w:pStyle w:val="ListParagraph"/>
        <w:numPr>
          <w:ilvl w:val="1"/>
          <w:numId w:val="1"/>
        </w:numPr>
      </w:pPr>
      <w:r w:rsidRPr="000835C7">
        <w:rPr>
          <w:b/>
          <w:bCs/>
        </w:rPr>
        <w:t>The Commissions recommend that</w:t>
      </w:r>
      <w:r w:rsidR="004276B4" w:rsidRPr="000835C7">
        <w:rPr>
          <w:b/>
          <w:bCs/>
        </w:rPr>
        <w:t>:</w:t>
      </w:r>
      <w:r w:rsidRPr="000835C7">
        <w:rPr>
          <w:b/>
          <w:bCs/>
        </w:rPr>
        <w:t xml:space="preserve"> </w:t>
      </w:r>
    </w:p>
    <w:p w14:paraId="62DFE64D" w14:textId="4E1A3784" w:rsidR="00CA63B3" w:rsidRPr="00922D5B" w:rsidRDefault="0050406B" w:rsidP="00922D5B">
      <w:pPr>
        <w:pStyle w:val="bullet"/>
        <w:rPr>
          <w:b/>
          <w:bCs/>
        </w:rPr>
      </w:pPr>
      <w:r w:rsidRPr="00922D5B">
        <w:rPr>
          <w:b/>
          <w:bCs/>
        </w:rPr>
        <w:t xml:space="preserve">the NI Executive work with the UK Government </w:t>
      </w:r>
      <w:r w:rsidR="00CE56DA" w:rsidRPr="00922D5B">
        <w:rPr>
          <w:b/>
          <w:bCs/>
        </w:rPr>
        <w:t xml:space="preserve">and on a North-South basis </w:t>
      </w:r>
      <w:r w:rsidRPr="00922D5B">
        <w:rPr>
          <w:b/>
          <w:bCs/>
        </w:rPr>
        <w:t xml:space="preserve">to build strong </w:t>
      </w:r>
      <w:r w:rsidR="004A2641" w:rsidRPr="00922D5B">
        <w:rPr>
          <w:b/>
          <w:bCs/>
        </w:rPr>
        <w:t>o</w:t>
      </w:r>
      <w:r w:rsidR="00CE6E0D" w:rsidRPr="00922D5B">
        <w:rPr>
          <w:b/>
          <w:bCs/>
        </w:rPr>
        <w:t>pen channels of communication</w:t>
      </w:r>
      <w:r w:rsidR="00B044E9" w:rsidRPr="00922D5B">
        <w:rPr>
          <w:b/>
          <w:bCs/>
        </w:rPr>
        <w:t xml:space="preserve"> to</w:t>
      </w:r>
      <w:r w:rsidR="00CE6E0D" w:rsidRPr="00922D5B">
        <w:rPr>
          <w:b/>
          <w:bCs/>
        </w:rPr>
        <w:t xml:space="preserve"> </w:t>
      </w:r>
      <w:r w:rsidR="004A2641" w:rsidRPr="00922D5B">
        <w:rPr>
          <w:b/>
          <w:bCs/>
        </w:rPr>
        <w:t xml:space="preserve">keep informed of </w:t>
      </w:r>
      <w:r w:rsidR="00CE6E0D" w:rsidRPr="00922D5B">
        <w:rPr>
          <w:b/>
          <w:bCs/>
        </w:rPr>
        <w:t xml:space="preserve">key developments </w:t>
      </w:r>
      <w:r w:rsidR="004A2641" w:rsidRPr="00922D5B">
        <w:rPr>
          <w:b/>
          <w:bCs/>
        </w:rPr>
        <w:t>of relevance to Article 2</w:t>
      </w:r>
      <w:r w:rsidR="001308F6" w:rsidRPr="00922D5B">
        <w:rPr>
          <w:b/>
          <w:bCs/>
        </w:rPr>
        <w:t>.</w:t>
      </w:r>
      <w:r w:rsidR="00001A80" w:rsidRPr="00922D5B">
        <w:rPr>
          <w:b/>
          <w:bCs/>
        </w:rPr>
        <w:t xml:space="preserve">  </w:t>
      </w:r>
      <w:r w:rsidR="001308F6" w:rsidRPr="00922D5B">
        <w:rPr>
          <w:b/>
          <w:bCs/>
        </w:rPr>
        <w:t xml:space="preserve">This includes working with the UK Government to establish formal relationships for timely information to flow through the Specialised Committee on the implementation of the Protocol and the Joint Consultative Working Group on </w:t>
      </w:r>
      <w:r w:rsidR="00001A80" w:rsidRPr="00922D5B">
        <w:rPr>
          <w:b/>
          <w:bCs/>
        </w:rPr>
        <w:t>developments relating to relevant EU human rights and equality obligations</w:t>
      </w:r>
      <w:r w:rsidR="001308F6" w:rsidRPr="00922D5B">
        <w:rPr>
          <w:b/>
          <w:bCs/>
        </w:rPr>
        <w:t>.</w:t>
      </w:r>
    </w:p>
    <w:p w14:paraId="5ED09440" w14:textId="77777777" w:rsidR="00922D5B" w:rsidRPr="000835C7" w:rsidRDefault="00922D5B" w:rsidP="00922D5B">
      <w:pPr>
        <w:pStyle w:val="bullet"/>
        <w:numPr>
          <w:ilvl w:val="0"/>
          <w:numId w:val="0"/>
        </w:numPr>
        <w:ind w:left="1797"/>
      </w:pPr>
    </w:p>
    <w:p w14:paraId="7D31517C" w14:textId="02D4382A" w:rsidR="00137963" w:rsidRPr="00922D5B" w:rsidRDefault="00137963" w:rsidP="00922D5B">
      <w:pPr>
        <w:pStyle w:val="bullet"/>
        <w:rPr>
          <w:b/>
          <w:bCs/>
        </w:rPr>
      </w:pPr>
      <w:r w:rsidRPr="00922D5B">
        <w:rPr>
          <w:b/>
          <w:bCs/>
        </w:rPr>
        <w:t xml:space="preserve">the NI Executive progress measures to ensure that equality law in NI is strengthened, </w:t>
      </w:r>
      <w:proofErr w:type="gramStart"/>
      <w:r w:rsidRPr="00922D5B">
        <w:rPr>
          <w:b/>
          <w:bCs/>
        </w:rPr>
        <w:t>simplified</w:t>
      </w:r>
      <w:proofErr w:type="gramEnd"/>
      <w:r w:rsidRPr="00922D5B">
        <w:rPr>
          <w:b/>
          <w:bCs/>
        </w:rPr>
        <w:t xml:space="preserve"> and harmonised into a single equality act, and that gaps, including existing gaps between NI and Great Britain equality law, are addressed as a matter of urgency.  </w:t>
      </w:r>
    </w:p>
    <w:p w14:paraId="227B5FBA" w14:textId="77777777" w:rsidR="00922D5B" w:rsidRPr="000835C7" w:rsidRDefault="00922D5B" w:rsidP="00922D5B"/>
    <w:p w14:paraId="3303F1B2" w14:textId="13751318" w:rsidR="00922D5B" w:rsidRPr="00922D5B" w:rsidRDefault="00A7200B" w:rsidP="00922D5B">
      <w:pPr>
        <w:pStyle w:val="bullet"/>
        <w:rPr>
          <w:b/>
          <w:bCs/>
        </w:rPr>
      </w:pPr>
      <w:r w:rsidRPr="00922D5B">
        <w:rPr>
          <w:b/>
          <w:bCs/>
        </w:rPr>
        <w:t>t</w:t>
      </w:r>
      <w:r w:rsidR="00036FDC" w:rsidRPr="00922D5B">
        <w:rPr>
          <w:b/>
          <w:bCs/>
        </w:rPr>
        <w:t xml:space="preserve">he NI Executive ensures </w:t>
      </w:r>
      <w:r w:rsidR="00506537" w:rsidRPr="00922D5B">
        <w:rPr>
          <w:b/>
          <w:bCs/>
        </w:rPr>
        <w:t>p</w:t>
      </w:r>
      <w:r w:rsidR="00686E9A" w:rsidRPr="00922D5B">
        <w:rPr>
          <w:b/>
          <w:bCs/>
        </w:rPr>
        <w:t xml:space="preserve">eople in </w:t>
      </w:r>
      <w:r w:rsidR="00137963" w:rsidRPr="00922D5B">
        <w:rPr>
          <w:b/>
          <w:bCs/>
        </w:rPr>
        <w:t xml:space="preserve">NI </w:t>
      </w:r>
      <w:r w:rsidR="00686E9A" w:rsidRPr="00922D5B">
        <w:rPr>
          <w:b/>
          <w:bCs/>
        </w:rPr>
        <w:t xml:space="preserve">have at least equivalent </w:t>
      </w:r>
      <w:r w:rsidR="00757C16" w:rsidRPr="00922D5B">
        <w:rPr>
          <w:b/>
          <w:bCs/>
        </w:rPr>
        <w:t xml:space="preserve">human rights and </w:t>
      </w:r>
      <w:r w:rsidR="003B3009" w:rsidRPr="00922D5B">
        <w:rPr>
          <w:b/>
          <w:bCs/>
        </w:rPr>
        <w:t xml:space="preserve">equality </w:t>
      </w:r>
      <w:r w:rsidR="00757C16" w:rsidRPr="00922D5B">
        <w:rPr>
          <w:b/>
          <w:bCs/>
        </w:rPr>
        <w:t xml:space="preserve">protections </w:t>
      </w:r>
      <w:r w:rsidR="003B3009" w:rsidRPr="00922D5B">
        <w:rPr>
          <w:b/>
          <w:bCs/>
        </w:rPr>
        <w:t xml:space="preserve">to those </w:t>
      </w:r>
      <w:r w:rsidR="00686E9A" w:rsidRPr="00922D5B">
        <w:rPr>
          <w:b/>
          <w:bCs/>
        </w:rPr>
        <w:t xml:space="preserve">in </w:t>
      </w:r>
      <w:r w:rsidR="003B3009" w:rsidRPr="00922D5B">
        <w:rPr>
          <w:b/>
          <w:bCs/>
        </w:rPr>
        <w:t>Ireland</w:t>
      </w:r>
      <w:r w:rsidR="00506537" w:rsidRPr="00922D5B">
        <w:rPr>
          <w:b/>
          <w:bCs/>
        </w:rPr>
        <w:t>.</w:t>
      </w:r>
      <w:r w:rsidR="003B3009" w:rsidRPr="00922D5B">
        <w:rPr>
          <w:b/>
          <w:bCs/>
        </w:rPr>
        <w:t xml:space="preserve"> </w:t>
      </w:r>
      <w:r w:rsidR="00BD54CE" w:rsidRPr="00922D5B">
        <w:rPr>
          <w:b/>
          <w:bCs/>
        </w:rPr>
        <w:t xml:space="preserve">The Commissions further recommend that this commitment is reflected in the NI Executive’s </w:t>
      </w:r>
      <w:proofErr w:type="spellStart"/>
      <w:r w:rsidR="00BD54CE" w:rsidRPr="00922D5B">
        <w:rPr>
          <w:b/>
          <w:bCs/>
        </w:rPr>
        <w:t>PfG</w:t>
      </w:r>
      <w:proofErr w:type="spellEnd"/>
      <w:r w:rsidR="00BD54CE" w:rsidRPr="00922D5B">
        <w:rPr>
          <w:b/>
          <w:bCs/>
        </w:rPr>
        <w:t xml:space="preserve"> Outcomes Framework and in any subsequent </w:t>
      </w:r>
      <w:proofErr w:type="spellStart"/>
      <w:r w:rsidR="00BD54CE" w:rsidRPr="00922D5B">
        <w:rPr>
          <w:b/>
          <w:bCs/>
        </w:rPr>
        <w:t>PfG.</w:t>
      </w:r>
      <w:proofErr w:type="spellEnd"/>
    </w:p>
    <w:p w14:paraId="0D6A4E2C" w14:textId="77777777" w:rsidR="00922D5B" w:rsidRPr="000835C7" w:rsidRDefault="00922D5B" w:rsidP="00922D5B">
      <w:pPr>
        <w:pStyle w:val="bullet"/>
        <w:numPr>
          <w:ilvl w:val="0"/>
          <w:numId w:val="0"/>
        </w:numPr>
        <w:ind w:left="1797"/>
      </w:pPr>
    </w:p>
    <w:p w14:paraId="7C4A3801" w14:textId="238B5A0C" w:rsidR="00A44837" w:rsidRPr="00922D5B" w:rsidRDefault="0081376E" w:rsidP="00922D5B">
      <w:pPr>
        <w:pStyle w:val="bullet"/>
        <w:rPr>
          <w:b/>
          <w:bCs/>
        </w:rPr>
      </w:pPr>
      <w:r w:rsidRPr="00922D5B">
        <w:rPr>
          <w:b/>
          <w:bCs/>
        </w:rPr>
        <w:t>the NI Executive</w:t>
      </w:r>
      <w:r w:rsidR="007260BC" w:rsidRPr="00922D5B">
        <w:rPr>
          <w:b/>
          <w:bCs/>
        </w:rPr>
        <w:t>, and NI Departments</w:t>
      </w:r>
      <w:r w:rsidR="00437C2B" w:rsidRPr="00922D5B">
        <w:rPr>
          <w:b/>
          <w:bCs/>
        </w:rPr>
        <w:t>, ensure</w:t>
      </w:r>
      <w:r w:rsidR="007260BC" w:rsidRPr="00922D5B">
        <w:rPr>
          <w:b/>
          <w:bCs/>
        </w:rPr>
        <w:t xml:space="preserve"> effective and regular engagement with a range of NI stakeholders, including civil society and human rights and equality groups, to identify impacts of the implementation of the Protocol on </w:t>
      </w:r>
      <w:r w:rsidR="00666131" w:rsidRPr="00922D5B">
        <w:rPr>
          <w:b/>
          <w:bCs/>
        </w:rPr>
        <w:t>people</w:t>
      </w:r>
      <w:r w:rsidR="007260BC" w:rsidRPr="00922D5B">
        <w:rPr>
          <w:b/>
          <w:bCs/>
        </w:rPr>
        <w:t xml:space="preserve"> living in </w:t>
      </w:r>
      <w:r w:rsidR="000466A1" w:rsidRPr="00922D5B">
        <w:rPr>
          <w:b/>
          <w:bCs/>
        </w:rPr>
        <w:t>NI</w:t>
      </w:r>
      <w:r w:rsidR="007260BC" w:rsidRPr="00922D5B">
        <w:rPr>
          <w:b/>
          <w:bCs/>
        </w:rPr>
        <w:t xml:space="preserve"> in relation to human rights and equality considerations.</w:t>
      </w:r>
    </w:p>
    <w:p w14:paraId="5D2A5CAF" w14:textId="6C4F8E46" w:rsidR="001633F2" w:rsidRPr="000835C7" w:rsidRDefault="00C927AF" w:rsidP="004276B4">
      <w:pPr>
        <w:pStyle w:val="Heading1"/>
      </w:pPr>
      <w:bookmarkStart w:id="8" w:name="_Toc74584444"/>
      <w:r w:rsidRPr="000835C7">
        <w:lastRenderedPageBreak/>
        <w:t>Work of the Committee</w:t>
      </w:r>
      <w:bookmarkEnd w:id="8"/>
      <w:r w:rsidRPr="000835C7">
        <w:t xml:space="preserve"> </w:t>
      </w:r>
    </w:p>
    <w:p w14:paraId="6A0B61F4" w14:textId="0C92CEA2" w:rsidR="00046F21" w:rsidRPr="000835C7" w:rsidRDefault="00974183" w:rsidP="00552832">
      <w:pPr>
        <w:pStyle w:val="ListParagraph"/>
        <w:numPr>
          <w:ilvl w:val="1"/>
          <w:numId w:val="1"/>
        </w:numPr>
      </w:pPr>
      <w:r w:rsidRPr="000835C7">
        <w:t xml:space="preserve">In question 13 the Committee seeks views on what work it should undertake to </w:t>
      </w:r>
      <w:r w:rsidR="00D944EA" w:rsidRPr="000835C7">
        <w:t>scrutinis</w:t>
      </w:r>
      <w:r w:rsidRPr="000835C7">
        <w:t>e</w:t>
      </w:r>
      <w:r w:rsidR="00D944EA" w:rsidRPr="000835C7">
        <w:t xml:space="preserve"> the operation and impact of the Protocol</w:t>
      </w:r>
      <w:r w:rsidRPr="000835C7">
        <w:t>.</w:t>
      </w:r>
    </w:p>
    <w:p w14:paraId="5DE6886E" w14:textId="2BC6349F" w:rsidR="009C7CD1" w:rsidRPr="000835C7" w:rsidRDefault="009C7CD1" w:rsidP="009C7CD1">
      <w:pPr>
        <w:pStyle w:val="ListParagraph"/>
        <w:numPr>
          <w:ilvl w:val="1"/>
          <w:numId w:val="1"/>
        </w:numPr>
      </w:pPr>
      <w:r w:rsidRPr="000835C7">
        <w:t xml:space="preserve">Parliamentary scrutiny of the implementation of the commitment in Article 2 of the Protocol will be an important safeguard against the diminution of rights, </w:t>
      </w:r>
      <w:proofErr w:type="gramStart"/>
      <w:r w:rsidRPr="000835C7">
        <w:t>safeguards</w:t>
      </w:r>
      <w:proofErr w:type="gramEnd"/>
      <w:r w:rsidRPr="000835C7">
        <w:t xml:space="preserve"> and equality of opportunity.</w:t>
      </w:r>
      <w:r w:rsidR="00477382" w:rsidRPr="000835C7">
        <w:t xml:space="preserve"> </w:t>
      </w:r>
      <w:r w:rsidR="0048263B" w:rsidRPr="000835C7">
        <w:t xml:space="preserve"> </w:t>
      </w:r>
    </w:p>
    <w:p w14:paraId="3C6388EB" w14:textId="1823A7C6" w:rsidR="00312DCC" w:rsidRPr="000835C7" w:rsidRDefault="0044066A" w:rsidP="00D55FF8">
      <w:pPr>
        <w:pStyle w:val="ListParagraph"/>
        <w:numPr>
          <w:ilvl w:val="1"/>
          <w:numId w:val="1"/>
        </w:numPr>
      </w:pPr>
      <w:r w:rsidRPr="000835C7">
        <w:t xml:space="preserve">To facilitate this </w:t>
      </w:r>
      <w:r w:rsidR="009C7CD1" w:rsidRPr="000835C7">
        <w:t xml:space="preserve">Parliamentary </w:t>
      </w:r>
      <w:r w:rsidRPr="000835C7">
        <w:t xml:space="preserve">scrutiny of </w:t>
      </w:r>
      <w:r w:rsidR="001F47EF" w:rsidRPr="000835C7">
        <w:t>the UK Government’s commitment</w:t>
      </w:r>
      <w:r w:rsidR="00DD575B" w:rsidRPr="000835C7">
        <w:t xml:space="preserve"> in Article 2, </w:t>
      </w:r>
      <w:r w:rsidRPr="000835C7">
        <w:t xml:space="preserve">the Committee should receive </w:t>
      </w:r>
      <w:r w:rsidR="00DD575B" w:rsidRPr="000835C7">
        <w:t xml:space="preserve">timely </w:t>
      </w:r>
      <w:r w:rsidRPr="000835C7">
        <w:t>notice</w:t>
      </w:r>
      <w:r w:rsidR="00DD575B" w:rsidRPr="000835C7">
        <w:t xml:space="preserve"> of any </w:t>
      </w:r>
      <w:r w:rsidRPr="000835C7">
        <w:t xml:space="preserve">planned and adopted EU law within the scope of the Protocol, including Article </w:t>
      </w:r>
      <w:r w:rsidR="002346D6" w:rsidRPr="000835C7">
        <w:t>2</w:t>
      </w:r>
      <w:r w:rsidR="009C7CD1" w:rsidRPr="000835C7">
        <w:t xml:space="preserve">. </w:t>
      </w:r>
      <w:r w:rsidR="004D253E" w:rsidRPr="000835C7">
        <w:t>It would also be helpful if the Committee</w:t>
      </w:r>
      <w:r w:rsidR="00717AD2">
        <w:t>,</w:t>
      </w:r>
      <w:r w:rsidR="004D253E" w:rsidRPr="000835C7">
        <w:t xml:space="preserve"> when considering the implications of the proposed EU legislation in relation to the Article 2 commitment</w:t>
      </w:r>
      <w:r w:rsidR="00717AD2">
        <w:t>,</w:t>
      </w:r>
      <w:r w:rsidR="004D253E" w:rsidRPr="000835C7">
        <w:t xml:space="preserve"> seeks </w:t>
      </w:r>
      <w:r w:rsidR="0070124B" w:rsidRPr="000835C7">
        <w:t xml:space="preserve">the views of the </w:t>
      </w:r>
      <w:r w:rsidR="004D253E" w:rsidRPr="000835C7">
        <w:t>UK Government</w:t>
      </w:r>
      <w:r w:rsidR="00370A9B" w:rsidRPr="000835C7">
        <w:t xml:space="preserve">, and </w:t>
      </w:r>
      <w:r w:rsidR="0070124B" w:rsidRPr="000835C7">
        <w:t>of</w:t>
      </w:r>
      <w:r w:rsidR="00370A9B" w:rsidRPr="000835C7">
        <w:t xml:space="preserve"> the dedicated mechanism</w:t>
      </w:r>
      <w:r w:rsidR="00CE2133" w:rsidRPr="000835C7">
        <w:t xml:space="preserve"> (</w:t>
      </w:r>
      <w:r w:rsidR="0070124B" w:rsidRPr="000835C7">
        <w:t>as referred to below</w:t>
      </w:r>
      <w:r w:rsidR="00CE2133" w:rsidRPr="000835C7">
        <w:t>)</w:t>
      </w:r>
      <w:r w:rsidR="00370A9B" w:rsidRPr="000835C7">
        <w:t xml:space="preserve">, </w:t>
      </w:r>
      <w:r w:rsidR="00CE2133" w:rsidRPr="000835C7">
        <w:t>on the degree to which any</w:t>
      </w:r>
      <w:r w:rsidR="00370A9B" w:rsidRPr="000835C7">
        <w:t xml:space="preserve"> proposed EU legislation impacts on </w:t>
      </w:r>
      <w:r w:rsidR="0070124B" w:rsidRPr="000835C7">
        <w:t xml:space="preserve">the </w:t>
      </w:r>
      <w:r w:rsidR="00370A9B" w:rsidRPr="000835C7">
        <w:t xml:space="preserve">Article 2 </w:t>
      </w:r>
      <w:r w:rsidR="0070124B" w:rsidRPr="000835C7">
        <w:t>commitment</w:t>
      </w:r>
      <w:r w:rsidR="0076153D" w:rsidRPr="000835C7">
        <w:t>, and for the Committee to liaise closely with other Parliamentary Committees, such as the European</w:t>
      </w:r>
      <w:r w:rsidR="00716AB5" w:rsidRPr="000835C7">
        <w:t xml:space="preserve"> </w:t>
      </w:r>
      <w:r w:rsidR="0045395D" w:rsidRPr="000835C7">
        <w:t>Scrutiny</w:t>
      </w:r>
      <w:r w:rsidR="0076153D" w:rsidRPr="000835C7">
        <w:t xml:space="preserve"> Committee</w:t>
      </w:r>
      <w:r w:rsidR="00716AB5" w:rsidRPr="000835C7">
        <w:t>,</w:t>
      </w:r>
      <w:r w:rsidR="0076153D" w:rsidRPr="000835C7">
        <w:t xml:space="preserve"> in this regard.</w:t>
      </w:r>
    </w:p>
    <w:p w14:paraId="7CFBDCFF" w14:textId="046F8D04" w:rsidR="008B4479" w:rsidRPr="000835C7" w:rsidRDefault="00E75EFF" w:rsidP="00552832">
      <w:pPr>
        <w:pStyle w:val="ListParagraph"/>
        <w:numPr>
          <w:ilvl w:val="1"/>
          <w:numId w:val="53"/>
        </w:numPr>
      </w:pPr>
      <w:r w:rsidRPr="000835C7">
        <w:t xml:space="preserve">The Commissions are currently </w:t>
      </w:r>
      <w:proofErr w:type="gramStart"/>
      <w:r w:rsidRPr="000835C7">
        <w:t>giving consideration to</w:t>
      </w:r>
      <w:proofErr w:type="gramEnd"/>
      <w:r w:rsidRPr="000835C7">
        <w:t xml:space="preserve"> any </w:t>
      </w:r>
      <w:r w:rsidR="009A2C0C">
        <w:t>recommended</w:t>
      </w:r>
      <w:r w:rsidR="009A2C0C" w:rsidRPr="000835C7">
        <w:t xml:space="preserve"> </w:t>
      </w:r>
      <w:r w:rsidRPr="000835C7">
        <w:t>reform of both Parliamentary and NI Assembly scrutiny mechanisms or processes to ensure that there is effective Parliamentary and NI Assembly scrutiny of the UK Government’s compliance with its commitment under Article 2(1) of the Protocol, and we would welcome the opportunity to provide further evidence and recommendations to the Committee on this matter at a later date.</w:t>
      </w:r>
    </w:p>
    <w:p w14:paraId="3FE5773C" w14:textId="05EE7B55" w:rsidR="00001A80" w:rsidRPr="000835C7" w:rsidRDefault="00D96703" w:rsidP="006C27EB">
      <w:pPr>
        <w:pStyle w:val="ListParagraph"/>
        <w:numPr>
          <w:ilvl w:val="1"/>
          <w:numId w:val="1"/>
        </w:numPr>
        <w:rPr>
          <w:b/>
          <w:bCs/>
        </w:rPr>
      </w:pPr>
      <w:r w:rsidRPr="000835C7">
        <w:rPr>
          <w:b/>
          <w:bCs/>
        </w:rPr>
        <w:t xml:space="preserve">The Commissions recommend that the Committee </w:t>
      </w:r>
      <w:r w:rsidR="00E843FF" w:rsidRPr="000835C7">
        <w:rPr>
          <w:b/>
          <w:bCs/>
        </w:rPr>
        <w:t>scrutinise</w:t>
      </w:r>
      <w:r w:rsidR="00311D63" w:rsidRPr="000835C7">
        <w:rPr>
          <w:b/>
          <w:bCs/>
        </w:rPr>
        <w:t>s</w:t>
      </w:r>
      <w:r w:rsidR="00E843FF" w:rsidRPr="000835C7">
        <w:rPr>
          <w:b/>
          <w:bCs/>
        </w:rPr>
        <w:t xml:space="preserve"> </w:t>
      </w:r>
      <w:r w:rsidRPr="000835C7">
        <w:rPr>
          <w:b/>
          <w:bCs/>
        </w:rPr>
        <w:t xml:space="preserve">the UK Government’s commitment in </w:t>
      </w:r>
      <w:r w:rsidR="004D253E" w:rsidRPr="000835C7">
        <w:rPr>
          <w:b/>
          <w:bCs/>
        </w:rPr>
        <w:t>A</w:t>
      </w:r>
      <w:r w:rsidRPr="000835C7">
        <w:rPr>
          <w:b/>
          <w:bCs/>
        </w:rPr>
        <w:t xml:space="preserve">rticle 2 to ensure that there is no diminution of human rights and equality </w:t>
      </w:r>
      <w:proofErr w:type="gramStart"/>
      <w:r w:rsidRPr="000835C7">
        <w:rPr>
          <w:b/>
          <w:bCs/>
        </w:rPr>
        <w:t>as a result of</w:t>
      </w:r>
      <w:proofErr w:type="gramEnd"/>
      <w:r w:rsidRPr="000835C7">
        <w:rPr>
          <w:b/>
          <w:bCs/>
        </w:rPr>
        <w:t xml:space="preserve"> leaving the EU.</w:t>
      </w:r>
      <w:r w:rsidR="00117660" w:rsidRPr="000835C7">
        <w:rPr>
          <w:b/>
          <w:bCs/>
        </w:rPr>
        <w:t xml:space="preserve"> </w:t>
      </w:r>
      <w:r w:rsidR="00001A80" w:rsidRPr="000835C7">
        <w:rPr>
          <w:b/>
          <w:bCs/>
        </w:rPr>
        <w:t xml:space="preserve">In particular, the Commissions </w:t>
      </w:r>
      <w:r w:rsidR="00C5259F" w:rsidRPr="000835C7">
        <w:rPr>
          <w:b/>
          <w:bCs/>
        </w:rPr>
        <w:t>recommend that the Committee gives consideration to</w:t>
      </w:r>
      <w:r w:rsidR="00001A80" w:rsidRPr="000835C7">
        <w:rPr>
          <w:b/>
          <w:bCs/>
        </w:rPr>
        <w:t xml:space="preserve"> </w:t>
      </w:r>
      <w:r w:rsidR="00257E5A" w:rsidRPr="000835C7">
        <w:rPr>
          <w:b/>
          <w:bCs/>
        </w:rPr>
        <w:t>holding</w:t>
      </w:r>
      <w:r w:rsidR="0045395D" w:rsidRPr="000835C7">
        <w:rPr>
          <w:b/>
          <w:bCs/>
        </w:rPr>
        <w:t xml:space="preserve"> </w:t>
      </w:r>
      <w:r w:rsidR="00001A80" w:rsidRPr="000835C7">
        <w:rPr>
          <w:b/>
          <w:bCs/>
        </w:rPr>
        <w:t xml:space="preserve">a </w:t>
      </w:r>
      <w:proofErr w:type="gramStart"/>
      <w:r w:rsidR="00001A80" w:rsidRPr="000835C7">
        <w:rPr>
          <w:b/>
          <w:bCs/>
        </w:rPr>
        <w:t>Committee</w:t>
      </w:r>
      <w:proofErr w:type="gramEnd"/>
      <w:r w:rsidR="00001A80" w:rsidRPr="000835C7">
        <w:rPr>
          <w:b/>
          <w:bCs/>
        </w:rPr>
        <w:t xml:space="preserve"> inquiry</w:t>
      </w:r>
      <w:r w:rsidR="00370A9B" w:rsidRPr="000835C7">
        <w:rPr>
          <w:b/>
          <w:bCs/>
        </w:rPr>
        <w:t>, in due course,</w:t>
      </w:r>
      <w:r w:rsidR="00001A80" w:rsidRPr="000835C7">
        <w:rPr>
          <w:b/>
          <w:bCs/>
        </w:rPr>
        <w:t xml:space="preserve"> into the UK Government’s approach to implementing its commitment in Article 2, with a focus on communication, monitoring and engagement.</w:t>
      </w:r>
    </w:p>
    <w:p w14:paraId="5B2F98D1" w14:textId="4F64D791" w:rsidR="00312DCC" w:rsidRPr="000835C7" w:rsidRDefault="00EA4BF3" w:rsidP="00384EF3">
      <w:pPr>
        <w:pStyle w:val="ListParagraph"/>
        <w:numPr>
          <w:ilvl w:val="1"/>
          <w:numId w:val="1"/>
        </w:numPr>
      </w:pPr>
      <w:r w:rsidRPr="000835C7">
        <w:rPr>
          <w:b/>
          <w:bCs/>
        </w:rPr>
        <w:t xml:space="preserve">The Commissions recommend </w:t>
      </w:r>
      <w:r w:rsidR="0045395D" w:rsidRPr="000835C7">
        <w:rPr>
          <w:b/>
          <w:bCs/>
        </w:rPr>
        <w:t>that, as</w:t>
      </w:r>
      <w:r w:rsidR="00D00990" w:rsidRPr="000835C7">
        <w:rPr>
          <w:b/>
          <w:bCs/>
        </w:rPr>
        <w:t xml:space="preserve"> part of its role to scrutinise the Protocol’s overall impact on </w:t>
      </w:r>
      <w:r w:rsidR="00666131" w:rsidRPr="000835C7">
        <w:rPr>
          <w:b/>
          <w:bCs/>
        </w:rPr>
        <w:t>NI</w:t>
      </w:r>
      <w:r w:rsidR="00416A77" w:rsidRPr="000835C7">
        <w:rPr>
          <w:b/>
          <w:bCs/>
        </w:rPr>
        <w:t>,</w:t>
      </w:r>
      <w:r w:rsidR="00D00990" w:rsidRPr="000835C7">
        <w:rPr>
          <w:b/>
          <w:bCs/>
        </w:rPr>
        <w:t xml:space="preserve"> </w:t>
      </w:r>
      <w:r w:rsidRPr="000835C7">
        <w:rPr>
          <w:b/>
          <w:bCs/>
        </w:rPr>
        <w:t xml:space="preserve">the Committee continues to engage regularly with a range of NI stakeholders, including </w:t>
      </w:r>
      <w:r w:rsidR="00160308">
        <w:rPr>
          <w:b/>
          <w:bCs/>
        </w:rPr>
        <w:t xml:space="preserve">the Commissions, </w:t>
      </w:r>
      <w:r w:rsidRPr="000835C7">
        <w:rPr>
          <w:b/>
          <w:bCs/>
        </w:rPr>
        <w:t>civil society and human rights and equality groups</w:t>
      </w:r>
      <w:r w:rsidR="007744D0" w:rsidRPr="000835C7">
        <w:rPr>
          <w:b/>
          <w:bCs/>
        </w:rPr>
        <w:t>,</w:t>
      </w:r>
      <w:r w:rsidR="004D6723" w:rsidRPr="000835C7">
        <w:rPr>
          <w:b/>
          <w:bCs/>
        </w:rPr>
        <w:t xml:space="preserve"> to identify </w:t>
      </w:r>
      <w:r w:rsidR="0042474A" w:rsidRPr="000835C7">
        <w:rPr>
          <w:b/>
          <w:bCs/>
        </w:rPr>
        <w:t xml:space="preserve">human rights and equality </w:t>
      </w:r>
      <w:r w:rsidR="004D6723" w:rsidRPr="000835C7">
        <w:rPr>
          <w:b/>
          <w:bCs/>
        </w:rPr>
        <w:t>i</w:t>
      </w:r>
      <w:r w:rsidR="00E14A91" w:rsidRPr="000835C7">
        <w:rPr>
          <w:b/>
          <w:bCs/>
        </w:rPr>
        <w:t xml:space="preserve">mpacts </w:t>
      </w:r>
      <w:r w:rsidR="001E79AB" w:rsidRPr="000835C7">
        <w:rPr>
          <w:b/>
          <w:bCs/>
        </w:rPr>
        <w:t xml:space="preserve">of the implementation of the Protocol </w:t>
      </w:r>
      <w:r w:rsidR="00E14A91" w:rsidRPr="000835C7">
        <w:rPr>
          <w:b/>
          <w:bCs/>
        </w:rPr>
        <w:t xml:space="preserve">on </w:t>
      </w:r>
      <w:r w:rsidR="00666131" w:rsidRPr="000835C7">
        <w:rPr>
          <w:b/>
          <w:bCs/>
        </w:rPr>
        <w:t>people</w:t>
      </w:r>
      <w:r w:rsidR="00E14A91" w:rsidRPr="000835C7">
        <w:rPr>
          <w:b/>
          <w:bCs/>
        </w:rPr>
        <w:t xml:space="preserve"> living in </w:t>
      </w:r>
      <w:r w:rsidR="00AE4820" w:rsidRPr="000835C7">
        <w:rPr>
          <w:b/>
          <w:bCs/>
        </w:rPr>
        <w:t>NI</w:t>
      </w:r>
      <w:r w:rsidRPr="000835C7">
        <w:rPr>
          <w:b/>
          <w:bCs/>
        </w:rPr>
        <w:t>.</w:t>
      </w:r>
    </w:p>
    <w:p w14:paraId="75DD3FA5" w14:textId="6DC3BAD9" w:rsidR="00312DCC" w:rsidRPr="000835C7" w:rsidRDefault="00312DCC" w:rsidP="006C27EB">
      <w:pPr>
        <w:pStyle w:val="ListParagraph"/>
        <w:numPr>
          <w:ilvl w:val="1"/>
          <w:numId w:val="1"/>
        </w:numPr>
      </w:pPr>
      <w:r w:rsidRPr="000835C7">
        <w:lastRenderedPageBreak/>
        <w:t>Following the UK’s withdrawal from the EU, there are a breadth of human rights and equality issues which the Committee may wish to examine</w:t>
      </w:r>
      <w:r w:rsidR="002E5186" w:rsidRPr="000835C7">
        <w:t xml:space="preserve">. </w:t>
      </w:r>
      <w:r w:rsidR="00845796" w:rsidRPr="000835C7">
        <w:t xml:space="preserve">The Commissions </w:t>
      </w:r>
      <w:r w:rsidR="00F53D0B" w:rsidRPr="000835C7">
        <w:t xml:space="preserve">have </w:t>
      </w:r>
      <w:r w:rsidR="00167715" w:rsidRPr="000835C7">
        <w:t xml:space="preserve">previously </w:t>
      </w:r>
      <w:r w:rsidR="00F53D0B" w:rsidRPr="000835C7">
        <w:t xml:space="preserve">raised </w:t>
      </w:r>
      <w:r w:rsidR="00845796" w:rsidRPr="000835C7">
        <w:t xml:space="preserve">a range of human rights and equality concerns </w:t>
      </w:r>
      <w:r w:rsidR="00201C4C" w:rsidRPr="000835C7">
        <w:t xml:space="preserve">both </w:t>
      </w:r>
      <w:r w:rsidR="00BB3FD0" w:rsidRPr="000835C7">
        <w:t xml:space="preserve">jointly and </w:t>
      </w:r>
      <w:r w:rsidR="00201C4C" w:rsidRPr="000835C7">
        <w:t xml:space="preserve">solely </w:t>
      </w:r>
      <w:r w:rsidR="00EE5F6E" w:rsidRPr="000835C7">
        <w:t xml:space="preserve">by the </w:t>
      </w:r>
      <w:r w:rsidR="00167715" w:rsidRPr="000835C7">
        <w:t>NIHRC</w:t>
      </w:r>
      <w:r w:rsidR="00EE5F6E" w:rsidRPr="000835C7">
        <w:t xml:space="preserve"> </w:t>
      </w:r>
      <w:r w:rsidR="00167715" w:rsidRPr="000835C7">
        <w:t>on</w:t>
      </w:r>
      <w:r w:rsidR="00066D9E" w:rsidRPr="000835C7">
        <w:t xml:space="preserve"> those</w:t>
      </w:r>
      <w:r w:rsidR="00167715" w:rsidRPr="000835C7">
        <w:t xml:space="preserve"> human rights areas which fell solely within its remit prior to the establishment of the dedicated mechanism</w:t>
      </w:r>
      <w:r w:rsidR="00201C4C" w:rsidRPr="000835C7">
        <w:t>. These</w:t>
      </w:r>
      <w:r w:rsidR="00201C4C" w:rsidRPr="000835C7">
        <w:rPr>
          <w:rFonts w:eastAsiaTheme="minorHAnsi"/>
          <w:sz w:val="23"/>
          <w:szCs w:val="23"/>
        </w:rPr>
        <w:t xml:space="preserve"> </w:t>
      </w:r>
      <w:r w:rsidR="00EE5F6E" w:rsidRPr="000835C7">
        <w:t xml:space="preserve">include the </w:t>
      </w:r>
      <w:r w:rsidR="00201C4C" w:rsidRPr="000835C7">
        <w:t>following</w:t>
      </w:r>
      <w:r w:rsidRPr="000835C7">
        <w:t xml:space="preserve">: </w:t>
      </w:r>
    </w:p>
    <w:p w14:paraId="43DF8731" w14:textId="77777777" w:rsidR="00312DCC" w:rsidRPr="000835C7" w:rsidRDefault="00312DCC" w:rsidP="00922D5B">
      <w:pPr>
        <w:pStyle w:val="bullet"/>
      </w:pPr>
      <w:r w:rsidRPr="00922D5B">
        <w:t xml:space="preserve">Equality </w:t>
      </w:r>
      <w:proofErr w:type="gramStart"/>
      <w:r w:rsidRPr="00922D5B">
        <w:t>Rights</w:t>
      </w:r>
      <w:r w:rsidRPr="000835C7">
        <w:t>;</w:t>
      </w:r>
      <w:proofErr w:type="gramEnd"/>
      <w:r w:rsidRPr="000835C7">
        <w:t xml:space="preserve"> </w:t>
      </w:r>
    </w:p>
    <w:p w14:paraId="71522C27" w14:textId="77777777" w:rsidR="00312DCC" w:rsidRPr="000835C7" w:rsidRDefault="00312DCC" w:rsidP="00922D5B">
      <w:pPr>
        <w:pStyle w:val="bullet"/>
      </w:pPr>
      <w:r w:rsidRPr="000835C7">
        <w:t xml:space="preserve">Common Travel </w:t>
      </w:r>
      <w:proofErr w:type="gramStart"/>
      <w:r w:rsidRPr="000835C7">
        <w:t>Area;</w:t>
      </w:r>
      <w:proofErr w:type="gramEnd"/>
      <w:r w:rsidRPr="000835C7">
        <w:t xml:space="preserve"> </w:t>
      </w:r>
    </w:p>
    <w:p w14:paraId="7874CDB3" w14:textId="77777777" w:rsidR="00312DCC" w:rsidRPr="000835C7" w:rsidRDefault="00312DCC" w:rsidP="00922D5B">
      <w:pPr>
        <w:pStyle w:val="bullet"/>
      </w:pPr>
      <w:r w:rsidRPr="000835C7">
        <w:t xml:space="preserve">Rights of Irish </w:t>
      </w:r>
      <w:proofErr w:type="gramStart"/>
      <w:r w:rsidRPr="000835C7">
        <w:t>Citizens;</w:t>
      </w:r>
      <w:proofErr w:type="gramEnd"/>
      <w:r w:rsidRPr="000835C7">
        <w:t xml:space="preserve"> </w:t>
      </w:r>
    </w:p>
    <w:p w14:paraId="34043DD8" w14:textId="77777777" w:rsidR="00312DCC" w:rsidRPr="000835C7" w:rsidRDefault="00312DCC" w:rsidP="00922D5B">
      <w:pPr>
        <w:pStyle w:val="bullet"/>
      </w:pPr>
      <w:r w:rsidRPr="000835C7">
        <w:t xml:space="preserve">EU </w:t>
      </w:r>
      <w:proofErr w:type="gramStart"/>
      <w:r w:rsidRPr="000835C7">
        <w:t>Citizens;</w:t>
      </w:r>
      <w:proofErr w:type="gramEnd"/>
      <w:r w:rsidRPr="000835C7">
        <w:t xml:space="preserve"> </w:t>
      </w:r>
    </w:p>
    <w:p w14:paraId="21C55E03" w14:textId="77777777" w:rsidR="00312DCC" w:rsidRPr="000835C7" w:rsidRDefault="00312DCC" w:rsidP="00922D5B">
      <w:pPr>
        <w:pStyle w:val="bullet"/>
      </w:pPr>
      <w:r w:rsidRPr="000835C7">
        <w:t xml:space="preserve">Frontier </w:t>
      </w:r>
      <w:proofErr w:type="gramStart"/>
      <w:r w:rsidRPr="000835C7">
        <w:t>Workers;</w:t>
      </w:r>
      <w:proofErr w:type="gramEnd"/>
      <w:r w:rsidRPr="000835C7">
        <w:t xml:space="preserve"> </w:t>
      </w:r>
    </w:p>
    <w:p w14:paraId="2BB46B10" w14:textId="6F121FEC" w:rsidR="00312DCC" w:rsidRPr="000835C7" w:rsidRDefault="00312DCC" w:rsidP="00922D5B">
      <w:pPr>
        <w:pStyle w:val="bullet"/>
      </w:pPr>
      <w:proofErr w:type="spellStart"/>
      <w:r w:rsidRPr="000835C7">
        <w:t>Birthright</w:t>
      </w:r>
      <w:proofErr w:type="spellEnd"/>
      <w:r w:rsidRPr="000835C7">
        <w:t xml:space="preserve"> Commitment; </w:t>
      </w:r>
      <w:r w:rsidR="00B32336" w:rsidRPr="000835C7">
        <w:t>and</w:t>
      </w:r>
    </w:p>
    <w:p w14:paraId="437C13B6" w14:textId="6862F33A" w:rsidR="00312DCC" w:rsidRPr="000835C7" w:rsidRDefault="00312DCC" w:rsidP="00922D5B">
      <w:pPr>
        <w:pStyle w:val="bullet"/>
      </w:pPr>
      <w:r w:rsidRPr="000835C7">
        <w:t>EU Charter of Fundamental Rights</w:t>
      </w:r>
      <w:r w:rsidR="00515C83" w:rsidRPr="000835C7">
        <w:t>.</w:t>
      </w:r>
      <w:r w:rsidR="00515C83" w:rsidRPr="000835C7">
        <w:rPr>
          <w:rStyle w:val="FootnoteReference"/>
        </w:rPr>
        <w:footnoteReference w:id="8"/>
      </w:r>
      <w:r w:rsidRPr="000835C7">
        <w:t xml:space="preserve"> </w:t>
      </w:r>
    </w:p>
    <w:p w14:paraId="1B01EDCB" w14:textId="77777777" w:rsidR="00EA4BF3" w:rsidRPr="000835C7" w:rsidRDefault="00EA4BF3" w:rsidP="00B01800"/>
    <w:p w14:paraId="7D029AA4" w14:textId="7308EF01" w:rsidR="003873CD" w:rsidRPr="000835C7" w:rsidRDefault="00D16D2A" w:rsidP="0019753B">
      <w:pPr>
        <w:pStyle w:val="Heading1"/>
      </w:pPr>
      <w:bookmarkStart w:id="9" w:name="_Toc74584445"/>
      <w:r w:rsidRPr="000835C7">
        <w:t>Engagement and participation</w:t>
      </w:r>
      <w:bookmarkEnd w:id="9"/>
      <w:r w:rsidRPr="000835C7">
        <w:t xml:space="preserve"> </w:t>
      </w:r>
    </w:p>
    <w:p w14:paraId="6248B5FC" w14:textId="36E722AF" w:rsidR="007A4CB2" w:rsidRPr="000835C7" w:rsidRDefault="007A4CB2" w:rsidP="00040230">
      <w:pPr>
        <w:pStyle w:val="Heading2"/>
      </w:pPr>
      <w:bookmarkStart w:id="10" w:name="_Toc74584446"/>
      <w:r w:rsidRPr="000835C7">
        <w:t>Engagement with Northern Ireland stakeholders on the Protocol</w:t>
      </w:r>
      <w:bookmarkEnd w:id="10"/>
    </w:p>
    <w:p w14:paraId="63FC3492" w14:textId="7F338B0D" w:rsidR="000D2856" w:rsidRPr="000835C7" w:rsidRDefault="00E11B82" w:rsidP="000D184C">
      <w:pPr>
        <w:pStyle w:val="ListParagraph"/>
        <w:numPr>
          <w:ilvl w:val="1"/>
          <w:numId w:val="1"/>
        </w:numPr>
      </w:pPr>
      <w:r w:rsidRPr="000835C7">
        <w:t>Q</w:t>
      </w:r>
      <w:r w:rsidR="00CE7068" w:rsidRPr="000835C7">
        <w:t>uestion 8</w:t>
      </w:r>
      <w:r w:rsidR="005E5744" w:rsidRPr="000835C7">
        <w:t xml:space="preserve"> </w:t>
      </w:r>
      <w:r w:rsidR="000D184C" w:rsidRPr="000835C7">
        <w:t xml:space="preserve">and question 9 </w:t>
      </w:r>
      <w:r w:rsidR="00B66435" w:rsidRPr="000835C7">
        <w:t xml:space="preserve">request views on the </w:t>
      </w:r>
      <w:r w:rsidR="00043B92" w:rsidRPr="000835C7">
        <w:t>UK Government’s</w:t>
      </w:r>
      <w:r w:rsidR="0051004E" w:rsidRPr="000835C7">
        <w:t xml:space="preserve"> and EU’s</w:t>
      </w:r>
      <w:r w:rsidR="00043B92" w:rsidRPr="000835C7">
        <w:t xml:space="preserve"> approach to the Protocol</w:t>
      </w:r>
      <w:r w:rsidR="005F7737" w:rsidRPr="000835C7">
        <w:t xml:space="preserve">, respectively, </w:t>
      </w:r>
      <w:r w:rsidR="00043B92" w:rsidRPr="000835C7">
        <w:t xml:space="preserve">and </w:t>
      </w:r>
      <w:r w:rsidR="005F7737" w:rsidRPr="000835C7">
        <w:t xml:space="preserve">on their </w:t>
      </w:r>
      <w:r w:rsidR="00043B92" w:rsidRPr="000835C7">
        <w:t>engagement with Northern Ireland stakeholders</w:t>
      </w:r>
      <w:r w:rsidR="000D2856" w:rsidRPr="000835C7">
        <w:t xml:space="preserve">.  </w:t>
      </w:r>
    </w:p>
    <w:p w14:paraId="13B71D98" w14:textId="43271D4B" w:rsidR="00511FF3" w:rsidRPr="000835C7" w:rsidRDefault="00407006" w:rsidP="00C006FD">
      <w:pPr>
        <w:pStyle w:val="ListParagraph"/>
        <w:numPr>
          <w:ilvl w:val="1"/>
          <w:numId w:val="1"/>
        </w:numPr>
      </w:pPr>
      <w:r w:rsidRPr="000835C7">
        <w:t xml:space="preserve">As noted above, the Commissions have new </w:t>
      </w:r>
      <w:r w:rsidR="00C23335" w:rsidRPr="000835C7">
        <w:t xml:space="preserve">functions to oversee the implementation of the UK Government’s commitment </w:t>
      </w:r>
      <w:r w:rsidR="00511FF3" w:rsidRPr="000835C7">
        <w:t>in Article 2 of the Protocol</w:t>
      </w:r>
      <w:r w:rsidR="00001A80" w:rsidRPr="000835C7">
        <w:t>,</w:t>
      </w:r>
      <w:r w:rsidR="00511FF3" w:rsidRPr="000835C7">
        <w:rPr>
          <w:rStyle w:val="FootnoteReference"/>
        </w:rPr>
        <w:footnoteReference w:id="9"/>
      </w:r>
      <w:r w:rsidR="00B4379B" w:rsidRPr="000835C7">
        <w:t xml:space="preserve">  </w:t>
      </w:r>
      <w:r w:rsidR="00001A80" w:rsidRPr="000835C7">
        <w:t xml:space="preserve">including a </w:t>
      </w:r>
      <w:r w:rsidR="00052D56" w:rsidRPr="000835C7">
        <w:t xml:space="preserve">power </w:t>
      </w:r>
      <w:r w:rsidR="00171D13" w:rsidRPr="000835C7">
        <w:t xml:space="preserve">to raise any matter of relevance to Article 2 </w:t>
      </w:r>
      <w:r w:rsidR="0059455A" w:rsidRPr="000835C7">
        <w:t>with the Specialised Committee.</w:t>
      </w:r>
      <w:r w:rsidR="0059455A" w:rsidRPr="000835C7">
        <w:rPr>
          <w:rStyle w:val="FootnoteReference"/>
        </w:rPr>
        <w:footnoteReference w:id="10"/>
      </w:r>
    </w:p>
    <w:p w14:paraId="4DC61322" w14:textId="0EADCF9B" w:rsidR="00605F66" w:rsidRPr="000835C7" w:rsidRDefault="00BD5642" w:rsidP="00F23B57">
      <w:pPr>
        <w:pStyle w:val="ListParagraph"/>
        <w:numPr>
          <w:ilvl w:val="1"/>
          <w:numId w:val="1"/>
        </w:numPr>
      </w:pPr>
      <w:r w:rsidRPr="000835C7">
        <w:t xml:space="preserve">The Commissions note that while </w:t>
      </w:r>
      <w:r w:rsidR="001A124D" w:rsidRPr="000835C7">
        <w:t xml:space="preserve">there </w:t>
      </w:r>
      <w:r w:rsidRPr="000835C7">
        <w:t xml:space="preserve">has been some engagement </w:t>
      </w:r>
      <w:r w:rsidR="00D50CB8" w:rsidRPr="000835C7">
        <w:t>between the UK Government and the EU</w:t>
      </w:r>
      <w:r w:rsidR="00124B37">
        <w:t xml:space="preserve"> supervisory bodies</w:t>
      </w:r>
      <w:r w:rsidR="00D50CB8" w:rsidRPr="000835C7">
        <w:t xml:space="preserve"> with civil society groups in Northern Ireland, this has </w:t>
      </w:r>
      <w:r w:rsidR="007B1119" w:rsidRPr="000835C7">
        <w:t xml:space="preserve">not been focused on engaging with equality and human rights </w:t>
      </w:r>
      <w:r w:rsidR="0070485A" w:rsidRPr="000835C7">
        <w:t>stakeholders</w:t>
      </w:r>
      <w:r w:rsidR="00486B15" w:rsidRPr="000835C7">
        <w:t xml:space="preserve"> and the processes for engagement have lacked transparency</w:t>
      </w:r>
      <w:r w:rsidR="00C75457" w:rsidRPr="000835C7">
        <w:t xml:space="preserve">. </w:t>
      </w:r>
      <w:r w:rsidR="00481BC3" w:rsidRPr="000835C7">
        <w:t>It is essential that the voice</w:t>
      </w:r>
      <w:r w:rsidR="00612912" w:rsidRPr="000835C7">
        <w:t>s</w:t>
      </w:r>
      <w:r w:rsidR="00481BC3" w:rsidRPr="000835C7">
        <w:t xml:space="preserve"> of equality and human rights</w:t>
      </w:r>
      <w:r w:rsidR="00612912" w:rsidRPr="000835C7">
        <w:t xml:space="preserve"> stakeholders are</w:t>
      </w:r>
      <w:r w:rsidR="00C34256" w:rsidRPr="000835C7">
        <w:t xml:space="preserve"> heard on Brexit related </w:t>
      </w:r>
      <w:r w:rsidR="00481BC3" w:rsidRPr="000835C7">
        <w:t xml:space="preserve">matters that impact on their human </w:t>
      </w:r>
      <w:r w:rsidR="00481BC3" w:rsidRPr="000835C7">
        <w:lastRenderedPageBreak/>
        <w:t>rights</w:t>
      </w:r>
      <w:r w:rsidR="000546CD">
        <w:t xml:space="preserve"> and equality protections</w:t>
      </w:r>
      <w:r w:rsidR="00481BC3" w:rsidRPr="000835C7">
        <w:t>, and that structures are in place to facilitate and encourage their participation in decision making on these matters.</w:t>
      </w:r>
    </w:p>
    <w:p w14:paraId="5C005B8B" w14:textId="3C7A78A2" w:rsidR="00E56BBE" w:rsidRPr="000835C7" w:rsidRDefault="00605F66" w:rsidP="00126702">
      <w:pPr>
        <w:pStyle w:val="ListParagraph"/>
        <w:numPr>
          <w:ilvl w:val="1"/>
          <w:numId w:val="1"/>
        </w:numPr>
      </w:pPr>
      <w:r w:rsidRPr="000835C7">
        <w:t xml:space="preserve">There are </w:t>
      </w:r>
      <w:proofErr w:type="gramStart"/>
      <w:r w:rsidRPr="000835C7">
        <w:t>a number of</w:t>
      </w:r>
      <w:proofErr w:type="gramEnd"/>
      <w:r w:rsidRPr="000835C7">
        <w:t xml:space="preserve"> arrangements in place to ensure regular engagement between the dedicated mechanism and the </w:t>
      </w:r>
      <w:r w:rsidR="00913BCE" w:rsidRPr="000835C7">
        <w:t>NI</w:t>
      </w:r>
      <w:r w:rsidRPr="000835C7">
        <w:t xml:space="preserve"> Office.</w:t>
      </w:r>
      <w:r w:rsidR="000B5439" w:rsidRPr="000835C7">
        <w:t xml:space="preserve"> We would </w:t>
      </w:r>
      <w:r w:rsidR="00542894" w:rsidRPr="000835C7">
        <w:t xml:space="preserve">welcome </w:t>
      </w:r>
      <w:r w:rsidR="000B5439" w:rsidRPr="000835C7">
        <w:t xml:space="preserve">the opportunity to </w:t>
      </w:r>
      <w:r w:rsidR="00542894" w:rsidRPr="000835C7">
        <w:t>have regular engag</w:t>
      </w:r>
      <w:r w:rsidR="00324952" w:rsidRPr="000835C7">
        <w:t>e</w:t>
      </w:r>
      <w:r w:rsidR="00542894" w:rsidRPr="000835C7">
        <w:t>ment</w:t>
      </w:r>
      <w:r w:rsidR="000B5439" w:rsidRPr="000835C7">
        <w:t xml:space="preserve"> with the Joint Consultative Working Group</w:t>
      </w:r>
      <w:r w:rsidR="00542894" w:rsidRPr="000835C7">
        <w:t>, on matters relating to the implementation of Article 2 of the Protocol.</w:t>
      </w:r>
    </w:p>
    <w:p w14:paraId="14D90405" w14:textId="49D182A9" w:rsidR="0070485A" w:rsidRPr="000835C7" w:rsidRDefault="00E56BBE" w:rsidP="0019753B">
      <w:pPr>
        <w:pStyle w:val="ListParagraph"/>
        <w:numPr>
          <w:ilvl w:val="1"/>
          <w:numId w:val="1"/>
        </w:numPr>
      </w:pPr>
      <w:r w:rsidRPr="000835C7">
        <w:rPr>
          <w:b/>
          <w:bCs/>
        </w:rPr>
        <w:t xml:space="preserve">The Commissions recommend that UK Government and the supervisory bodies established under the UK-EU Withdrawal Agreement and the UK-EU Trade and Cooperation Agreement establish formal structures for open, </w:t>
      </w:r>
      <w:proofErr w:type="gramStart"/>
      <w:r w:rsidRPr="000835C7">
        <w:rPr>
          <w:b/>
          <w:bCs/>
        </w:rPr>
        <w:t>transparent</w:t>
      </w:r>
      <w:proofErr w:type="gramEnd"/>
      <w:r w:rsidRPr="000835C7">
        <w:rPr>
          <w:b/>
          <w:bCs/>
        </w:rPr>
        <w:t xml:space="preserve"> and regular engagement </w:t>
      </w:r>
      <w:r w:rsidR="00001A80" w:rsidRPr="000835C7">
        <w:rPr>
          <w:b/>
          <w:bCs/>
        </w:rPr>
        <w:t xml:space="preserve">with </w:t>
      </w:r>
      <w:r w:rsidRPr="000835C7">
        <w:rPr>
          <w:b/>
          <w:bCs/>
        </w:rPr>
        <w:t>equality and human rights stakeholders in NI</w:t>
      </w:r>
      <w:r w:rsidRPr="000835C7">
        <w:t xml:space="preserve">. </w:t>
      </w:r>
    </w:p>
    <w:p w14:paraId="36424E62" w14:textId="65288F54" w:rsidR="004917DF" w:rsidRPr="000835C7" w:rsidRDefault="004917DF" w:rsidP="00040230">
      <w:pPr>
        <w:pStyle w:val="Heading2"/>
      </w:pPr>
      <w:bookmarkStart w:id="11" w:name="_Toc74584447"/>
      <w:r w:rsidRPr="000835C7">
        <w:t>Addressing the democratic deficit</w:t>
      </w:r>
      <w:bookmarkEnd w:id="11"/>
    </w:p>
    <w:p w14:paraId="1F3825AA" w14:textId="27911AAC" w:rsidR="00B819B2" w:rsidRPr="000835C7" w:rsidRDefault="004917DF" w:rsidP="00C006FD">
      <w:pPr>
        <w:pStyle w:val="ListParagraph"/>
        <w:numPr>
          <w:ilvl w:val="1"/>
          <w:numId w:val="1"/>
        </w:numPr>
      </w:pPr>
      <w:r w:rsidRPr="000835C7">
        <w:t xml:space="preserve">Question </w:t>
      </w:r>
      <w:r w:rsidR="002E49B0" w:rsidRPr="000835C7">
        <w:t>12</w:t>
      </w:r>
      <w:r w:rsidR="003E0B62" w:rsidRPr="000835C7">
        <w:t xml:space="preserve"> requests views on how to address </w:t>
      </w:r>
      <w:r w:rsidR="001C0E21" w:rsidRPr="000835C7">
        <w:t xml:space="preserve">concerns about the perceived democratic deficit at the heart of the Protocol, in view of the continued dynamic application of significant areas of EU law to </w:t>
      </w:r>
      <w:r w:rsidR="00097787" w:rsidRPr="000835C7">
        <w:t>NI</w:t>
      </w:r>
      <w:r w:rsidR="001C0E21" w:rsidRPr="000835C7">
        <w:t xml:space="preserve"> in the absence of UK participation in the EU institutions</w:t>
      </w:r>
      <w:r w:rsidR="0061533F" w:rsidRPr="000835C7">
        <w:t>.</w:t>
      </w:r>
      <w:r w:rsidR="00043B92" w:rsidRPr="000835C7">
        <w:t xml:space="preserve">  </w:t>
      </w:r>
    </w:p>
    <w:p w14:paraId="61ACB533" w14:textId="3F3ACBE0" w:rsidR="00097787" w:rsidRPr="000835C7" w:rsidRDefault="00097787" w:rsidP="00C006FD">
      <w:pPr>
        <w:pStyle w:val="ListParagraph"/>
        <w:numPr>
          <w:ilvl w:val="1"/>
          <w:numId w:val="1"/>
        </w:numPr>
      </w:pPr>
      <w:r w:rsidRPr="000835C7">
        <w:t>There is no express right to a particular form of democratic representation contained in the human rights treaties to which the UK is a signatory. Article 3 of Protocol 1 of the ECHR protects the right to free elections, which also encompasses the right to vote. The protection afforded by this right is only related to the domestic legislature.</w:t>
      </w:r>
    </w:p>
    <w:p w14:paraId="505AA88B" w14:textId="093F7E68" w:rsidR="00D10A01" w:rsidRPr="000835C7" w:rsidRDefault="00D10A01" w:rsidP="00C006FD">
      <w:pPr>
        <w:pStyle w:val="ListParagraph"/>
        <w:numPr>
          <w:ilvl w:val="1"/>
          <w:numId w:val="1"/>
        </w:numPr>
      </w:pPr>
      <w:r w:rsidRPr="000835C7">
        <w:t>Following the decision of UK in 2016 to withdraw from the EU, there has been a loss of representation in the EU institutions as the UK is no longer a</w:t>
      </w:r>
      <w:r w:rsidR="00097787" w:rsidRPr="000835C7">
        <w:t>n</w:t>
      </w:r>
      <w:r w:rsidRPr="000835C7">
        <w:t xml:space="preserve"> EU Member State. However, the UK-EU Withdrawal Agreement makes provision for a series of new mechanisms for ongoing engagement between the UK and the EU and ongoing oversight of the UK-EU Withdrawal Agreement. These new institutions include establishing a Specialised Committee on the implementation of the Protocol</w:t>
      </w:r>
      <w:r w:rsidRPr="000835C7">
        <w:rPr>
          <w:rStyle w:val="FootnoteReference"/>
        </w:rPr>
        <w:footnoteReference w:id="11"/>
      </w:r>
      <w:r w:rsidRPr="000835C7">
        <w:t xml:space="preserve"> and a Joint Consultative Working Group to facilitate the exchange of information and mutual consultation.</w:t>
      </w:r>
      <w:r w:rsidRPr="000835C7">
        <w:rPr>
          <w:rStyle w:val="FootnoteReference"/>
        </w:rPr>
        <w:footnoteReference w:id="12"/>
      </w:r>
      <w:r w:rsidRPr="000835C7">
        <w:t xml:space="preserve"> </w:t>
      </w:r>
    </w:p>
    <w:p w14:paraId="278D50B6" w14:textId="7F513E4D" w:rsidR="00097787" w:rsidRPr="000835C7" w:rsidRDefault="00D10A01" w:rsidP="00C006FD">
      <w:pPr>
        <w:pStyle w:val="ListParagraph"/>
        <w:numPr>
          <w:ilvl w:val="1"/>
          <w:numId w:val="1"/>
        </w:numPr>
      </w:pPr>
      <w:r w:rsidRPr="000835C7">
        <w:t>In addition, the Protocol also provides for the Northern Ireland Assembly to give consent periodically as regards the continuing operation of its single market and customs provisions.</w:t>
      </w:r>
      <w:r w:rsidR="00543EFE" w:rsidRPr="000835C7">
        <w:rPr>
          <w:rStyle w:val="FootnoteReference"/>
        </w:rPr>
        <w:footnoteReference w:id="13"/>
      </w:r>
    </w:p>
    <w:p w14:paraId="7699732B" w14:textId="0E899F68" w:rsidR="00D10A01" w:rsidRPr="000835C7" w:rsidRDefault="00097787" w:rsidP="00D10A01">
      <w:pPr>
        <w:pStyle w:val="ListParagraph"/>
        <w:numPr>
          <w:ilvl w:val="1"/>
          <w:numId w:val="1"/>
        </w:numPr>
      </w:pPr>
      <w:r w:rsidRPr="000835C7">
        <w:lastRenderedPageBreak/>
        <w:t>Under the UK-EU Trade and Cooperation Agreement 2020, the UK Government will establish domestic advisory groups in different configurations to discuss the implementation of the Agreement.</w:t>
      </w:r>
      <w:r w:rsidRPr="000835C7">
        <w:rPr>
          <w:rStyle w:val="FootnoteReference"/>
        </w:rPr>
        <w:footnoteReference w:id="14"/>
      </w:r>
      <w:r w:rsidRPr="000835C7">
        <w:t xml:space="preserve"> The parties will also establish a Civil Society Forum which will meet a minimum of once per year and will focus on Part 2 of the Agreement.</w:t>
      </w:r>
      <w:r w:rsidRPr="000835C7">
        <w:rPr>
          <w:rStyle w:val="FootnoteReference"/>
        </w:rPr>
        <w:footnoteReference w:id="15"/>
      </w:r>
      <w:r w:rsidRPr="000835C7">
        <w:t xml:space="preserve"> These groups will include representation of independent civil society organisations including </w:t>
      </w:r>
      <w:proofErr w:type="gramStart"/>
      <w:r w:rsidRPr="000835C7">
        <w:t>in the area of</w:t>
      </w:r>
      <w:proofErr w:type="gramEnd"/>
      <w:r w:rsidRPr="000835C7">
        <w:t xml:space="preserve"> human rights.</w:t>
      </w:r>
    </w:p>
    <w:p w14:paraId="05657671" w14:textId="6BB5C4D2" w:rsidR="00D10A01" w:rsidRPr="000835C7" w:rsidRDefault="00ED4E41" w:rsidP="00C006FD">
      <w:pPr>
        <w:pStyle w:val="ListParagraph"/>
        <w:numPr>
          <w:ilvl w:val="1"/>
          <w:numId w:val="1"/>
        </w:numPr>
      </w:pPr>
      <w:r w:rsidRPr="000835C7">
        <w:t>As set out above, s</w:t>
      </w:r>
      <w:r w:rsidR="00D10A01" w:rsidRPr="000835C7">
        <w:t>ince 1 January 2021, the Commissions have new duties and powers as the ‘dedicated mechanism’ to monitor, supervise, advise, enforce, and report on this commitment. In this role, we can raise issues directly with the Specialised Committee.</w:t>
      </w:r>
      <w:r w:rsidR="00A25082" w:rsidRPr="000835C7">
        <w:rPr>
          <w:rStyle w:val="FootnoteReference"/>
        </w:rPr>
        <w:footnoteReference w:id="16"/>
      </w:r>
    </w:p>
    <w:p w14:paraId="0381A13A" w14:textId="18FFA88B" w:rsidR="00D10A01" w:rsidRPr="000835C7" w:rsidRDefault="00D10A01" w:rsidP="00D10A01">
      <w:pPr>
        <w:pStyle w:val="ListParagraph"/>
        <w:numPr>
          <w:ilvl w:val="1"/>
          <w:numId w:val="1"/>
        </w:numPr>
      </w:pPr>
      <w:r w:rsidRPr="000835C7">
        <w:t>The Belfast (Good Friday) Agreement has been exposed to risks pursuant to the withdrawal of the UK from the EU.  The UK Government has recognised that human rights and equality protections are essential to the continued peace and stability in NI. To that end, there should be a renewed focus on the full implementation of the Belfast (Good Friday) Agreement, including in relation to social inclusion and community development.</w:t>
      </w:r>
    </w:p>
    <w:p w14:paraId="28D43725" w14:textId="22136C19" w:rsidR="002334A6" w:rsidRPr="000835C7" w:rsidRDefault="00D10A01" w:rsidP="00040230">
      <w:pPr>
        <w:pStyle w:val="ListParagraph"/>
        <w:numPr>
          <w:ilvl w:val="1"/>
          <w:numId w:val="1"/>
        </w:numPr>
        <w:rPr>
          <w:b/>
          <w:bCs/>
        </w:rPr>
      </w:pPr>
      <w:r w:rsidRPr="000835C7">
        <w:rPr>
          <w:b/>
          <w:bCs/>
        </w:rPr>
        <w:t>The Commissions recommend that the</w:t>
      </w:r>
      <w:r w:rsidR="007E702B">
        <w:rPr>
          <w:b/>
          <w:bCs/>
        </w:rPr>
        <w:t xml:space="preserve"> Committee urge the</w:t>
      </w:r>
      <w:r w:rsidRPr="000835C7">
        <w:rPr>
          <w:b/>
          <w:bCs/>
        </w:rPr>
        <w:t xml:space="preserve"> UK Government engage in a public awareness raising exercise </w:t>
      </w:r>
      <w:r w:rsidR="00D22882" w:rsidRPr="000835C7">
        <w:rPr>
          <w:b/>
          <w:bCs/>
        </w:rPr>
        <w:t>outlining the roles</w:t>
      </w:r>
      <w:r w:rsidR="00D649D0" w:rsidRPr="000835C7">
        <w:rPr>
          <w:b/>
          <w:bCs/>
        </w:rPr>
        <w:t xml:space="preserve"> and remit</w:t>
      </w:r>
      <w:r w:rsidR="00D22882" w:rsidRPr="000835C7">
        <w:rPr>
          <w:b/>
          <w:bCs/>
        </w:rPr>
        <w:t xml:space="preserve"> of the </w:t>
      </w:r>
      <w:r w:rsidRPr="000835C7">
        <w:rPr>
          <w:b/>
          <w:bCs/>
        </w:rPr>
        <w:t xml:space="preserve">various UK-EU oversight bodies of the UK-EU Withdrawal Agreement and the UK-EU Trade and Cooperation Agreement and </w:t>
      </w:r>
      <w:r w:rsidR="00D22882" w:rsidRPr="000835C7">
        <w:rPr>
          <w:b/>
          <w:bCs/>
        </w:rPr>
        <w:t xml:space="preserve">which </w:t>
      </w:r>
      <w:r w:rsidRPr="000835C7">
        <w:rPr>
          <w:b/>
          <w:bCs/>
        </w:rPr>
        <w:t>clarif</w:t>
      </w:r>
      <w:r w:rsidR="00D22882" w:rsidRPr="000835C7">
        <w:rPr>
          <w:b/>
          <w:bCs/>
        </w:rPr>
        <w:t>ies</w:t>
      </w:r>
      <w:r w:rsidRPr="000835C7">
        <w:rPr>
          <w:b/>
          <w:bCs/>
        </w:rPr>
        <w:t xml:space="preserve"> the role of the NI Executive </w:t>
      </w:r>
      <w:r w:rsidR="005A61B1" w:rsidRPr="000835C7">
        <w:rPr>
          <w:b/>
          <w:bCs/>
        </w:rPr>
        <w:t xml:space="preserve">input in relation to </w:t>
      </w:r>
      <w:r w:rsidRPr="000835C7">
        <w:rPr>
          <w:b/>
          <w:bCs/>
        </w:rPr>
        <w:t>each of these bodies.</w:t>
      </w:r>
      <w:r w:rsidR="00D649D0" w:rsidRPr="000835C7">
        <w:rPr>
          <w:b/>
          <w:bCs/>
        </w:rPr>
        <w:t xml:space="preserve"> </w:t>
      </w:r>
    </w:p>
    <w:p w14:paraId="11006A97" w14:textId="77777777" w:rsidR="002334A6" w:rsidRPr="000835C7" w:rsidRDefault="002334A6" w:rsidP="00040230">
      <w:pPr>
        <w:ind w:left="720"/>
      </w:pPr>
    </w:p>
    <w:p w14:paraId="6753A4F8" w14:textId="77777777" w:rsidR="00D81813" w:rsidRPr="000835C7" w:rsidRDefault="00D81813" w:rsidP="00481BC3">
      <w:pPr>
        <w:spacing w:line="240" w:lineRule="auto"/>
      </w:pPr>
    </w:p>
    <w:p w14:paraId="265C7430" w14:textId="77777777" w:rsidR="00D81813" w:rsidRPr="000835C7" w:rsidRDefault="00D81813">
      <w:pPr>
        <w:spacing w:line="240" w:lineRule="auto"/>
      </w:pPr>
      <w:r w:rsidRPr="000835C7">
        <w:br w:type="page"/>
      </w:r>
    </w:p>
    <w:p w14:paraId="38C961A4" w14:textId="1006C77C" w:rsidR="00D81813" w:rsidRPr="000835C7" w:rsidRDefault="003E37A7" w:rsidP="0088076A">
      <w:pPr>
        <w:pStyle w:val="Heading1"/>
      </w:pPr>
      <w:bookmarkStart w:id="12" w:name="_Toc74584448"/>
      <w:r w:rsidRPr="000835C7">
        <w:lastRenderedPageBreak/>
        <w:t>Appendix</w:t>
      </w:r>
      <w:r w:rsidR="00D81813" w:rsidRPr="000835C7">
        <w:t xml:space="preserve"> 1</w:t>
      </w:r>
      <w:bookmarkStart w:id="13" w:name="_Toc73542301"/>
      <w:bookmarkStart w:id="14" w:name="_Toc73543621"/>
      <w:bookmarkStart w:id="15" w:name="_Toc73602204"/>
      <w:bookmarkStart w:id="16" w:name="_Toc73610427"/>
      <w:bookmarkStart w:id="17" w:name="_Toc73611818"/>
      <w:bookmarkStart w:id="18" w:name="_Toc73611876"/>
      <w:bookmarkStart w:id="19" w:name="_Toc73706538"/>
      <w:bookmarkStart w:id="20" w:name="_Toc73708242"/>
      <w:bookmarkStart w:id="21" w:name="_Toc73708466"/>
      <w:bookmarkStart w:id="22" w:name="_Toc74319732"/>
      <w:bookmarkEnd w:id="12"/>
      <w:bookmarkEnd w:id="13"/>
      <w:bookmarkEnd w:id="14"/>
      <w:bookmarkEnd w:id="15"/>
      <w:bookmarkEnd w:id="16"/>
      <w:bookmarkEnd w:id="17"/>
      <w:bookmarkEnd w:id="18"/>
      <w:bookmarkEnd w:id="19"/>
      <w:bookmarkEnd w:id="20"/>
      <w:bookmarkEnd w:id="21"/>
      <w:bookmarkEnd w:id="22"/>
    </w:p>
    <w:p w14:paraId="610EF6C5" w14:textId="77777777" w:rsidR="0088076A" w:rsidRPr="000835C7" w:rsidRDefault="0088076A" w:rsidP="0088076A">
      <w:pPr>
        <w:pStyle w:val="ListParagraph"/>
        <w:numPr>
          <w:ilvl w:val="0"/>
          <w:numId w:val="2"/>
        </w:numPr>
        <w:rPr>
          <w:vanish/>
        </w:rPr>
      </w:pPr>
    </w:p>
    <w:p w14:paraId="12A3DAA8" w14:textId="77777777" w:rsidR="0088076A" w:rsidRPr="000835C7" w:rsidRDefault="0088076A" w:rsidP="0088076A">
      <w:pPr>
        <w:pStyle w:val="ListParagraph"/>
        <w:numPr>
          <w:ilvl w:val="0"/>
          <w:numId w:val="2"/>
        </w:numPr>
        <w:rPr>
          <w:vanish/>
        </w:rPr>
      </w:pPr>
    </w:p>
    <w:p w14:paraId="597582FB" w14:textId="77777777" w:rsidR="0088076A" w:rsidRPr="000835C7" w:rsidRDefault="0088076A" w:rsidP="0088076A">
      <w:pPr>
        <w:pStyle w:val="ListParagraph"/>
        <w:numPr>
          <w:ilvl w:val="0"/>
          <w:numId w:val="2"/>
        </w:numPr>
        <w:rPr>
          <w:vanish/>
        </w:rPr>
      </w:pPr>
    </w:p>
    <w:p w14:paraId="78D9675D" w14:textId="77777777" w:rsidR="0088076A" w:rsidRPr="000835C7" w:rsidRDefault="0088076A" w:rsidP="0088076A">
      <w:pPr>
        <w:pStyle w:val="ListParagraph"/>
        <w:numPr>
          <w:ilvl w:val="0"/>
          <w:numId w:val="2"/>
        </w:numPr>
        <w:rPr>
          <w:vanish/>
        </w:rPr>
      </w:pPr>
    </w:p>
    <w:p w14:paraId="2D4CCF06" w14:textId="77777777" w:rsidR="0088076A" w:rsidRPr="000835C7" w:rsidRDefault="0088076A" w:rsidP="0088076A">
      <w:pPr>
        <w:pStyle w:val="ListParagraph"/>
        <w:numPr>
          <w:ilvl w:val="0"/>
          <w:numId w:val="2"/>
        </w:numPr>
        <w:rPr>
          <w:vanish/>
        </w:rPr>
      </w:pPr>
    </w:p>
    <w:p w14:paraId="71D3C6CD" w14:textId="5B51527E" w:rsidR="00E94A51" w:rsidRPr="000835C7" w:rsidRDefault="00E94A51" w:rsidP="004E5F47">
      <w:r w:rsidRPr="000835C7">
        <w:t>The rights, safeguards and equality of opportunity provisions set out in the relevant chapter of the Belfast (Good Friday) Agreement include the following:</w:t>
      </w:r>
    </w:p>
    <w:p w14:paraId="647E9CEF" w14:textId="77777777" w:rsidR="00E94A51" w:rsidRPr="000835C7" w:rsidRDefault="00E94A51" w:rsidP="00922D5B">
      <w:pPr>
        <w:pStyle w:val="bullet"/>
      </w:pPr>
      <w:r w:rsidRPr="000835C7">
        <w:t xml:space="preserve">the right to freedom and expression of </w:t>
      </w:r>
      <w:proofErr w:type="gramStart"/>
      <w:r w:rsidRPr="000835C7">
        <w:t>religion;</w:t>
      </w:r>
      <w:proofErr w:type="gramEnd"/>
    </w:p>
    <w:p w14:paraId="68575D68" w14:textId="77777777" w:rsidR="00E94A51" w:rsidRPr="000835C7" w:rsidRDefault="00E94A51" w:rsidP="00922D5B">
      <w:pPr>
        <w:pStyle w:val="bullet"/>
      </w:pPr>
      <w:r w:rsidRPr="000835C7">
        <w:t xml:space="preserve">the right to pursue democratically national and political </w:t>
      </w:r>
      <w:proofErr w:type="gramStart"/>
      <w:r w:rsidRPr="000835C7">
        <w:t>aspirations;</w:t>
      </w:r>
      <w:proofErr w:type="gramEnd"/>
    </w:p>
    <w:p w14:paraId="7CFA5482" w14:textId="59C8BF1C" w:rsidR="00E94A51" w:rsidRPr="000835C7" w:rsidRDefault="00E94A51" w:rsidP="00922D5B">
      <w:pPr>
        <w:pStyle w:val="bullet"/>
      </w:pPr>
      <w:r w:rsidRPr="000835C7">
        <w:t>the right to seek constitutional change by peaceful and legitimate</w:t>
      </w:r>
      <w:r w:rsidR="00270F76">
        <w:t xml:space="preserve"> </w:t>
      </w:r>
      <w:proofErr w:type="gramStart"/>
      <w:r w:rsidRPr="000835C7">
        <w:t>means;</w:t>
      </w:r>
      <w:proofErr w:type="gramEnd"/>
    </w:p>
    <w:p w14:paraId="2A88EF3F" w14:textId="77777777" w:rsidR="00E94A51" w:rsidRPr="000835C7" w:rsidRDefault="00E94A51" w:rsidP="00922D5B">
      <w:pPr>
        <w:pStyle w:val="bullet"/>
      </w:pPr>
      <w:r w:rsidRPr="000835C7">
        <w:t xml:space="preserve">the right to freely choose one’s place of </w:t>
      </w:r>
      <w:proofErr w:type="gramStart"/>
      <w:r w:rsidRPr="000835C7">
        <w:t>residence;</w:t>
      </w:r>
      <w:proofErr w:type="gramEnd"/>
    </w:p>
    <w:p w14:paraId="0DA4D7BB" w14:textId="266E02DC" w:rsidR="00E94A51" w:rsidRPr="000835C7" w:rsidRDefault="00E94A51" w:rsidP="00922D5B">
      <w:pPr>
        <w:pStyle w:val="bullet"/>
      </w:pPr>
      <w:r w:rsidRPr="000835C7">
        <w:t>the right to equal opportunity in all social and economic activity,</w:t>
      </w:r>
      <w:r w:rsidR="00270F76">
        <w:t xml:space="preserve"> </w:t>
      </w:r>
      <w:r w:rsidRPr="000835C7">
        <w:t xml:space="preserve">regardless of class, creed, disability, gender or </w:t>
      </w:r>
      <w:proofErr w:type="gramStart"/>
      <w:r w:rsidRPr="000835C7">
        <w:t>ethnicity;</w:t>
      </w:r>
      <w:proofErr w:type="gramEnd"/>
    </w:p>
    <w:p w14:paraId="07F4E6D8" w14:textId="77777777" w:rsidR="00E94A51" w:rsidRPr="000835C7" w:rsidRDefault="00E94A51" w:rsidP="00922D5B">
      <w:pPr>
        <w:pStyle w:val="bullet"/>
      </w:pPr>
      <w:r w:rsidRPr="000835C7">
        <w:t xml:space="preserve">the right to freedom from sectarian </w:t>
      </w:r>
      <w:proofErr w:type="gramStart"/>
      <w:r w:rsidRPr="000835C7">
        <w:t>harassment;</w:t>
      </w:r>
      <w:proofErr w:type="gramEnd"/>
    </w:p>
    <w:p w14:paraId="5948B200" w14:textId="77777777" w:rsidR="00E94A51" w:rsidRPr="000835C7" w:rsidRDefault="00E94A51" w:rsidP="00922D5B">
      <w:pPr>
        <w:pStyle w:val="bullet"/>
      </w:pPr>
      <w:r w:rsidRPr="000835C7">
        <w:t xml:space="preserve">the right of women to full and equal political </w:t>
      </w:r>
      <w:proofErr w:type="gramStart"/>
      <w:r w:rsidRPr="000835C7">
        <w:t>participation;</w:t>
      </w:r>
      <w:proofErr w:type="gramEnd"/>
    </w:p>
    <w:p w14:paraId="54E1996B" w14:textId="77777777" w:rsidR="00E94A51" w:rsidRPr="000835C7" w:rsidRDefault="00E94A51" w:rsidP="00922D5B">
      <w:pPr>
        <w:pStyle w:val="bullet"/>
      </w:pPr>
      <w:r w:rsidRPr="000835C7">
        <w:rPr>
          <w:rFonts w:eastAsia="ArialMT"/>
        </w:rPr>
        <w:t xml:space="preserve">the right of victims to remember as well as to contribute to a changed </w:t>
      </w:r>
      <w:proofErr w:type="gramStart"/>
      <w:r w:rsidRPr="000835C7">
        <w:rPr>
          <w:rFonts w:eastAsia="ArialMT"/>
        </w:rPr>
        <w:t>society;</w:t>
      </w:r>
      <w:proofErr w:type="gramEnd"/>
    </w:p>
    <w:p w14:paraId="6DC77B87" w14:textId="77777777" w:rsidR="00E94A51" w:rsidRPr="000835C7" w:rsidRDefault="00E94A51" w:rsidP="00922D5B">
      <w:pPr>
        <w:pStyle w:val="bullet"/>
      </w:pPr>
      <w:r w:rsidRPr="000835C7">
        <w:rPr>
          <w:rFonts w:eastAsia="ArialMT"/>
        </w:rPr>
        <w:t>respect, understanding and tolerance in relation to linguistic diversity; and</w:t>
      </w:r>
    </w:p>
    <w:p w14:paraId="18DAEC32" w14:textId="77777777" w:rsidR="00E94A51" w:rsidRPr="000835C7" w:rsidRDefault="00E94A51" w:rsidP="00922D5B">
      <w:pPr>
        <w:pStyle w:val="bullet"/>
      </w:pPr>
      <w:r w:rsidRPr="000835C7">
        <w:rPr>
          <w:rFonts w:eastAsia="ArialMT"/>
        </w:rPr>
        <w:t>the need to ensure that symbols and emblems are used in a manner which promotes mutual respect rather than division</w:t>
      </w:r>
      <w:r w:rsidRPr="000835C7">
        <w:t>.</w:t>
      </w:r>
      <w:r w:rsidRPr="000835C7">
        <w:rPr>
          <w:rStyle w:val="FootnoteReference"/>
        </w:rPr>
        <w:footnoteReference w:id="17"/>
      </w:r>
      <w:r w:rsidRPr="000835C7">
        <w:t xml:space="preserve"> </w:t>
      </w:r>
    </w:p>
    <w:p w14:paraId="58294FA6" w14:textId="77777777" w:rsidR="00D81813" w:rsidRPr="000835C7" w:rsidRDefault="00D81813" w:rsidP="00A426D8"/>
    <w:p w14:paraId="2685A35E" w14:textId="36D73C94" w:rsidR="00D81813" w:rsidRPr="000835C7" w:rsidRDefault="00D81813" w:rsidP="00420BF4">
      <w:pPr>
        <w:spacing w:line="276" w:lineRule="auto"/>
      </w:pPr>
      <w:r w:rsidRPr="000835C7">
        <w:t>Annex 1 of the Protocol, sets out six EU equality Directives:</w:t>
      </w:r>
    </w:p>
    <w:p w14:paraId="6FD90A96" w14:textId="77777777" w:rsidR="00D81813" w:rsidRPr="000835C7" w:rsidRDefault="00D81813" w:rsidP="00922D5B">
      <w:pPr>
        <w:pStyle w:val="bullet"/>
      </w:pPr>
      <w:r w:rsidRPr="000835C7">
        <w:t>Gender Goods and Services Directive;</w:t>
      </w:r>
      <w:r w:rsidRPr="000835C7">
        <w:rPr>
          <w:rStyle w:val="FootnoteReference"/>
        </w:rPr>
        <w:footnoteReference w:id="18"/>
      </w:r>
      <w:r w:rsidRPr="000835C7">
        <w:t xml:space="preserve"> </w:t>
      </w:r>
    </w:p>
    <w:p w14:paraId="74781A98" w14:textId="77777777" w:rsidR="00D81813" w:rsidRPr="000835C7" w:rsidRDefault="00D81813" w:rsidP="00922D5B">
      <w:pPr>
        <w:pStyle w:val="bullet"/>
      </w:pPr>
      <w:r w:rsidRPr="000835C7">
        <w:t>Equal Treatment Directive;</w:t>
      </w:r>
      <w:r w:rsidRPr="000835C7">
        <w:rPr>
          <w:rStyle w:val="FootnoteReference"/>
        </w:rPr>
        <w:footnoteReference w:id="19"/>
      </w:r>
    </w:p>
    <w:p w14:paraId="3EA12E08" w14:textId="77777777" w:rsidR="00D81813" w:rsidRPr="000835C7" w:rsidRDefault="00D81813" w:rsidP="00922D5B">
      <w:pPr>
        <w:pStyle w:val="bullet"/>
      </w:pPr>
      <w:r w:rsidRPr="000835C7">
        <w:t>Racial Equality Directive;</w:t>
      </w:r>
      <w:r w:rsidRPr="000835C7">
        <w:rPr>
          <w:rStyle w:val="FootnoteReference"/>
        </w:rPr>
        <w:footnoteReference w:id="20"/>
      </w:r>
      <w:r w:rsidRPr="000835C7">
        <w:t xml:space="preserve"> </w:t>
      </w:r>
    </w:p>
    <w:p w14:paraId="486FC9A3" w14:textId="77777777" w:rsidR="00D81813" w:rsidRPr="000835C7" w:rsidRDefault="00D81813" w:rsidP="00922D5B">
      <w:pPr>
        <w:pStyle w:val="bullet"/>
      </w:pPr>
      <w:r w:rsidRPr="000835C7">
        <w:t>Equality Framework Directive;</w:t>
      </w:r>
      <w:r w:rsidRPr="000835C7">
        <w:rPr>
          <w:rStyle w:val="FootnoteReference"/>
        </w:rPr>
        <w:footnoteReference w:id="21"/>
      </w:r>
      <w:r w:rsidRPr="000835C7">
        <w:t xml:space="preserve"> </w:t>
      </w:r>
    </w:p>
    <w:p w14:paraId="03975F2A" w14:textId="77777777" w:rsidR="00D81813" w:rsidRPr="000835C7" w:rsidRDefault="00D81813" w:rsidP="00922D5B">
      <w:pPr>
        <w:pStyle w:val="bullet"/>
      </w:pPr>
      <w:r w:rsidRPr="000835C7">
        <w:t>Self-Employment Equal Treatment Directive;</w:t>
      </w:r>
      <w:r w:rsidRPr="000835C7">
        <w:rPr>
          <w:rStyle w:val="FootnoteReference"/>
        </w:rPr>
        <w:footnoteReference w:id="22"/>
      </w:r>
      <w:r w:rsidRPr="000835C7">
        <w:t xml:space="preserve"> and </w:t>
      </w:r>
    </w:p>
    <w:p w14:paraId="612A85C7" w14:textId="77777777" w:rsidR="00D81813" w:rsidRPr="000835C7" w:rsidRDefault="00D81813" w:rsidP="00922D5B">
      <w:pPr>
        <w:pStyle w:val="bullet"/>
      </w:pPr>
      <w:r w:rsidRPr="000835C7">
        <w:t>Equal Treatment in Social Security Directive.</w:t>
      </w:r>
      <w:r w:rsidRPr="000835C7">
        <w:rPr>
          <w:rStyle w:val="FootnoteReference"/>
        </w:rPr>
        <w:footnoteReference w:id="23"/>
      </w:r>
      <w:r w:rsidRPr="000835C7">
        <w:t xml:space="preserve"> </w:t>
      </w:r>
    </w:p>
    <w:p w14:paraId="375B13FC" w14:textId="77777777" w:rsidR="00D81813" w:rsidRPr="000835C7" w:rsidRDefault="00D81813" w:rsidP="00D81813">
      <w:pPr>
        <w:spacing w:line="276" w:lineRule="auto"/>
        <w:ind w:left="1069"/>
      </w:pPr>
    </w:p>
    <w:p w14:paraId="0C9D0504" w14:textId="5270AA59" w:rsidR="003E37A7" w:rsidRPr="000835C7" w:rsidRDefault="00391D74" w:rsidP="00391D74">
      <w:pPr>
        <w:spacing w:after="120"/>
        <w:rPr>
          <w:rFonts w:eastAsia="Times New Roman" w:cs="Arial"/>
        </w:rPr>
      </w:pPr>
      <w:r w:rsidRPr="000835C7">
        <w:t xml:space="preserve">The </w:t>
      </w:r>
      <w:r w:rsidR="003E37A7" w:rsidRPr="000835C7">
        <w:t xml:space="preserve">Commissions’ new powers and duties, which they can exercise </w:t>
      </w:r>
      <w:r w:rsidR="003E37A7" w:rsidRPr="000835C7">
        <w:rPr>
          <w:rFonts w:eastAsia="Times New Roman" w:cs="Arial"/>
        </w:rPr>
        <w:t xml:space="preserve">either jointly or separately, </w:t>
      </w:r>
      <w:r w:rsidR="003E37A7" w:rsidRPr="000835C7">
        <w:t>include:</w:t>
      </w:r>
    </w:p>
    <w:p w14:paraId="7ED62412" w14:textId="77777777" w:rsidR="003E37A7" w:rsidRPr="000835C7" w:rsidRDefault="003E37A7" w:rsidP="00922D5B">
      <w:pPr>
        <w:pStyle w:val="bullet"/>
      </w:pPr>
      <w:r w:rsidRPr="000835C7">
        <w:lastRenderedPageBreak/>
        <w:t xml:space="preserve">monitoring how the commitment is </w:t>
      </w:r>
      <w:proofErr w:type="gramStart"/>
      <w:r w:rsidRPr="000835C7">
        <w:t>implemented;</w:t>
      </w:r>
      <w:proofErr w:type="gramEnd"/>
    </w:p>
    <w:p w14:paraId="7832BA86" w14:textId="77777777" w:rsidR="003E37A7" w:rsidRPr="000835C7" w:rsidRDefault="003E37A7" w:rsidP="00922D5B">
      <w:pPr>
        <w:pStyle w:val="bullet"/>
      </w:pPr>
      <w:r w:rsidRPr="000835C7">
        <w:t xml:space="preserve">reporting on its implementation to the Secretary State for Northern Ireland and The Executive </w:t>
      </w:r>
      <w:proofErr w:type="gramStart"/>
      <w:r w:rsidRPr="000835C7">
        <w:t>Office;</w:t>
      </w:r>
      <w:proofErr w:type="gramEnd"/>
    </w:p>
    <w:p w14:paraId="4D2AADC6" w14:textId="77777777" w:rsidR="003E37A7" w:rsidRPr="000835C7" w:rsidRDefault="003E37A7" w:rsidP="00922D5B">
      <w:pPr>
        <w:pStyle w:val="bullet"/>
      </w:pPr>
      <w:r w:rsidRPr="000835C7">
        <w:t xml:space="preserve">advising the Secretary of State and the Northern Ireland Assembly Executive Committee of legislative and other measures that must be taken to implement the </w:t>
      </w:r>
      <w:proofErr w:type="gramStart"/>
      <w:r w:rsidRPr="000835C7">
        <w:t>commitment;</w:t>
      </w:r>
      <w:proofErr w:type="gramEnd"/>
    </w:p>
    <w:p w14:paraId="795971F2" w14:textId="77777777" w:rsidR="003E37A7" w:rsidRPr="000835C7" w:rsidRDefault="003E37A7" w:rsidP="00922D5B">
      <w:pPr>
        <w:pStyle w:val="bullet"/>
      </w:pPr>
      <w:r w:rsidRPr="000835C7">
        <w:t xml:space="preserve">advising the Northern Ireland Assembly (or a committee of the Assembly) whether a Bill is compatible with the </w:t>
      </w:r>
      <w:proofErr w:type="gramStart"/>
      <w:r w:rsidRPr="000835C7">
        <w:t>commitment;</w:t>
      </w:r>
      <w:proofErr w:type="gramEnd"/>
    </w:p>
    <w:p w14:paraId="77755C21" w14:textId="77777777" w:rsidR="003E37A7" w:rsidRPr="000835C7" w:rsidRDefault="003E37A7" w:rsidP="00922D5B">
      <w:pPr>
        <w:pStyle w:val="bullet"/>
      </w:pPr>
      <w:r w:rsidRPr="000835C7">
        <w:t xml:space="preserve">promoting understanding and awareness of how important the commitment </w:t>
      </w:r>
      <w:proofErr w:type="gramStart"/>
      <w:r w:rsidRPr="000835C7">
        <w:t>is;</w:t>
      </w:r>
      <w:proofErr w:type="gramEnd"/>
    </w:p>
    <w:p w14:paraId="6C5C4AB5" w14:textId="77777777" w:rsidR="003E37A7" w:rsidRPr="000835C7" w:rsidRDefault="003E37A7" w:rsidP="00922D5B">
      <w:pPr>
        <w:pStyle w:val="bullet"/>
      </w:pPr>
      <w:r w:rsidRPr="000835C7">
        <w:t>bringing or intervening in legal proceedings in respect of an alleged breach (or potential future breach of the commitment); and</w:t>
      </w:r>
    </w:p>
    <w:p w14:paraId="560D52AB" w14:textId="4123D8EC" w:rsidR="00D81813" w:rsidRPr="000835C7" w:rsidRDefault="003E37A7" w:rsidP="00922D5B">
      <w:pPr>
        <w:pStyle w:val="bullet"/>
      </w:pPr>
      <w:r w:rsidRPr="000835C7">
        <w:t>assisting persons in relevant legal proceedings.</w:t>
      </w:r>
    </w:p>
    <w:p w14:paraId="3AE2B844" w14:textId="5A0DAE97" w:rsidR="00E94A51" w:rsidRPr="000835C7" w:rsidRDefault="00E94A51" w:rsidP="00E94A51">
      <w:pPr>
        <w:spacing w:line="276" w:lineRule="auto"/>
      </w:pPr>
    </w:p>
    <w:p w14:paraId="00926F6A" w14:textId="0BABC496" w:rsidR="00DC18E5" w:rsidRPr="000835C7" w:rsidRDefault="00DC18E5" w:rsidP="00B01800">
      <w:pPr>
        <w:spacing w:line="240" w:lineRule="auto"/>
      </w:pPr>
    </w:p>
    <w:p w14:paraId="0CC8F4FA" w14:textId="77777777" w:rsidR="00DC18E5" w:rsidRPr="000835C7" w:rsidRDefault="00DC18E5" w:rsidP="004E5F47"/>
    <w:p w14:paraId="134A7D7D" w14:textId="77777777" w:rsidR="00DC18E5" w:rsidRPr="000835C7" w:rsidRDefault="00DC18E5" w:rsidP="00DC18E5"/>
    <w:p w14:paraId="6EA7F46B" w14:textId="6BD181C0" w:rsidR="009900D0" w:rsidRPr="000835C7" w:rsidRDefault="009900D0">
      <w:pPr>
        <w:spacing w:line="240" w:lineRule="auto"/>
      </w:pPr>
      <w:r w:rsidRPr="000835C7">
        <w:br w:type="page"/>
      </w:r>
    </w:p>
    <w:p w14:paraId="5F6BA0C7" w14:textId="77777777" w:rsidR="00C81645" w:rsidRPr="000835C7" w:rsidRDefault="00C81645" w:rsidP="004C392A">
      <w:pPr>
        <w:spacing w:line="276" w:lineRule="auto"/>
      </w:pPr>
    </w:p>
    <w:p w14:paraId="2F22D89A" w14:textId="66DC555F" w:rsidR="00C81645" w:rsidRPr="000835C7" w:rsidRDefault="00C81645" w:rsidP="004C392A">
      <w:pPr>
        <w:spacing w:line="276" w:lineRule="auto"/>
      </w:pPr>
    </w:p>
    <w:p w14:paraId="2DC41E04" w14:textId="2B739EA8" w:rsidR="00C81645" w:rsidRPr="000835C7" w:rsidRDefault="00C81645" w:rsidP="004C392A">
      <w:pPr>
        <w:spacing w:line="276" w:lineRule="auto"/>
      </w:pPr>
    </w:p>
    <w:p w14:paraId="0D9A6ED2" w14:textId="789A3551" w:rsidR="008E7F01" w:rsidRPr="000835C7" w:rsidRDefault="008E7F01" w:rsidP="004C392A">
      <w:pPr>
        <w:spacing w:line="276" w:lineRule="auto"/>
      </w:pPr>
    </w:p>
    <w:p w14:paraId="4EFC6C1F" w14:textId="44CCB94D" w:rsidR="008E7F01" w:rsidRPr="000835C7" w:rsidRDefault="008E7F01" w:rsidP="004C392A">
      <w:pPr>
        <w:spacing w:line="276" w:lineRule="auto"/>
      </w:pPr>
    </w:p>
    <w:p w14:paraId="7CEDA938" w14:textId="4481B8E9" w:rsidR="008E7F01" w:rsidRPr="000835C7" w:rsidRDefault="008E7F01" w:rsidP="004C392A">
      <w:pPr>
        <w:spacing w:line="276" w:lineRule="auto"/>
      </w:pPr>
    </w:p>
    <w:p w14:paraId="3F9FAE51" w14:textId="77777777" w:rsidR="008E7F01" w:rsidRPr="000835C7" w:rsidRDefault="008E7F01" w:rsidP="004C392A">
      <w:pPr>
        <w:spacing w:line="276" w:lineRule="auto"/>
      </w:pPr>
    </w:p>
    <w:p w14:paraId="0662A420" w14:textId="113F08FD" w:rsidR="00C81645" w:rsidRPr="000835C7" w:rsidRDefault="00C81645" w:rsidP="004C392A">
      <w:pPr>
        <w:spacing w:line="276" w:lineRule="auto"/>
      </w:pPr>
    </w:p>
    <w:p w14:paraId="3A488F94" w14:textId="0CB8E70D" w:rsidR="00C81645" w:rsidRPr="000835C7" w:rsidRDefault="00C81645" w:rsidP="004C392A">
      <w:pPr>
        <w:spacing w:line="276" w:lineRule="auto"/>
      </w:pPr>
    </w:p>
    <w:p w14:paraId="2C849FBC" w14:textId="77777777" w:rsidR="00C81645" w:rsidRPr="000835C7" w:rsidRDefault="00C81645" w:rsidP="004C392A">
      <w:pPr>
        <w:spacing w:line="276" w:lineRule="auto"/>
      </w:pPr>
    </w:p>
    <w:p w14:paraId="4B8701DD" w14:textId="77777777" w:rsidR="00EE254E" w:rsidRPr="000835C7" w:rsidRDefault="00EE254E" w:rsidP="004C392A">
      <w:pPr>
        <w:spacing w:line="276" w:lineRule="auto"/>
      </w:pPr>
    </w:p>
    <w:p w14:paraId="155F47A4" w14:textId="77777777" w:rsidR="00EE254E" w:rsidRPr="000835C7" w:rsidRDefault="00EE254E" w:rsidP="004C392A">
      <w:pPr>
        <w:pStyle w:val="BasicParagraph"/>
        <w:suppressAutoHyphens/>
        <w:spacing w:line="276" w:lineRule="auto"/>
        <w:jc w:val="center"/>
        <w:rPr>
          <w:rFonts w:ascii="Verdana" w:hAnsi="Verdana" w:cs="Arial"/>
          <w:b/>
          <w:bCs/>
          <w:color w:val="77328A"/>
          <w:sz w:val="44"/>
          <w:szCs w:val="44"/>
        </w:rPr>
      </w:pPr>
      <w:r w:rsidRPr="000835C7">
        <w:rPr>
          <w:rFonts w:ascii="Verdana" w:hAnsi="Verdana" w:cs="Arial"/>
          <w:b/>
          <w:bCs/>
          <w:color w:val="77328A"/>
          <w:sz w:val="44"/>
          <w:szCs w:val="44"/>
        </w:rPr>
        <w:t xml:space="preserve">Contact Us </w:t>
      </w:r>
    </w:p>
    <w:p w14:paraId="034C1594" w14:textId="77777777" w:rsidR="00EE254E" w:rsidRPr="000835C7" w:rsidRDefault="00EE254E" w:rsidP="004C392A">
      <w:pPr>
        <w:pStyle w:val="BasicParagraph"/>
        <w:suppressAutoHyphens/>
        <w:spacing w:line="276" w:lineRule="auto"/>
        <w:jc w:val="center"/>
        <w:rPr>
          <w:rFonts w:ascii="Verdana" w:hAnsi="Verdana" w:cs="Arial"/>
          <w:b/>
          <w:bCs/>
          <w:color w:val="77328A"/>
        </w:rPr>
      </w:pPr>
    </w:p>
    <w:p w14:paraId="18E48EAF" w14:textId="77777777" w:rsidR="00EE254E" w:rsidRPr="000835C7" w:rsidRDefault="00EE254E" w:rsidP="004C392A">
      <w:pPr>
        <w:pStyle w:val="BasicParagraph"/>
        <w:suppressAutoHyphens/>
        <w:spacing w:line="276" w:lineRule="auto"/>
        <w:jc w:val="center"/>
        <w:rPr>
          <w:rFonts w:ascii="Verdana" w:hAnsi="Verdana" w:cs="Arial"/>
          <w:b/>
          <w:bCs/>
          <w:color w:val="auto"/>
        </w:rPr>
      </w:pPr>
      <w:r w:rsidRPr="000835C7">
        <w:rPr>
          <w:rFonts w:ascii="Verdana" w:hAnsi="Verdana" w:cs="Arial"/>
          <w:b/>
          <w:bCs/>
          <w:color w:val="auto"/>
        </w:rPr>
        <w:t xml:space="preserve">For queries, please contact: </w:t>
      </w:r>
    </w:p>
    <w:p w14:paraId="134280BC" w14:textId="77777777" w:rsidR="00EE254E" w:rsidRPr="000835C7" w:rsidRDefault="00E15E4E" w:rsidP="004C392A">
      <w:pPr>
        <w:pStyle w:val="BasicParagraph"/>
        <w:suppressAutoHyphens/>
        <w:spacing w:line="276" w:lineRule="auto"/>
        <w:jc w:val="center"/>
        <w:rPr>
          <w:rStyle w:val="Hyperlink"/>
          <w:rFonts w:ascii="Verdana" w:hAnsi="Verdana" w:cs="Arial"/>
          <w:bCs/>
        </w:rPr>
      </w:pPr>
      <w:hyperlink r:id="rId10" w:history="1">
        <w:r w:rsidR="00820826" w:rsidRPr="000835C7">
          <w:rPr>
            <w:rStyle w:val="Hyperlink"/>
            <w:rFonts w:ascii="Verdana" w:hAnsi="Verdana" w:cs="Arial"/>
            <w:bCs/>
          </w:rPr>
          <w:t>Éilis.Haughey@nihrc.org</w:t>
        </w:r>
      </w:hyperlink>
    </w:p>
    <w:p w14:paraId="79515667" w14:textId="77777777" w:rsidR="002A3C94" w:rsidRDefault="00820826" w:rsidP="004C392A">
      <w:pPr>
        <w:pStyle w:val="BasicParagraph"/>
        <w:suppressAutoHyphens/>
        <w:spacing w:line="276" w:lineRule="auto"/>
        <w:jc w:val="center"/>
        <w:rPr>
          <w:rStyle w:val="Hyperlink"/>
          <w:rFonts w:ascii="Verdana" w:hAnsi="Verdana" w:cs="Arial"/>
          <w:bCs/>
        </w:rPr>
      </w:pPr>
      <w:r w:rsidRPr="000835C7">
        <w:rPr>
          <w:rStyle w:val="Hyperlink"/>
          <w:rFonts w:ascii="Verdana" w:hAnsi="Verdana" w:cs="Arial"/>
          <w:bCs/>
        </w:rPr>
        <w:t>RMallon</w:t>
      </w:r>
      <w:r w:rsidR="002A3C94" w:rsidRPr="000835C7">
        <w:rPr>
          <w:rStyle w:val="Hyperlink"/>
          <w:rFonts w:ascii="Verdana" w:hAnsi="Verdana" w:cs="Arial"/>
          <w:bCs/>
        </w:rPr>
        <w:t>@equalityni.org</w:t>
      </w:r>
    </w:p>
    <w:p w14:paraId="406CB0C4" w14:textId="77777777" w:rsidR="002A3C94" w:rsidRDefault="002A3C94" w:rsidP="004C392A">
      <w:pPr>
        <w:pStyle w:val="BasicParagraph"/>
        <w:suppressAutoHyphens/>
        <w:spacing w:line="276" w:lineRule="auto"/>
        <w:jc w:val="center"/>
        <w:rPr>
          <w:rStyle w:val="Hyperlink"/>
          <w:rFonts w:ascii="Verdana" w:hAnsi="Verdana" w:cs="Arial"/>
          <w:bCs/>
        </w:rPr>
      </w:pPr>
    </w:p>
    <w:p w14:paraId="24C63914" w14:textId="77777777" w:rsidR="002A3C94" w:rsidRPr="001479C7" w:rsidRDefault="002A3C94" w:rsidP="004C392A">
      <w:pPr>
        <w:pStyle w:val="BasicParagraph"/>
        <w:suppressAutoHyphens/>
        <w:spacing w:line="276" w:lineRule="auto"/>
        <w:jc w:val="center"/>
        <w:rPr>
          <w:rFonts w:ascii="Verdana" w:hAnsi="Verdana" w:cs="Arial"/>
          <w:b/>
          <w:bCs/>
          <w:color w:val="auto"/>
        </w:rPr>
      </w:pPr>
    </w:p>
    <w:sectPr w:rsidR="002A3C94" w:rsidRPr="001479C7" w:rsidSect="00304434">
      <w:footerReference w:type="defaul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AB2A" w14:textId="77777777" w:rsidR="005F7F10" w:rsidRDefault="005F7F10" w:rsidP="00604C15">
      <w:pPr>
        <w:spacing w:line="240" w:lineRule="auto"/>
      </w:pPr>
      <w:r>
        <w:separator/>
      </w:r>
    </w:p>
  </w:endnote>
  <w:endnote w:type="continuationSeparator" w:id="0">
    <w:p w14:paraId="5D6329AF" w14:textId="77777777" w:rsidR="005F7F10" w:rsidRDefault="005F7F10" w:rsidP="00604C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237962"/>
      <w:docPartObj>
        <w:docPartGallery w:val="Page Numbers (Bottom of Page)"/>
        <w:docPartUnique/>
      </w:docPartObj>
    </w:sdtPr>
    <w:sdtEndPr>
      <w:rPr>
        <w:noProof/>
      </w:rPr>
    </w:sdtEndPr>
    <w:sdtContent>
      <w:p w14:paraId="4A55AC4E" w14:textId="20390F53" w:rsidR="003B1EE6" w:rsidRDefault="003B1EE6">
        <w:pPr>
          <w:pStyle w:val="Footer"/>
          <w:jc w:val="right"/>
        </w:pPr>
        <w:r>
          <w:fldChar w:fldCharType="begin"/>
        </w:r>
        <w:r>
          <w:instrText xml:space="preserve"> PAGE   \* MERGEFORMAT </w:instrText>
        </w:r>
        <w:r>
          <w:fldChar w:fldCharType="separate"/>
        </w:r>
        <w:r w:rsidR="00F16378">
          <w:rPr>
            <w:noProof/>
          </w:rPr>
          <w:t>9</w:t>
        </w:r>
        <w:r>
          <w:rPr>
            <w:noProof/>
          </w:rPr>
          <w:fldChar w:fldCharType="end"/>
        </w:r>
      </w:p>
    </w:sdtContent>
  </w:sdt>
  <w:p w14:paraId="53BFFB4F" w14:textId="77777777" w:rsidR="003B1EE6" w:rsidRPr="00E05BE7" w:rsidRDefault="003B1EE6">
    <w:pPr>
      <w:pStyle w:val="Footer"/>
      <w:rPr>
        <w:b/>
        <w:color w:val="77328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17148" w14:textId="77777777" w:rsidR="005F7F10" w:rsidRDefault="005F7F10" w:rsidP="00604C15">
      <w:pPr>
        <w:spacing w:line="240" w:lineRule="auto"/>
      </w:pPr>
      <w:r>
        <w:separator/>
      </w:r>
    </w:p>
  </w:footnote>
  <w:footnote w:type="continuationSeparator" w:id="0">
    <w:p w14:paraId="4FA1A991" w14:textId="77777777" w:rsidR="005F7F10" w:rsidRDefault="005F7F10" w:rsidP="00604C15">
      <w:pPr>
        <w:spacing w:line="240" w:lineRule="auto"/>
      </w:pPr>
      <w:r>
        <w:continuationSeparator/>
      </w:r>
    </w:p>
  </w:footnote>
  <w:footnote w:id="1">
    <w:p w14:paraId="778A2A44" w14:textId="1E2CF11A" w:rsidR="003B1EE6" w:rsidRPr="002E7C66" w:rsidRDefault="003B1EE6" w:rsidP="002E7C66">
      <w:pPr>
        <w:pStyle w:val="FootnoteText"/>
        <w:spacing w:line="240" w:lineRule="auto"/>
        <w:rPr>
          <w:rFonts w:asciiTheme="minorHAnsi" w:hAnsiTheme="minorHAnsi" w:cstheme="minorHAnsi"/>
          <w:sz w:val="18"/>
          <w:szCs w:val="18"/>
        </w:rPr>
      </w:pPr>
      <w:r w:rsidRPr="002E7C66">
        <w:rPr>
          <w:rStyle w:val="FootnoteReference"/>
          <w:rFonts w:asciiTheme="minorHAnsi" w:hAnsiTheme="minorHAnsi" w:cstheme="minorHAnsi"/>
          <w:sz w:val="18"/>
          <w:szCs w:val="18"/>
        </w:rPr>
        <w:footnoteRef/>
      </w:r>
      <w:r w:rsidRPr="002E7C66">
        <w:rPr>
          <w:rFonts w:asciiTheme="minorHAnsi" w:hAnsiTheme="minorHAnsi" w:cstheme="minorHAnsi"/>
          <w:sz w:val="18"/>
          <w:szCs w:val="18"/>
        </w:rPr>
        <w:t xml:space="preserve"> House of Lords Sub-Committee on the Protocol on Ireland/Northern Ireland, ‘Introductory Inquiry into the operation of the Protocol on Ireland/Northern Ireland’, available at  </w:t>
      </w:r>
      <w:hyperlink r:id="rId1" w:history="1">
        <w:r w:rsidRPr="002E7C66">
          <w:rPr>
            <w:rStyle w:val="Hyperlink"/>
            <w:rFonts w:asciiTheme="minorHAnsi" w:hAnsiTheme="minorHAnsi" w:cstheme="minorHAnsi"/>
            <w:sz w:val="18"/>
            <w:szCs w:val="18"/>
          </w:rPr>
          <w:t>https://committees.parliament.uk/work/1207/introductory-inquiry-into-the-operation-of-the-protocol-on-irelandnorthern-ireland/</w:t>
        </w:r>
      </w:hyperlink>
      <w:r w:rsidRPr="002E7C66">
        <w:rPr>
          <w:rFonts w:asciiTheme="minorHAnsi" w:hAnsiTheme="minorHAnsi" w:cstheme="minorHAnsi"/>
          <w:sz w:val="18"/>
          <w:szCs w:val="18"/>
        </w:rPr>
        <w:t>.</w:t>
      </w:r>
    </w:p>
  </w:footnote>
  <w:footnote w:id="2">
    <w:p w14:paraId="675147FF" w14:textId="4DE56D86" w:rsidR="003B1EE6" w:rsidRPr="002E7C66" w:rsidRDefault="003B1EE6" w:rsidP="002E7C66">
      <w:pPr>
        <w:pStyle w:val="FootnoteText"/>
        <w:spacing w:line="240" w:lineRule="auto"/>
        <w:rPr>
          <w:rFonts w:asciiTheme="minorHAnsi" w:hAnsiTheme="minorHAnsi" w:cstheme="minorHAnsi"/>
          <w:sz w:val="18"/>
          <w:szCs w:val="18"/>
        </w:rPr>
      </w:pPr>
      <w:r w:rsidRPr="002E7C66">
        <w:rPr>
          <w:rStyle w:val="FootnoteReference"/>
          <w:rFonts w:asciiTheme="minorHAnsi" w:hAnsiTheme="minorHAnsi" w:cstheme="minorHAnsi"/>
          <w:sz w:val="18"/>
          <w:szCs w:val="18"/>
        </w:rPr>
        <w:footnoteRef/>
      </w:r>
      <w:r w:rsidRPr="002E7C66">
        <w:rPr>
          <w:rFonts w:asciiTheme="minorHAnsi" w:hAnsiTheme="minorHAnsi" w:cstheme="minorHAnsi"/>
          <w:sz w:val="18"/>
          <w:szCs w:val="18"/>
        </w:rPr>
        <w:t xml:space="preserve"> Joint report from the Negotiators of the EU and UK Government progress during Phase 1 of Negotiations under Article 50 TEU on the UK’s Orderly Withdrawal from the EU, 8 December 2017, para 42 and 53.</w:t>
      </w:r>
    </w:p>
  </w:footnote>
  <w:footnote w:id="3">
    <w:p w14:paraId="06ECBC58" w14:textId="768BF761" w:rsidR="003B1EE6" w:rsidRPr="00A50585" w:rsidRDefault="003B1EE6" w:rsidP="00A50585">
      <w:pPr>
        <w:pStyle w:val="FootnoteText"/>
        <w:spacing w:line="240" w:lineRule="auto"/>
        <w:rPr>
          <w:rFonts w:asciiTheme="minorHAnsi" w:hAnsiTheme="minorHAnsi" w:cstheme="minorHAnsi"/>
          <w:sz w:val="18"/>
          <w:szCs w:val="18"/>
        </w:rPr>
      </w:pPr>
      <w:r w:rsidRPr="00A50585">
        <w:rPr>
          <w:rStyle w:val="FootnoteReference"/>
          <w:rFonts w:asciiTheme="minorHAnsi" w:hAnsiTheme="minorHAnsi" w:cstheme="minorHAnsi"/>
          <w:sz w:val="18"/>
          <w:szCs w:val="18"/>
        </w:rPr>
        <w:footnoteRef/>
      </w:r>
      <w:r w:rsidRPr="00A50585">
        <w:rPr>
          <w:rFonts w:asciiTheme="minorHAnsi" w:hAnsiTheme="minorHAnsi" w:cstheme="minorHAnsi"/>
          <w:sz w:val="18"/>
          <w:szCs w:val="18"/>
        </w:rPr>
        <w:t xml:space="preserve"> Preamble to the Protocol on Ireland/Northern Ireland to the UK-EU Withdrawal Agreement 2020.</w:t>
      </w:r>
    </w:p>
  </w:footnote>
  <w:footnote w:id="4">
    <w:p w14:paraId="198A65D1" w14:textId="061A9362" w:rsidR="009F1B32" w:rsidRDefault="009F1B32" w:rsidP="00A50585">
      <w:pPr>
        <w:pStyle w:val="FootnoteText"/>
        <w:spacing w:line="240" w:lineRule="auto"/>
      </w:pPr>
      <w:r w:rsidRPr="00A50585">
        <w:rPr>
          <w:rStyle w:val="FootnoteReference"/>
          <w:rFonts w:asciiTheme="minorHAnsi" w:hAnsiTheme="minorHAnsi" w:cstheme="minorHAnsi"/>
          <w:sz w:val="18"/>
          <w:szCs w:val="18"/>
        </w:rPr>
        <w:footnoteRef/>
      </w:r>
      <w:r w:rsidRPr="00A50585">
        <w:rPr>
          <w:rFonts w:asciiTheme="minorHAnsi" w:hAnsiTheme="minorHAnsi" w:cstheme="minorHAnsi"/>
          <w:sz w:val="18"/>
          <w:szCs w:val="18"/>
        </w:rPr>
        <w:t xml:space="preserve"> </w:t>
      </w:r>
      <w:r w:rsidR="00C328B5" w:rsidRPr="00A50585">
        <w:rPr>
          <w:rFonts w:asciiTheme="minorHAnsi" w:hAnsiTheme="minorHAnsi" w:cstheme="minorHAnsi"/>
          <w:sz w:val="18"/>
          <w:szCs w:val="18"/>
        </w:rPr>
        <w:t>Sections 78A-78E, Northern Ireland Act 1998.</w:t>
      </w:r>
    </w:p>
  </w:footnote>
  <w:footnote w:id="5">
    <w:p w14:paraId="1979A524" w14:textId="478F9FFB" w:rsidR="003B1EE6" w:rsidRPr="002E7C66" w:rsidRDefault="003B1EE6" w:rsidP="002E7C66">
      <w:pPr>
        <w:pStyle w:val="FootnoteText"/>
        <w:spacing w:line="240" w:lineRule="auto"/>
        <w:rPr>
          <w:rFonts w:asciiTheme="minorHAnsi" w:hAnsiTheme="minorHAnsi" w:cstheme="minorHAnsi"/>
          <w:sz w:val="18"/>
          <w:szCs w:val="18"/>
        </w:rPr>
      </w:pPr>
      <w:r w:rsidRPr="002E7C66">
        <w:rPr>
          <w:rStyle w:val="FootnoteReference"/>
          <w:rFonts w:asciiTheme="minorHAnsi" w:hAnsiTheme="minorHAnsi" w:cstheme="minorHAnsi"/>
          <w:sz w:val="18"/>
          <w:szCs w:val="18"/>
        </w:rPr>
        <w:footnoteRef/>
      </w:r>
      <w:r w:rsidRPr="002E7C66">
        <w:rPr>
          <w:rFonts w:asciiTheme="minorHAnsi" w:hAnsiTheme="minorHAnsi" w:cstheme="minorHAnsi"/>
          <w:sz w:val="18"/>
          <w:szCs w:val="18"/>
        </w:rPr>
        <w:t xml:space="preserve"> Article 13, Protocol on Ireland/Northern Ireland to the UK-EU Withdrawal Agreement 2020.</w:t>
      </w:r>
    </w:p>
  </w:footnote>
  <w:footnote w:id="6">
    <w:p w14:paraId="56DAD29D" w14:textId="77777777" w:rsidR="003B1EE6" w:rsidRPr="002E7C66" w:rsidRDefault="003B1EE6" w:rsidP="002E7C66">
      <w:pPr>
        <w:pStyle w:val="FootnoteText"/>
        <w:spacing w:line="240" w:lineRule="auto"/>
        <w:rPr>
          <w:rFonts w:asciiTheme="minorHAnsi" w:hAnsiTheme="minorHAnsi" w:cstheme="minorHAnsi"/>
          <w:sz w:val="18"/>
          <w:szCs w:val="18"/>
        </w:rPr>
      </w:pPr>
      <w:r w:rsidRPr="002E7C66">
        <w:rPr>
          <w:rStyle w:val="FootnoteReference"/>
          <w:rFonts w:asciiTheme="minorHAnsi" w:hAnsiTheme="minorHAnsi" w:cstheme="minorHAnsi"/>
          <w:sz w:val="18"/>
          <w:szCs w:val="18"/>
        </w:rPr>
        <w:footnoteRef/>
      </w:r>
      <w:r w:rsidRPr="002E7C66">
        <w:rPr>
          <w:rFonts w:asciiTheme="minorHAnsi" w:hAnsiTheme="minorHAnsi" w:cstheme="minorHAnsi"/>
          <w:sz w:val="18"/>
          <w:szCs w:val="18"/>
        </w:rPr>
        <w:t xml:space="preserve"> Section 24(</w:t>
      </w:r>
      <w:r w:rsidRPr="002E7C66">
        <w:rPr>
          <w:rFonts w:asciiTheme="minorHAnsi" w:hAnsiTheme="minorHAnsi" w:cstheme="minorHAnsi"/>
          <w:sz w:val="18"/>
          <w:szCs w:val="18"/>
        </w:rPr>
        <w:t>1)(aa), Northern Ireland Act 1998; Section 7A, EU (Withdrawal) Act 2018.</w:t>
      </w:r>
    </w:p>
  </w:footnote>
  <w:footnote w:id="7">
    <w:p w14:paraId="59BC3241" w14:textId="77777777" w:rsidR="00677BBA" w:rsidRPr="002E7C66" w:rsidRDefault="00677BBA" w:rsidP="002E7C66">
      <w:pPr>
        <w:pStyle w:val="FootnoteText"/>
        <w:spacing w:line="240" w:lineRule="auto"/>
        <w:rPr>
          <w:rFonts w:asciiTheme="minorHAnsi" w:hAnsiTheme="minorHAnsi" w:cstheme="minorHAnsi"/>
          <w:sz w:val="18"/>
          <w:szCs w:val="18"/>
        </w:rPr>
      </w:pPr>
      <w:r w:rsidRPr="002E7C66">
        <w:rPr>
          <w:rStyle w:val="FootnoteReference"/>
          <w:rFonts w:asciiTheme="minorHAnsi" w:hAnsiTheme="minorHAnsi" w:cstheme="minorHAnsi"/>
          <w:sz w:val="18"/>
          <w:szCs w:val="18"/>
        </w:rPr>
        <w:footnoteRef/>
      </w:r>
      <w:r w:rsidRPr="002E7C66">
        <w:rPr>
          <w:rFonts w:asciiTheme="minorHAnsi" w:hAnsiTheme="minorHAnsi" w:cstheme="minorHAnsi"/>
          <w:sz w:val="18"/>
          <w:szCs w:val="18"/>
        </w:rPr>
        <w:t xml:space="preserve"> NI Executive consultation on a draft </w:t>
      </w:r>
      <w:hyperlink r:id="rId2" w:history="1">
        <w:r w:rsidRPr="002E7C66">
          <w:rPr>
            <w:rStyle w:val="Hyperlink"/>
            <w:rFonts w:asciiTheme="minorHAnsi" w:hAnsiTheme="minorHAnsi" w:cstheme="minorHAnsi"/>
            <w:sz w:val="18"/>
            <w:szCs w:val="18"/>
          </w:rPr>
          <w:t>PfG outcomes framework</w:t>
        </w:r>
      </w:hyperlink>
      <w:r w:rsidRPr="002E7C66">
        <w:rPr>
          <w:rFonts w:asciiTheme="minorHAnsi" w:hAnsiTheme="minorHAnsi" w:cstheme="minorHAnsi"/>
          <w:sz w:val="18"/>
          <w:szCs w:val="18"/>
        </w:rPr>
        <w:t xml:space="preserve"> closed in March 2021 and the outcome of that consultation is awaited.</w:t>
      </w:r>
    </w:p>
  </w:footnote>
  <w:footnote w:id="8">
    <w:p w14:paraId="3719EA69" w14:textId="3F4BA0E2" w:rsidR="00515C83" w:rsidRPr="002E7C66" w:rsidRDefault="00515C83" w:rsidP="002E7C66">
      <w:pPr>
        <w:pStyle w:val="FootnoteText"/>
        <w:spacing w:line="240" w:lineRule="auto"/>
        <w:rPr>
          <w:rFonts w:asciiTheme="minorHAnsi" w:hAnsiTheme="minorHAnsi" w:cstheme="minorHAnsi"/>
          <w:sz w:val="18"/>
          <w:szCs w:val="18"/>
        </w:rPr>
      </w:pPr>
      <w:r w:rsidRPr="002E7C66">
        <w:rPr>
          <w:rStyle w:val="FootnoteReference"/>
          <w:rFonts w:asciiTheme="minorHAnsi" w:hAnsiTheme="minorHAnsi" w:cstheme="minorHAnsi"/>
          <w:sz w:val="18"/>
          <w:szCs w:val="18"/>
        </w:rPr>
        <w:footnoteRef/>
      </w:r>
      <w:r w:rsidRPr="002E7C66">
        <w:rPr>
          <w:rFonts w:asciiTheme="minorHAnsi" w:hAnsiTheme="minorHAnsi" w:cstheme="minorHAnsi"/>
          <w:sz w:val="18"/>
          <w:szCs w:val="18"/>
        </w:rPr>
        <w:t xml:space="preserve"> </w:t>
      </w:r>
      <w:r w:rsidR="00F23B57">
        <w:rPr>
          <w:rFonts w:asciiTheme="minorHAnsi" w:hAnsiTheme="minorHAnsi" w:cstheme="minorHAnsi"/>
          <w:sz w:val="18"/>
          <w:szCs w:val="18"/>
        </w:rPr>
        <w:t>NIHRC and ECNI</w:t>
      </w:r>
      <w:r w:rsidR="00523F84">
        <w:rPr>
          <w:rFonts w:asciiTheme="minorHAnsi" w:hAnsiTheme="minorHAnsi" w:cstheme="minorHAnsi"/>
          <w:sz w:val="18"/>
          <w:szCs w:val="18"/>
        </w:rPr>
        <w:t>,</w:t>
      </w:r>
      <w:r w:rsidR="00CE4A9A">
        <w:rPr>
          <w:rFonts w:asciiTheme="minorHAnsi" w:hAnsiTheme="minorHAnsi" w:cstheme="minorHAnsi"/>
          <w:sz w:val="18"/>
          <w:szCs w:val="18"/>
        </w:rPr>
        <w:t xml:space="preserve"> </w:t>
      </w:r>
      <w:r w:rsidR="00F05DA4">
        <w:rPr>
          <w:rFonts w:asciiTheme="minorHAnsi" w:hAnsiTheme="minorHAnsi" w:cstheme="minorHAnsi"/>
          <w:sz w:val="18"/>
          <w:szCs w:val="18"/>
        </w:rPr>
        <w:t>‘</w:t>
      </w:r>
      <w:r w:rsidR="00CE4A9A">
        <w:rPr>
          <w:rFonts w:asciiTheme="minorHAnsi" w:hAnsiTheme="minorHAnsi" w:cstheme="minorHAnsi"/>
          <w:sz w:val="18"/>
          <w:szCs w:val="18"/>
        </w:rPr>
        <w:t xml:space="preserve">Submission to the Seanad </w:t>
      </w:r>
      <w:r w:rsidR="00CE4A9A">
        <w:rPr>
          <w:rFonts w:asciiTheme="minorHAnsi" w:hAnsiTheme="minorHAnsi" w:cstheme="minorHAnsi"/>
          <w:sz w:val="18"/>
          <w:szCs w:val="18"/>
        </w:rPr>
        <w:t xml:space="preserve">Éireann </w:t>
      </w:r>
      <w:r w:rsidR="00166B58">
        <w:rPr>
          <w:rFonts w:asciiTheme="minorHAnsi" w:hAnsiTheme="minorHAnsi" w:cstheme="minorHAnsi"/>
          <w:sz w:val="18"/>
          <w:szCs w:val="18"/>
        </w:rPr>
        <w:t>Special Select Committee on the UK Withdrawal from the EU</w:t>
      </w:r>
      <w:r w:rsidR="00F05DA4">
        <w:rPr>
          <w:rFonts w:asciiTheme="minorHAnsi" w:hAnsiTheme="minorHAnsi" w:cstheme="minorHAnsi"/>
          <w:sz w:val="18"/>
          <w:szCs w:val="18"/>
        </w:rPr>
        <w:t>’</w:t>
      </w:r>
      <w:r w:rsidR="00166B58">
        <w:rPr>
          <w:rFonts w:asciiTheme="minorHAnsi" w:hAnsiTheme="minorHAnsi" w:cstheme="minorHAnsi"/>
          <w:sz w:val="18"/>
          <w:szCs w:val="18"/>
        </w:rPr>
        <w:t xml:space="preserve"> (NIHRC and ECNI, 2021)</w:t>
      </w:r>
      <w:r w:rsidR="006E0BF6">
        <w:rPr>
          <w:rFonts w:asciiTheme="minorHAnsi" w:hAnsiTheme="minorHAnsi" w:cstheme="minorHAnsi"/>
          <w:sz w:val="18"/>
          <w:szCs w:val="18"/>
        </w:rPr>
        <w:t xml:space="preserve">; </w:t>
      </w:r>
      <w:r w:rsidR="00523F84">
        <w:rPr>
          <w:rFonts w:asciiTheme="minorHAnsi" w:hAnsiTheme="minorHAnsi" w:cstheme="minorHAnsi"/>
          <w:sz w:val="18"/>
          <w:szCs w:val="18"/>
        </w:rPr>
        <w:t xml:space="preserve"> </w:t>
      </w:r>
      <w:r w:rsidR="006E0BF6">
        <w:rPr>
          <w:rFonts w:asciiTheme="minorHAnsi" w:hAnsiTheme="minorHAnsi" w:cstheme="minorHAnsi"/>
          <w:sz w:val="18"/>
          <w:szCs w:val="18"/>
        </w:rPr>
        <w:t>NIHRC and ECNI</w:t>
      </w:r>
      <w:r w:rsidR="0098690F">
        <w:rPr>
          <w:rFonts w:asciiTheme="minorHAnsi" w:hAnsiTheme="minorHAnsi" w:cstheme="minorHAnsi"/>
          <w:sz w:val="18"/>
          <w:szCs w:val="18"/>
        </w:rPr>
        <w:t xml:space="preserve">, </w:t>
      </w:r>
      <w:r w:rsidR="00F05DA4">
        <w:rPr>
          <w:rFonts w:asciiTheme="minorHAnsi" w:hAnsiTheme="minorHAnsi" w:cstheme="minorHAnsi"/>
          <w:sz w:val="18"/>
          <w:szCs w:val="18"/>
        </w:rPr>
        <w:t>‘</w:t>
      </w:r>
      <w:r w:rsidR="0098690F">
        <w:rPr>
          <w:rFonts w:asciiTheme="minorHAnsi" w:hAnsiTheme="minorHAnsi" w:cstheme="minorHAnsi"/>
          <w:sz w:val="18"/>
          <w:szCs w:val="18"/>
        </w:rPr>
        <w:t>Submission to the Northern Ireland Affairs Committee Inquiry on Brexit and the Northern Ireland Proto</w:t>
      </w:r>
      <w:r w:rsidR="00FD7FAE">
        <w:rPr>
          <w:rFonts w:asciiTheme="minorHAnsi" w:hAnsiTheme="minorHAnsi" w:cstheme="minorHAnsi"/>
          <w:sz w:val="18"/>
          <w:szCs w:val="18"/>
        </w:rPr>
        <w:t>col</w:t>
      </w:r>
      <w:r w:rsidR="00F05DA4">
        <w:rPr>
          <w:rFonts w:asciiTheme="minorHAnsi" w:hAnsiTheme="minorHAnsi" w:cstheme="minorHAnsi"/>
          <w:sz w:val="18"/>
          <w:szCs w:val="18"/>
        </w:rPr>
        <w:t>’</w:t>
      </w:r>
      <w:r w:rsidR="00FD7FAE">
        <w:rPr>
          <w:rFonts w:asciiTheme="minorHAnsi" w:hAnsiTheme="minorHAnsi" w:cstheme="minorHAnsi"/>
          <w:sz w:val="18"/>
          <w:szCs w:val="18"/>
        </w:rPr>
        <w:t xml:space="preserve"> (NIHRC and ECNI, 2020)</w:t>
      </w:r>
      <w:r w:rsidR="00C87B63">
        <w:rPr>
          <w:rFonts w:asciiTheme="minorHAnsi" w:hAnsiTheme="minorHAnsi" w:cstheme="minorHAnsi"/>
          <w:sz w:val="18"/>
          <w:szCs w:val="18"/>
        </w:rPr>
        <w:t>; NIHRC</w:t>
      </w:r>
      <w:r w:rsidR="00F05DA4">
        <w:rPr>
          <w:rFonts w:asciiTheme="minorHAnsi" w:hAnsiTheme="minorHAnsi" w:cstheme="minorHAnsi"/>
          <w:sz w:val="18"/>
          <w:szCs w:val="18"/>
        </w:rPr>
        <w:t xml:space="preserve">, </w:t>
      </w:r>
      <w:r w:rsidR="00BD61A6">
        <w:rPr>
          <w:rFonts w:asciiTheme="minorHAnsi" w:hAnsiTheme="minorHAnsi" w:cstheme="minorHAnsi"/>
          <w:sz w:val="18"/>
          <w:szCs w:val="18"/>
        </w:rPr>
        <w:t>‘</w:t>
      </w:r>
      <w:r w:rsidR="00F05DA4">
        <w:rPr>
          <w:rFonts w:asciiTheme="minorHAnsi" w:hAnsiTheme="minorHAnsi" w:cstheme="minorHAnsi"/>
          <w:sz w:val="18"/>
          <w:szCs w:val="18"/>
        </w:rPr>
        <w:t>Briefing Note for the</w:t>
      </w:r>
      <w:r w:rsidR="00FD7FAE">
        <w:rPr>
          <w:rFonts w:asciiTheme="minorHAnsi" w:hAnsiTheme="minorHAnsi" w:cstheme="minorHAnsi"/>
          <w:sz w:val="18"/>
          <w:szCs w:val="18"/>
        </w:rPr>
        <w:t xml:space="preserve"> </w:t>
      </w:r>
      <w:r w:rsidRPr="002E7C66">
        <w:rPr>
          <w:rFonts w:asciiTheme="minorHAnsi" w:hAnsiTheme="minorHAnsi" w:cstheme="minorHAnsi"/>
          <w:sz w:val="18"/>
          <w:szCs w:val="18"/>
        </w:rPr>
        <w:t xml:space="preserve">Ad Hoc </w:t>
      </w:r>
      <w:r w:rsidR="00F05DA4">
        <w:rPr>
          <w:rFonts w:asciiTheme="minorHAnsi" w:hAnsiTheme="minorHAnsi" w:cstheme="minorHAnsi"/>
          <w:sz w:val="18"/>
          <w:szCs w:val="18"/>
        </w:rPr>
        <w:t>Committee on a Bill of Rights – EU Withdrawal and a Bill of Rights</w:t>
      </w:r>
      <w:r w:rsidR="00BD61A6">
        <w:rPr>
          <w:rFonts w:asciiTheme="minorHAnsi" w:hAnsiTheme="minorHAnsi" w:cstheme="minorHAnsi"/>
          <w:sz w:val="18"/>
          <w:szCs w:val="18"/>
        </w:rPr>
        <w:t>’ (NIHRC, 2021)</w:t>
      </w:r>
      <w:r w:rsidR="00763A6E">
        <w:rPr>
          <w:rFonts w:asciiTheme="minorHAnsi" w:hAnsiTheme="minorHAnsi" w:cstheme="minorHAnsi"/>
          <w:sz w:val="18"/>
          <w:szCs w:val="18"/>
        </w:rPr>
        <w:t xml:space="preserve"> and ECNI, ‘Submission to Ad Hoc Committee on a Bill of Rights for </w:t>
      </w:r>
      <w:r w:rsidR="00EA507B">
        <w:rPr>
          <w:rFonts w:asciiTheme="minorHAnsi" w:hAnsiTheme="minorHAnsi" w:cstheme="minorHAnsi"/>
          <w:sz w:val="18"/>
          <w:szCs w:val="18"/>
        </w:rPr>
        <w:t>Northern</w:t>
      </w:r>
      <w:r w:rsidR="00763A6E">
        <w:rPr>
          <w:rFonts w:asciiTheme="minorHAnsi" w:hAnsiTheme="minorHAnsi" w:cstheme="minorHAnsi"/>
          <w:sz w:val="18"/>
          <w:szCs w:val="18"/>
        </w:rPr>
        <w:t xml:space="preserve"> </w:t>
      </w:r>
      <w:r w:rsidR="00EA507B">
        <w:rPr>
          <w:rFonts w:asciiTheme="minorHAnsi" w:hAnsiTheme="minorHAnsi" w:cstheme="minorHAnsi"/>
          <w:sz w:val="18"/>
          <w:szCs w:val="18"/>
        </w:rPr>
        <w:t>Ireland</w:t>
      </w:r>
      <w:r w:rsidR="00763A6E">
        <w:rPr>
          <w:rFonts w:asciiTheme="minorHAnsi" w:hAnsiTheme="minorHAnsi" w:cstheme="minorHAnsi"/>
          <w:sz w:val="18"/>
          <w:szCs w:val="18"/>
        </w:rPr>
        <w:t>’ (ECNI</w:t>
      </w:r>
      <w:r w:rsidR="00EA507B">
        <w:rPr>
          <w:rFonts w:asciiTheme="minorHAnsi" w:hAnsiTheme="minorHAnsi" w:cstheme="minorHAnsi"/>
          <w:sz w:val="18"/>
          <w:szCs w:val="18"/>
        </w:rPr>
        <w:t>,</w:t>
      </w:r>
      <w:r w:rsidR="00763A6E">
        <w:rPr>
          <w:rFonts w:asciiTheme="minorHAnsi" w:hAnsiTheme="minorHAnsi" w:cstheme="minorHAnsi"/>
          <w:sz w:val="18"/>
          <w:szCs w:val="18"/>
        </w:rPr>
        <w:t xml:space="preserve"> 202</w:t>
      </w:r>
      <w:r w:rsidR="00EA507B">
        <w:rPr>
          <w:rFonts w:asciiTheme="minorHAnsi" w:hAnsiTheme="minorHAnsi" w:cstheme="minorHAnsi"/>
          <w:sz w:val="18"/>
          <w:szCs w:val="18"/>
        </w:rPr>
        <w:t>1).</w:t>
      </w:r>
    </w:p>
  </w:footnote>
  <w:footnote w:id="9">
    <w:p w14:paraId="08BC360E" w14:textId="387A1CE0" w:rsidR="003B1EE6" w:rsidRPr="002E7C66" w:rsidRDefault="003B1EE6" w:rsidP="002E7C66">
      <w:pPr>
        <w:pStyle w:val="FootnoteText"/>
        <w:spacing w:line="240" w:lineRule="auto"/>
        <w:rPr>
          <w:rFonts w:asciiTheme="minorHAnsi" w:hAnsiTheme="minorHAnsi" w:cstheme="minorHAnsi"/>
          <w:sz w:val="18"/>
          <w:szCs w:val="18"/>
        </w:rPr>
      </w:pPr>
      <w:r w:rsidRPr="002E7C66">
        <w:rPr>
          <w:rStyle w:val="FootnoteReference"/>
          <w:rFonts w:asciiTheme="minorHAnsi" w:hAnsiTheme="minorHAnsi" w:cstheme="minorHAnsi"/>
          <w:sz w:val="18"/>
          <w:szCs w:val="18"/>
        </w:rPr>
        <w:footnoteRef/>
      </w:r>
      <w:r w:rsidRPr="002E7C66">
        <w:rPr>
          <w:rFonts w:asciiTheme="minorHAnsi" w:hAnsiTheme="minorHAnsi" w:cstheme="minorHAnsi"/>
          <w:sz w:val="18"/>
          <w:szCs w:val="18"/>
        </w:rPr>
        <w:t xml:space="preserve"> Sections 78A-78E, Northern Ireland Act 1998.</w:t>
      </w:r>
    </w:p>
  </w:footnote>
  <w:footnote w:id="10">
    <w:p w14:paraId="688C1626" w14:textId="4304DA7E" w:rsidR="003B1EE6" w:rsidRPr="002E7C66" w:rsidRDefault="003B1EE6" w:rsidP="002E7C66">
      <w:pPr>
        <w:pStyle w:val="FootnoteText"/>
        <w:spacing w:line="240" w:lineRule="auto"/>
        <w:rPr>
          <w:rFonts w:asciiTheme="minorHAnsi" w:hAnsiTheme="minorHAnsi" w:cstheme="minorHAnsi"/>
          <w:sz w:val="18"/>
          <w:szCs w:val="18"/>
        </w:rPr>
      </w:pPr>
      <w:r w:rsidRPr="002E7C66">
        <w:rPr>
          <w:rStyle w:val="FootnoteReference"/>
          <w:rFonts w:asciiTheme="minorHAnsi" w:hAnsiTheme="minorHAnsi" w:cstheme="minorHAnsi"/>
          <w:sz w:val="18"/>
          <w:szCs w:val="18"/>
        </w:rPr>
        <w:footnoteRef/>
      </w:r>
      <w:r w:rsidRPr="002E7C66">
        <w:rPr>
          <w:rFonts w:asciiTheme="minorHAnsi" w:hAnsiTheme="minorHAnsi" w:cstheme="minorHAnsi"/>
          <w:sz w:val="18"/>
          <w:szCs w:val="18"/>
        </w:rPr>
        <w:t xml:space="preserve"> </w:t>
      </w:r>
      <w:r w:rsidRPr="0019753B">
        <w:rPr>
          <w:rFonts w:asciiTheme="minorHAnsi" w:hAnsiTheme="minorHAnsi" w:cstheme="minorHAnsi"/>
          <w:sz w:val="18"/>
          <w:szCs w:val="18"/>
        </w:rPr>
        <w:t>Article 14, Ireland/Northern Ireland Protocol to the UK-EU Withdrawal Agreement 2020.</w:t>
      </w:r>
    </w:p>
  </w:footnote>
  <w:footnote w:id="11">
    <w:p w14:paraId="4A60952D" w14:textId="77777777" w:rsidR="003B1EE6" w:rsidRPr="002E7C66" w:rsidRDefault="003B1EE6" w:rsidP="002E7C66">
      <w:pPr>
        <w:pStyle w:val="FootnoteText"/>
        <w:spacing w:line="240" w:lineRule="auto"/>
        <w:rPr>
          <w:rFonts w:asciiTheme="minorHAnsi" w:hAnsiTheme="minorHAnsi" w:cstheme="minorHAnsi"/>
          <w:sz w:val="18"/>
          <w:szCs w:val="18"/>
        </w:rPr>
      </w:pPr>
      <w:r w:rsidRPr="002E7C66">
        <w:rPr>
          <w:rStyle w:val="FootnoteReference"/>
          <w:rFonts w:asciiTheme="minorHAnsi" w:hAnsiTheme="minorHAnsi" w:cstheme="minorHAnsi"/>
          <w:sz w:val="18"/>
          <w:szCs w:val="18"/>
        </w:rPr>
        <w:footnoteRef/>
      </w:r>
      <w:r w:rsidRPr="002E7C66">
        <w:rPr>
          <w:rFonts w:asciiTheme="minorHAnsi" w:hAnsiTheme="minorHAnsi" w:cstheme="minorHAnsi"/>
          <w:sz w:val="18"/>
          <w:szCs w:val="18"/>
        </w:rPr>
        <w:t xml:space="preserve"> Article 14, Ireland/Northern Ireland Protocol to the UK-EU Withdrawal Agreement 2020.</w:t>
      </w:r>
    </w:p>
  </w:footnote>
  <w:footnote w:id="12">
    <w:p w14:paraId="7647CE77" w14:textId="77777777" w:rsidR="003B1EE6" w:rsidRPr="002E7C66" w:rsidRDefault="003B1EE6" w:rsidP="002E7C66">
      <w:pPr>
        <w:pStyle w:val="FootnoteText"/>
        <w:spacing w:line="240" w:lineRule="auto"/>
        <w:rPr>
          <w:rFonts w:asciiTheme="minorHAnsi" w:hAnsiTheme="minorHAnsi" w:cstheme="minorHAnsi"/>
          <w:sz w:val="18"/>
          <w:szCs w:val="18"/>
        </w:rPr>
      </w:pPr>
      <w:r w:rsidRPr="002E7C66">
        <w:rPr>
          <w:rStyle w:val="FootnoteReference"/>
          <w:rFonts w:asciiTheme="minorHAnsi" w:hAnsiTheme="minorHAnsi" w:cstheme="minorHAnsi"/>
          <w:sz w:val="18"/>
          <w:szCs w:val="18"/>
        </w:rPr>
        <w:footnoteRef/>
      </w:r>
      <w:r w:rsidRPr="002E7C66">
        <w:rPr>
          <w:rFonts w:asciiTheme="minorHAnsi" w:hAnsiTheme="minorHAnsi" w:cstheme="minorHAnsi"/>
          <w:sz w:val="18"/>
          <w:szCs w:val="18"/>
        </w:rPr>
        <w:t xml:space="preserve"> Article 15, Ireland/Northern Ireland Protocol to the UK-EU Withdrawal Agreement 2020.</w:t>
      </w:r>
    </w:p>
  </w:footnote>
  <w:footnote w:id="13">
    <w:p w14:paraId="15F9735F" w14:textId="7B6B97D7" w:rsidR="003B1EE6" w:rsidRPr="002E7C66" w:rsidRDefault="003B1EE6" w:rsidP="002E7C66">
      <w:pPr>
        <w:pStyle w:val="FootnoteText"/>
        <w:spacing w:line="240" w:lineRule="auto"/>
        <w:rPr>
          <w:rFonts w:asciiTheme="minorHAnsi" w:hAnsiTheme="minorHAnsi" w:cstheme="minorHAnsi"/>
          <w:sz w:val="18"/>
          <w:szCs w:val="18"/>
        </w:rPr>
      </w:pPr>
      <w:r w:rsidRPr="002E7C66">
        <w:rPr>
          <w:rStyle w:val="FootnoteReference"/>
          <w:rFonts w:asciiTheme="minorHAnsi" w:hAnsiTheme="minorHAnsi" w:cstheme="minorHAnsi"/>
          <w:sz w:val="18"/>
          <w:szCs w:val="18"/>
        </w:rPr>
        <w:footnoteRef/>
      </w:r>
      <w:r w:rsidRPr="002E7C66">
        <w:rPr>
          <w:rFonts w:asciiTheme="minorHAnsi" w:hAnsiTheme="minorHAnsi" w:cstheme="minorHAnsi"/>
          <w:sz w:val="18"/>
          <w:szCs w:val="18"/>
        </w:rPr>
        <w:t xml:space="preserve"> Article 18, Ireland/Northern Ireland Protocol to the UK-EU Withdrawal Agreement 2020.</w:t>
      </w:r>
    </w:p>
  </w:footnote>
  <w:footnote w:id="14">
    <w:p w14:paraId="515B06A6" w14:textId="77777777" w:rsidR="003B1EE6" w:rsidRPr="002E7C66" w:rsidRDefault="003B1EE6" w:rsidP="002E7C66">
      <w:pPr>
        <w:pStyle w:val="FootnoteText"/>
        <w:spacing w:line="240" w:lineRule="auto"/>
        <w:rPr>
          <w:rFonts w:asciiTheme="minorHAnsi" w:hAnsiTheme="minorHAnsi" w:cstheme="minorHAnsi"/>
          <w:sz w:val="18"/>
          <w:szCs w:val="18"/>
        </w:rPr>
      </w:pPr>
      <w:r w:rsidRPr="002E7C66">
        <w:rPr>
          <w:rStyle w:val="FootnoteReference"/>
          <w:rFonts w:asciiTheme="minorHAnsi" w:hAnsiTheme="minorHAnsi" w:cstheme="minorHAnsi"/>
          <w:sz w:val="18"/>
          <w:szCs w:val="18"/>
        </w:rPr>
        <w:footnoteRef/>
      </w:r>
      <w:r w:rsidRPr="002E7C66">
        <w:rPr>
          <w:rFonts w:asciiTheme="minorHAnsi" w:hAnsiTheme="minorHAnsi" w:cstheme="minorHAnsi"/>
          <w:sz w:val="18"/>
          <w:szCs w:val="18"/>
        </w:rPr>
        <w:t xml:space="preserve"> Article 13, UK-EU Trade and Cooperation Agreement 2020.</w:t>
      </w:r>
    </w:p>
  </w:footnote>
  <w:footnote w:id="15">
    <w:p w14:paraId="2C1AE599" w14:textId="77777777" w:rsidR="003B1EE6" w:rsidRPr="002E7C66" w:rsidRDefault="003B1EE6" w:rsidP="002E7C66">
      <w:pPr>
        <w:pStyle w:val="FootnoteText"/>
        <w:spacing w:line="240" w:lineRule="auto"/>
        <w:rPr>
          <w:rFonts w:asciiTheme="minorHAnsi" w:hAnsiTheme="minorHAnsi" w:cstheme="minorHAnsi"/>
          <w:sz w:val="18"/>
          <w:szCs w:val="18"/>
        </w:rPr>
      </w:pPr>
      <w:r w:rsidRPr="002E7C66">
        <w:rPr>
          <w:rStyle w:val="FootnoteReference"/>
          <w:rFonts w:asciiTheme="minorHAnsi" w:hAnsiTheme="minorHAnsi" w:cstheme="minorHAnsi"/>
          <w:sz w:val="18"/>
          <w:szCs w:val="18"/>
        </w:rPr>
        <w:footnoteRef/>
      </w:r>
      <w:r w:rsidRPr="002E7C66">
        <w:rPr>
          <w:rFonts w:asciiTheme="minorHAnsi" w:hAnsiTheme="minorHAnsi" w:cstheme="minorHAnsi"/>
          <w:sz w:val="18"/>
          <w:szCs w:val="18"/>
        </w:rPr>
        <w:t xml:space="preserve"> Article 14, UK-EU Trade and Cooperation Agreement 2020.</w:t>
      </w:r>
    </w:p>
  </w:footnote>
  <w:footnote w:id="16">
    <w:p w14:paraId="08A752E5" w14:textId="487736B5" w:rsidR="00A25082" w:rsidRPr="002E7C66" w:rsidRDefault="00A25082" w:rsidP="002E7C66">
      <w:pPr>
        <w:pStyle w:val="FootnoteText"/>
        <w:spacing w:line="240" w:lineRule="auto"/>
        <w:rPr>
          <w:rFonts w:asciiTheme="minorHAnsi" w:hAnsiTheme="minorHAnsi" w:cstheme="minorHAnsi"/>
          <w:sz w:val="18"/>
          <w:szCs w:val="18"/>
        </w:rPr>
      </w:pPr>
      <w:r w:rsidRPr="002E7C66">
        <w:rPr>
          <w:rStyle w:val="FootnoteReference"/>
          <w:rFonts w:asciiTheme="minorHAnsi" w:hAnsiTheme="minorHAnsi" w:cstheme="minorHAnsi"/>
          <w:sz w:val="18"/>
          <w:szCs w:val="18"/>
        </w:rPr>
        <w:footnoteRef/>
      </w:r>
      <w:r w:rsidRPr="002E7C66">
        <w:rPr>
          <w:rFonts w:asciiTheme="minorHAnsi" w:hAnsiTheme="minorHAnsi" w:cstheme="minorHAnsi"/>
          <w:sz w:val="18"/>
          <w:szCs w:val="18"/>
        </w:rPr>
        <w:t xml:space="preserve"> </w:t>
      </w:r>
      <w:r w:rsidR="00F23B57" w:rsidRPr="002E7C66">
        <w:rPr>
          <w:rFonts w:asciiTheme="minorHAnsi" w:hAnsiTheme="minorHAnsi" w:cstheme="minorHAnsi"/>
          <w:sz w:val="18"/>
          <w:szCs w:val="18"/>
        </w:rPr>
        <w:t>Sections 78A-78E, Northern Ireland Act 1998.</w:t>
      </w:r>
    </w:p>
  </w:footnote>
  <w:footnote w:id="17">
    <w:p w14:paraId="26C3DF66" w14:textId="77777777" w:rsidR="003B1EE6" w:rsidRPr="002E7C66" w:rsidRDefault="003B1EE6" w:rsidP="002E7C66">
      <w:pPr>
        <w:pStyle w:val="FootnoteText"/>
        <w:spacing w:line="240" w:lineRule="auto"/>
        <w:rPr>
          <w:rFonts w:asciiTheme="minorHAnsi" w:hAnsiTheme="minorHAnsi" w:cstheme="minorHAnsi"/>
          <w:color w:val="000000" w:themeColor="text1"/>
          <w:sz w:val="18"/>
          <w:szCs w:val="18"/>
        </w:rPr>
      </w:pPr>
      <w:r w:rsidRPr="002E7C66">
        <w:rPr>
          <w:rStyle w:val="FootnoteReference"/>
          <w:rFonts w:asciiTheme="minorHAnsi" w:hAnsiTheme="minorHAnsi" w:cstheme="minorHAnsi"/>
          <w:color w:val="000000" w:themeColor="text1"/>
          <w:sz w:val="18"/>
          <w:szCs w:val="18"/>
        </w:rPr>
        <w:footnoteRef/>
      </w:r>
      <w:r w:rsidRPr="002E7C66">
        <w:rPr>
          <w:rFonts w:asciiTheme="minorHAnsi" w:hAnsiTheme="minorHAnsi" w:cstheme="minorHAnsi"/>
          <w:color w:val="000000" w:themeColor="text1"/>
          <w:sz w:val="18"/>
          <w:szCs w:val="18"/>
        </w:rPr>
        <w:t xml:space="preserve"> </w:t>
      </w:r>
      <w:r w:rsidRPr="002E7C66">
        <w:rPr>
          <w:rFonts w:asciiTheme="minorHAnsi" w:hAnsiTheme="minorHAnsi" w:cstheme="minorHAnsi"/>
          <w:sz w:val="18"/>
          <w:szCs w:val="18"/>
        </w:rPr>
        <w:t>Belfast (Good Friday) Agreement</w:t>
      </w:r>
      <w:r w:rsidRPr="002E7C66">
        <w:rPr>
          <w:rFonts w:asciiTheme="minorHAnsi" w:hAnsiTheme="minorHAnsi" w:cstheme="minorHAnsi"/>
          <w:color w:val="000000" w:themeColor="text1"/>
          <w:sz w:val="18"/>
          <w:szCs w:val="18"/>
        </w:rPr>
        <w:t xml:space="preserve">, 10 April 1998, Part 6 on Rights, Safeguards and Equality of Opportunity – Human Rights, available at </w:t>
      </w:r>
      <w:hyperlink r:id="rId3" w:history="1">
        <w:r w:rsidRPr="002E7C66">
          <w:rPr>
            <w:rStyle w:val="Hyperlink"/>
            <w:rFonts w:asciiTheme="minorHAnsi" w:hAnsiTheme="minorHAnsi" w:cstheme="minorHAnsi"/>
            <w:sz w:val="18"/>
            <w:szCs w:val="18"/>
          </w:rPr>
          <w:t>https://www.gov.uk/government/publications/the-belfast-agreement</w:t>
        </w:r>
      </w:hyperlink>
      <w:r w:rsidRPr="002E7C66">
        <w:rPr>
          <w:rFonts w:asciiTheme="minorHAnsi" w:hAnsiTheme="minorHAnsi" w:cstheme="minorHAnsi"/>
          <w:sz w:val="18"/>
          <w:szCs w:val="18"/>
        </w:rPr>
        <w:t xml:space="preserve"> </w:t>
      </w:r>
    </w:p>
  </w:footnote>
  <w:footnote w:id="18">
    <w:p w14:paraId="3D996EA8" w14:textId="77777777" w:rsidR="003B1EE6" w:rsidRPr="002E7C66" w:rsidRDefault="003B1EE6" w:rsidP="002E7C66">
      <w:pPr>
        <w:pStyle w:val="FootnoteText"/>
        <w:spacing w:line="240" w:lineRule="auto"/>
        <w:rPr>
          <w:rFonts w:asciiTheme="minorHAnsi" w:hAnsiTheme="minorHAnsi" w:cstheme="minorHAnsi"/>
          <w:color w:val="000000" w:themeColor="text1"/>
          <w:sz w:val="18"/>
          <w:szCs w:val="18"/>
        </w:rPr>
      </w:pPr>
      <w:r w:rsidRPr="002E7C66">
        <w:rPr>
          <w:rStyle w:val="FootnoteReference"/>
          <w:rFonts w:asciiTheme="minorHAnsi" w:hAnsiTheme="minorHAnsi" w:cstheme="minorHAnsi"/>
          <w:color w:val="000000" w:themeColor="text1"/>
          <w:sz w:val="18"/>
          <w:szCs w:val="18"/>
        </w:rPr>
        <w:footnoteRef/>
      </w:r>
      <w:r w:rsidRPr="002E7C66">
        <w:rPr>
          <w:rFonts w:asciiTheme="minorHAnsi" w:hAnsiTheme="minorHAnsi" w:cstheme="minorHAnsi"/>
          <w:color w:val="000000" w:themeColor="text1"/>
          <w:sz w:val="18"/>
          <w:szCs w:val="18"/>
        </w:rPr>
        <w:t xml:space="preserve"> Directive 2004/113/EC, ‘EU Council Directive on Implementing the Principle of Equal Treatment between Men and Women in the access to and supply of goods and Services’, 13 December 2004.</w:t>
      </w:r>
    </w:p>
  </w:footnote>
  <w:footnote w:id="19">
    <w:p w14:paraId="4236F108" w14:textId="77777777" w:rsidR="003B1EE6" w:rsidRPr="002E7C66" w:rsidRDefault="003B1EE6" w:rsidP="002E7C66">
      <w:pPr>
        <w:pStyle w:val="FootnoteText"/>
        <w:spacing w:line="240" w:lineRule="auto"/>
        <w:rPr>
          <w:rFonts w:asciiTheme="minorHAnsi" w:hAnsiTheme="minorHAnsi" w:cstheme="minorHAnsi"/>
          <w:color w:val="000000" w:themeColor="text1"/>
          <w:sz w:val="18"/>
          <w:szCs w:val="18"/>
        </w:rPr>
      </w:pPr>
      <w:r w:rsidRPr="002E7C66">
        <w:rPr>
          <w:rStyle w:val="FootnoteReference"/>
          <w:rFonts w:asciiTheme="minorHAnsi" w:hAnsiTheme="minorHAnsi" w:cstheme="minorHAnsi"/>
          <w:color w:val="000000" w:themeColor="text1"/>
          <w:sz w:val="18"/>
          <w:szCs w:val="18"/>
        </w:rPr>
        <w:footnoteRef/>
      </w:r>
      <w:r w:rsidRPr="002E7C66">
        <w:rPr>
          <w:rFonts w:asciiTheme="minorHAnsi" w:hAnsiTheme="minorHAnsi" w:cstheme="minorHAnsi"/>
          <w:color w:val="000000" w:themeColor="text1"/>
          <w:sz w:val="18"/>
          <w:szCs w:val="18"/>
        </w:rPr>
        <w:t xml:space="preserve"> Directive 2006/54/EC, ‘EU Council Directive on the Implementation of the Principle of Equal Opportunities and Equal Treatment of Men and Women in Matters of Employment and Occupation’, 5 July 2006.</w:t>
      </w:r>
    </w:p>
  </w:footnote>
  <w:footnote w:id="20">
    <w:p w14:paraId="50C99D1E" w14:textId="77777777" w:rsidR="003B1EE6" w:rsidRPr="002E7C66" w:rsidRDefault="003B1EE6" w:rsidP="002E7C66">
      <w:pPr>
        <w:pStyle w:val="FootnoteText"/>
        <w:spacing w:line="240" w:lineRule="auto"/>
        <w:rPr>
          <w:rFonts w:asciiTheme="minorHAnsi" w:hAnsiTheme="minorHAnsi" w:cstheme="minorHAnsi"/>
          <w:color w:val="000000" w:themeColor="text1"/>
          <w:sz w:val="18"/>
          <w:szCs w:val="18"/>
        </w:rPr>
      </w:pPr>
      <w:r w:rsidRPr="002E7C66">
        <w:rPr>
          <w:rStyle w:val="FootnoteReference"/>
          <w:rFonts w:asciiTheme="minorHAnsi" w:hAnsiTheme="minorHAnsi" w:cstheme="minorHAnsi"/>
          <w:color w:val="000000" w:themeColor="text1"/>
          <w:sz w:val="18"/>
          <w:szCs w:val="18"/>
        </w:rPr>
        <w:footnoteRef/>
      </w:r>
      <w:r w:rsidRPr="002E7C66">
        <w:rPr>
          <w:rFonts w:asciiTheme="minorHAnsi" w:hAnsiTheme="minorHAnsi" w:cstheme="minorHAnsi"/>
          <w:color w:val="000000" w:themeColor="text1"/>
          <w:sz w:val="18"/>
          <w:szCs w:val="18"/>
        </w:rPr>
        <w:t xml:space="preserve"> Directive 2000/43/EC, ‘EU Council Directive on Implementing the Principle of Equal Treatment between Persons Irrespective of Racial or Ethnic Origin’, 29 June 2000.</w:t>
      </w:r>
    </w:p>
  </w:footnote>
  <w:footnote w:id="21">
    <w:p w14:paraId="619D603D" w14:textId="77777777" w:rsidR="003B1EE6" w:rsidRPr="002E7C66" w:rsidRDefault="003B1EE6" w:rsidP="002E7C66">
      <w:pPr>
        <w:pStyle w:val="FootnoteText"/>
        <w:spacing w:line="240" w:lineRule="auto"/>
        <w:rPr>
          <w:rFonts w:asciiTheme="minorHAnsi" w:hAnsiTheme="minorHAnsi" w:cstheme="minorHAnsi"/>
          <w:color w:val="000000" w:themeColor="text1"/>
          <w:sz w:val="18"/>
          <w:szCs w:val="18"/>
        </w:rPr>
      </w:pPr>
      <w:r w:rsidRPr="002E7C66">
        <w:rPr>
          <w:rStyle w:val="FootnoteReference"/>
          <w:rFonts w:asciiTheme="minorHAnsi" w:hAnsiTheme="minorHAnsi" w:cstheme="minorHAnsi"/>
          <w:color w:val="000000" w:themeColor="text1"/>
          <w:sz w:val="18"/>
          <w:szCs w:val="18"/>
        </w:rPr>
        <w:footnoteRef/>
      </w:r>
      <w:r w:rsidRPr="002E7C66">
        <w:rPr>
          <w:rFonts w:asciiTheme="minorHAnsi" w:hAnsiTheme="minorHAnsi" w:cstheme="minorHAnsi"/>
          <w:color w:val="000000" w:themeColor="text1"/>
          <w:sz w:val="18"/>
          <w:szCs w:val="18"/>
        </w:rPr>
        <w:t xml:space="preserve"> Directive 2000/78/EC, ‘EU Council Directive on Establishing a General Framework for Equal Treatment in Employment and Occupation’, 27 November 2000.</w:t>
      </w:r>
    </w:p>
  </w:footnote>
  <w:footnote w:id="22">
    <w:p w14:paraId="6D81E3EB" w14:textId="77777777" w:rsidR="003B1EE6" w:rsidRPr="002E7C66" w:rsidRDefault="003B1EE6" w:rsidP="002E7C66">
      <w:pPr>
        <w:pStyle w:val="FootnoteText"/>
        <w:spacing w:line="240" w:lineRule="auto"/>
        <w:rPr>
          <w:rFonts w:asciiTheme="minorHAnsi" w:hAnsiTheme="minorHAnsi" w:cstheme="minorHAnsi"/>
          <w:color w:val="000000" w:themeColor="text1"/>
          <w:sz w:val="18"/>
          <w:szCs w:val="18"/>
        </w:rPr>
      </w:pPr>
      <w:r w:rsidRPr="002E7C66">
        <w:rPr>
          <w:rStyle w:val="FootnoteReference"/>
          <w:rFonts w:asciiTheme="minorHAnsi" w:hAnsiTheme="minorHAnsi" w:cstheme="minorHAnsi"/>
          <w:color w:val="000000" w:themeColor="text1"/>
          <w:sz w:val="18"/>
          <w:szCs w:val="18"/>
        </w:rPr>
        <w:footnoteRef/>
      </w:r>
      <w:r w:rsidRPr="002E7C66">
        <w:rPr>
          <w:rFonts w:asciiTheme="minorHAnsi" w:hAnsiTheme="minorHAnsi" w:cstheme="minorHAnsi"/>
          <w:color w:val="000000" w:themeColor="text1"/>
          <w:sz w:val="18"/>
          <w:szCs w:val="18"/>
        </w:rPr>
        <w:t xml:space="preserve"> Directive 2010/41/EU, ‘EU Parliament and EU Council Directive on the Application of the Principle of Equal Treatment between Men and Women Engaged in an Activity in a Self-employed Capacity’, 7 July 2010.</w:t>
      </w:r>
    </w:p>
  </w:footnote>
  <w:footnote w:id="23">
    <w:p w14:paraId="2B118D75" w14:textId="77777777" w:rsidR="003B1EE6" w:rsidRPr="002E7C66" w:rsidRDefault="003B1EE6" w:rsidP="002E7C66">
      <w:pPr>
        <w:pStyle w:val="FootnoteText"/>
        <w:spacing w:line="240" w:lineRule="auto"/>
        <w:rPr>
          <w:rFonts w:asciiTheme="minorHAnsi" w:hAnsiTheme="minorHAnsi" w:cstheme="minorHAnsi"/>
          <w:color w:val="000000" w:themeColor="text1"/>
          <w:sz w:val="18"/>
          <w:szCs w:val="18"/>
        </w:rPr>
      </w:pPr>
      <w:r w:rsidRPr="002E7C66">
        <w:rPr>
          <w:rStyle w:val="FootnoteReference"/>
          <w:rFonts w:asciiTheme="minorHAnsi" w:hAnsiTheme="minorHAnsi" w:cstheme="minorHAnsi"/>
          <w:color w:val="000000" w:themeColor="text1"/>
          <w:sz w:val="18"/>
          <w:szCs w:val="18"/>
        </w:rPr>
        <w:footnoteRef/>
      </w:r>
      <w:r w:rsidRPr="002E7C66">
        <w:rPr>
          <w:rFonts w:asciiTheme="minorHAnsi" w:hAnsiTheme="minorHAnsi" w:cstheme="minorHAnsi"/>
          <w:color w:val="000000" w:themeColor="text1"/>
          <w:sz w:val="18"/>
          <w:szCs w:val="18"/>
        </w:rPr>
        <w:t xml:space="preserve"> Directive 79/7/EEC, ‘EU Council Directive on the Progressive Implementation of the Principle of Equal Treatment for Men and Women in Matters of Social Security’, 19 December 1978.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374"/>
    <w:multiLevelType w:val="hybridMultilevel"/>
    <w:tmpl w:val="E5CA2CE8"/>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1" w15:restartNumberingAfterBreak="0">
    <w:nsid w:val="07E51A84"/>
    <w:multiLevelType w:val="multilevel"/>
    <w:tmpl w:val="1E38BE70"/>
    <w:lvl w:ilvl="0">
      <w:start w:val="6"/>
      <w:numFmt w:val="decimal"/>
      <w:pStyle w:val="zH1"/>
      <w:lvlText w:val="%1"/>
      <w:lvlJc w:val="left"/>
      <w:pPr>
        <w:tabs>
          <w:tab w:val="num" w:pos="1134"/>
        </w:tabs>
        <w:ind w:left="1134" w:hanging="1134"/>
      </w:pPr>
      <w:rPr>
        <w:rFonts w:ascii="Arial Bold" w:hAnsi="Arial Bold" w:hint="default"/>
        <w:b/>
        <w:i w:val="0"/>
      </w:rPr>
    </w:lvl>
    <w:lvl w:ilvl="1">
      <w:start w:val="1"/>
      <w:numFmt w:val="none"/>
      <w:lvlText w:val=""/>
      <w:lvlJc w:val="left"/>
      <w:pPr>
        <w:tabs>
          <w:tab w:val="num" w:pos="576"/>
        </w:tabs>
        <w:ind w:left="1134" w:hanging="1134"/>
      </w:pPr>
      <w:rPr>
        <w:rFonts w:ascii="Arial" w:hAnsi="Arial" w:hint="default"/>
      </w:rPr>
    </w:lvl>
    <w:lvl w:ilvl="2">
      <w:start w:val="1"/>
      <w:numFmt w:val="none"/>
      <w:lvlRestart w:val="0"/>
      <w:lvlText w:val=""/>
      <w:lvlJc w:val="left"/>
      <w:pPr>
        <w:tabs>
          <w:tab w:val="num" w:pos="720"/>
        </w:tabs>
        <w:ind w:left="1134" w:hanging="1134"/>
      </w:pPr>
      <w:rPr>
        <w:rFonts w:ascii="Times New Roman" w:hAnsi="Times New Roman" w:hint="default"/>
        <w:color w:val="808080"/>
        <w:sz w:val="20"/>
        <w:szCs w:val="20"/>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decimal"/>
      <w:lvlRestart w:val="1"/>
      <w:pStyle w:val="zNumPara"/>
      <w:lvlText w:val="%1.%9"/>
      <w:lvlJc w:val="left"/>
      <w:pPr>
        <w:tabs>
          <w:tab w:val="num" w:pos="1134"/>
        </w:tabs>
        <w:ind w:left="1134" w:hanging="1134"/>
      </w:pPr>
      <w:rPr>
        <w:rFonts w:ascii="Century Gothic" w:hAnsi="Century Gothic" w:hint="default"/>
        <w:b w:val="0"/>
        <w:i w:val="0"/>
        <w:sz w:val="24"/>
        <w:szCs w:val="24"/>
      </w:rPr>
    </w:lvl>
  </w:abstractNum>
  <w:abstractNum w:abstractNumId="2" w15:restartNumberingAfterBreak="0">
    <w:nsid w:val="08846BAC"/>
    <w:multiLevelType w:val="hybridMultilevel"/>
    <w:tmpl w:val="E18E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521D4"/>
    <w:multiLevelType w:val="hybridMultilevel"/>
    <w:tmpl w:val="07F0BCE0"/>
    <w:styleLink w:val="ImportedStyle1"/>
    <w:lvl w:ilvl="0" w:tplc="95AEB8E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7E6AED8">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B9247C8">
      <w:start w:val="1"/>
      <w:numFmt w:val="lowerRoman"/>
      <w:lvlText w:val="%3."/>
      <w:lvlJc w:val="left"/>
      <w:pPr>
        <w:ind w:left="2007"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3A345B0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F101458">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FEE37DC">
      <w:start w:val="1"/>
      <w:numFmt w:val="lowerRoman"/>
      <w:lvlText w:val="%6."/>
      <w:lvlJc w:val="left"/>
      <w:pPr>
        <w:ind w:left="4167"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5BC8618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244E75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A2441BC">
      <w:start w:val="1"/>
      <w:numFmt w:val="lowerRoman"/>
      <w:lvlText w:val="%9."/>
      <w:lvlJc w:val="left"/>
      <w:pPr>
        <w:ind w:left="6327"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5C3862"/>
    <w:multiLevelType w:val="multilevel"/>
    <w:tmpl w:val="543CE714"/>
    <w:lvl w:ilvl="0">
      <w:start w:val="1"/>
      <w:numFmt w:val="decimal"/>
      <w:pStyle w:val="Heading1"/>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116167E1"/>
    <w:multiLevelType w:val="hybridMultilevel"/>
    <w:tmpl w:val="E62A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70589"/>
    <w:multiLevelType w:val="multilevel"/>
    <w:tmpl w:val="568249CE"/>
    <w:lvl w:ilvl="0">
      <w:start w:val="1"/>
      <w:numFmt w:val="decimal"/>
      <w:lvlText w:val="%1.0"/>
      <w:lvlJc w:val="left"/>
      <w:pPr>
        <w:ind w:left="720" w:hanging="720"/>
      </w:pPr>
      <w:rPr>
        <w:rFonts w:hint="default"/>
      </w:rPr>
    </w:lvl>
    <w:lvl w:ilvl="1">
      <w:start w:val="1"/>
      <w:numFmt w:val="decimal"/>
      <w:pStyle w:val="ListParagraph"/>
      <w:lvlText w:val="%1.%2"/>
      <w:lvlJc w:val="left"/>
      <w:pPr>
        <w:ind w:left="720"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 w15:restartNumberingAfterBreak="0">
    <w:nsid w:val="188A293E"/>
    <w:multiLevelType w:val="hybridMultilevel"/>
    <w:tmpl w:val="126AC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E63962"/>
    <w:multiLevelType w:val="hybridMultilevel"/>
    <w:tmpl w:val="815C20B2"/>
    <w:lvl w:ilvl="0" w:tplc="98CAFCEA">
      <w:start w:val="1"/>
      <w:numFmt w:val="bullet"/>
      <w:pStyle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A5F7498"/>
    <w:multiLevelType w:val="hybridMultilevel"/>
    <w:tmpl w:val="615C6DA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0" w15:restartNumberingAfterBreak="0">
    <w:nsid w:val="1A847102"/>
    <w:multiLevelType w:val="hybridMultilevel"/>
    <w:tmpl w:val="3190D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76D8D"/>
    <w:multiLevelType w:val="hybridMultilevel"/>
    <w:tmpl w:val="17C8C4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1F303B03"/>
    <w:multiLevelType w:val="hybridMultilevel"/>
    <w:tmpl w:val="3C4A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F4E2D"/>
    <w:multiLevelType w:val="hybridMultilevel"/>
    <w:tmpl w:val="BDAE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70F2"/>
    <w:multiLevelType w:val="hybridMultilevel"/>
    <w:tmpl w:val="7E82A3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FBC029F"/>
    <w:multiLevelType w:val="hybridMultilevel"/>
    <w:tmpl w:val="0CF21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D4FEE"/>
    <w:multiLevelType w:val="hybridMultilevel"/>
    <w:tmpl w:val="241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F3EA3"/>
    <w:multiLevelType w:val="multilevel"/>
    <w:tmpl w:val="65D0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F47034"/>
    <w:multiLevelType w:val="hybridMultilevel"/>
    <w:tmpl w:val="7124FE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0EC63FF"/>
    <w:multiLevelType w:val="hybridMultilevel"/>
    <w:tmpl w:val="10A60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C7BA7"/>
    <w:multiLevelType w:val="hybridMultilevel"/>
    <w:tmpl w:val="218699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81062B7"/>
    <w:multiLevelType w:val="multilevel"/>
    <w:tmpl w:val="B3CC3F4E"/>
    <w:lvl w:ilvl="0">
      <w:start w:val="1"/>
      <w:numFmt w:val="decimal"/>
      <w:lvlText w:val="%1.0"/>
      <w:lvlJc w:val="left"/>
      <w:pPr>
        <w:ind w:left="720" w:hanging="720"/>
      </w:pPr>
      <w:rPr>
        <w:rFonts w:hint="default"/>
      </w:rPr>
    </w:lvl>
    <w:lvl w:ilvl="1">
      <w:start w:val="1"/>
      <w:numFmt w:val="bullet"/>
      <w:lvlText w:val=""/>
      <w:lvlJc w:val="left"/>
      <w:pPr>
        <w:ind w:left="1146" w:hanging="720"/>
      </w:pPr>
      <w:rPr>
        <w:rFonts w:ascii="Symbol" w:hAnsi="Symbol"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2" w15:restartNumberingAfterBreak="0">
    <w:nsid w:val="4A6551AF"/>
    <w:multiLevelType w:val="hybridMultilevel"/>
    <w:tmpl w:val="5D260BD2"/>
    <w:lvl w:ilvl="0" w:tplc="1668E0D8">
      <w:start w:val="1"/>
      <w:numFmt w:val="decimal"/>
      <w:lvlText w:val="%1."/>
      <w:lvlJc w:val="left"/>
      <w:pPr>
        <w:ind w:left="454" w:hanging="45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8C19DD"/>
    <w:multiLevelType w:val="hybridMultilevel"/>
    <w:tmpl w:val="C76E6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9504F"/>
    <w:multiLevelType w:val="hybridMultilevel"/>
    <w:tmpl w:val="67B04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114771"/>
    <w:multiLevelType w:val="hybridMultilevel"/>
    <w:tmpl w:val="E79CD5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935198A"/>
    <w:multiLevelType w:val="hybridMultilevel"/>
    <w:tmpl w:val="E9B8ED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D8336D1"/>
    <w:multiLevelType w:val="hybridMultilevel"/>
    <w:tmpl w:val="9E468F6C"/>
    <w:lvl w:ilvl="0" w:tplc="96D050C2">
      <w:start w:val="4"/>
      <w:numFmt w:val="bullet"/>
      <w:lvlText w:val="-"/>
      <w:lvlJc w:val="left"/>
      <w:pPr>
        <w:ind w:left="1080" w:hanging="360"/>
      </w:pPr>
      <w:rPr>
        <w:rFonts w:ascii="Verdana" w:eastAsiaTheme="minorEastAsia"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A665F2"/>
    <w:multiLevelType w:val="hybridMultilevel"/>
    <w:tmpl w:val="40125388"/>
    <w:lvl w:ilvl="0" w:tplc="EE4EEE52">
      <w:start w:val="1"/>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F54071"/>
    <w:multiLevelType w:val="hybridMultilevel"/>
    <w:tmpl w:val="E5D0F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B524C3B"/>
    <w:multiLevelType w:val="hybridMultilevel"/>
    <w:tmpl w:val="EA469F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C6953D4"/>
    <w:multiLevelType w:val="hybridMultilevel"/>
    <w:tmpl w:val="4852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7A3CFE"/>
    <w:multiLevelType w:val="hybridMultilevel"/>
    <w:tmpl w:val="4D7CD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8371FD"/>
    <w:multiLevelType w:val="hybridMultilevel"/>
    <w:tmpl w:val="DB7EEBD0"/>
    <w:lvl w:ilvl="0" w:tplc="D1427C10">
      <w:numFmt w:val="bullet"/>
      <w:lvlText w:val="-"/>
      <w:lvlJc w:val="left"/>
      <w:pPr>
        <w:ind w:left="1080" w:hanging="360"/>
      </w:pPr>
      <w:rPr>
        <w:rFonts w:ascii="Verdana" w:eastAsiaTheme="minorEastAsia"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A375234"/>
    <w:multiLevelType w:val="multilevel"/>
    <w:tmpl w:val="A3E878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7A804457"/>
    <w:multiLevelType w:val="hybridMultilevel"/>
    <w:tmpl w:val="07F0BCE0"/>
    <w:numStyleLink w:val="ImportedStyle1"/>
  </w:abstractNum>
  <w:num w:numId="1">
    <w:abstractNumId w:val="4"/>
  </w:num>
  <w:num w:numId="2">
    <w:abstractNumId w:val="6"/>
  </w:num>
  <w:num w:numId="3">
    <w:abstractNumId w:val="34"/>
  </w:num>
  <w:num w:numId="4">
    <w:abstractNumId w:val="29"/>
  </w:num>
  <w:num w:numId="5">
    <w:abstractNumId w:val="14"/>
  </w:num>
  <w:num w:numId="6">
    <w:abstractNumId w:val="19"/>
  </w:num>
  <w:num w:numId="7">
    <w:abstractNumId w:val="30"/>
  </w:num>
  <w:num w:numId="8">
    <w:abstractNumId w:val="1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1"/>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1"/>
  </w:num>
  <w:num w:numId="23">
    <w:abstractNumId w:val="0"/>
  </w:num>
  <w:num w:numId="24">
    <w:abstractNumId w:val="15"/>
  </w:num>
  <w:num w:numId="25">
    <w:abstractNumId w:val="25"/>
  </w:num>
  <w:num w:numId="26">
    <w:abstractNumId w:val="5"/>
  </w:num>
  <w:num w:numId="27">
    <w:abstractNumId w:val="32"/>
  </w:num>
  <w:num w:numId="28">
    <w:abstractNumId w:val="16"/>
  </w:num>
  <w:num w:numId="29">
    <w:abstractNumId w:val="23"/>
  </w:num>
  <w:num w:numId="30">
    <w:abstractNumId w:val="31"/>
  </w:num>
  <w:num w:numId="31">
    <w:abstractNumId w:val="2"/>
  </w:num>
  <w:num w:numId="32">
    <w:abstractNumId w:val="9"/>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3"/>
  </w:num>
  <w:num w:numId="36">
    <w:abstractNumId w:val="20"/>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num>
  <w:num w:numId="40">
    <w:abstractNumId w:val="4"/>
  </w:num>
  <w:num w:numId="41">
    <w:abstractNumId w:val="24"/>
  </w:num>
  <w:num w:numId="42">
    <w:abstractNumId w:val="27"/>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33"/>
  </w:num>
  <w:num w:numId="46">
    <w:abstractNumId w:val="8"/>
  </w:num>
  <w:num w:numId="4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28"/>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150"/>
    <w:rsid w:val="00001A80"/>
    <w:rsid w:val="00001C28"/>
    <w:rsid w:val="00004F37"/>
    <w:rsid w:val="00005E39"/>
    <w:rsid w:val="00006095"/>
    <w:rsid w:val="00006B79"/>
    <w:rsid w:val="00006B82"/>
    <w:rsid w:val="0000711D"/>
    <w:rsid w:val="00010110"/>
    <w:rsid w:val="00010F9A"/>
    <w:rsid w:val="000120A5"/>
    <w:rsid w:val="00013FAD"/>
    <w:rsid w:val="00014FD9"/>
    <w:rsid w:val="000152E2"/>
    <w:rsid w:val="00015528"/>
    <w:rsid w:val="00016240"/>
    <w:rsid w:val="00016A39"/>
    <w:rsid w:val="00020D05"/>
    <w:rsid w:val="00021757"/>
    <w:rsid w:val="00021BAF"/>
    <w:rsid w:val="00022291"/>
    <w:rsid w:val="0002259C"/>
    <w:rsid w:val="00025528"/>
    <w:rsid w:val="0002599C"/>
    <w:rsid w:val="00025AA2"/>
    <w:rsid w:val="00026996"/>
    <w:rsid w:val="00026B10"/>
    <w:rsid w:val="00026E46"/>
    <w:rsid w:val="0003175E"/>
    <w:rsid w:val="00031B5F"/>
    <w:rsid w:val="00032142"/>
    <w:rsid w:val="000328C5"/>
    <w:rsid w:val="00032C82"/>
    <w:rsid w:val="00033BBD"/>
    <w:rsid w:val="000342D6"/>
    <w:rsid w:val="00034AB7"/>
    <w:rsid w:val="000351E1"/>
    <w:rsid w:val="00036AEE"/>
    <w:rsid w:val="00036FDC"/>
    <w:rsid w:val="00037F49"/>
    <w:rsid w:val="00040230"/>
    <w:rsid w:val="000404FB"/>
    <w:rsid w:val="000405B1"/>
    <w:rsid w:val="00041090"/>
    <w:rsid w:val="000429CB"/>
    <w:rsid w:val="00042DCC"/>
    <w:rsid w:val="000431F4"/>
    <w:rsid w:val="00043B92"/>
    <w:rsid w:val="00043F49"/>
    <w:rsid w:val="000457DB"/>
    <w:rsid w:val="000466A1"/>
    <w:rsid w:val="00046F21"/>
    <w:rsid w:val="000509B7"/>
    <w:rsid w:val="00050BF7"/>
    <w:rsid w:val="0005231C"/>
    <w:rsid w:val="00052D56"/>
    <w:rsid w:val="000546A1"/>
    <w:rsid w:val="000546CD"/>
    <w:rsid w:val="00054DB4"/>
    <w:rsid w:val="00055728"/>
    <w:rsid w:val="00055CE2"/>
    <w:rsid w:val="00060F33"/>
    <w:rsid w:val="00061275"/>
    <w:rsid w:val="00061D9B"/>
    <w:rsid w:val="00062598"/>
    <w:rsid w:val="00063568"/>
    <w:rsid w:val="00066D9E"/>
    <w:rsid w:val="000679A1"/>
    <w:rsid w:val="00067A64"/>
    <w:rsid w:val="00067F8E"/>
    <w:rsid w:val="00070211"/>
    <w:rsid w:val="00071165"/>
    <w:rsid w:val="000711F9"/>
    <w:rsid w:val="00072111"/>
    <w:rsid w:val="0007227D"/>
    <w:rsid w:val="000729AF"/>
    <w:rsid w:val="00075438"/>
    <w:rsid w:val="000760C1"/>
    <w:rsid w:val="00076E6E"/>
    <w:rsid w:val="0007735B"/>
    <w:rsid w:val="0007772B"/>
    <w:rsid w:val="00077A91"/>
    <w:rsid w:val="00080464"/>
    <w:rsid w:val="00080830"/>
    <w:rsid w:val="00080BBF"/>
    <w:rsid w:val="00080C38"/>
    <w:rsid w:val="00082186"/>
    <w:rsid w:val="000831DE"/>
    <w:rsid w:val="0008332F"/>
    <w:rsid w:val="000835C7"/>
    <w:rsid w:val="000837ED"/>
    <w:rsid w:val="0008382C"/>
    <w:rsid w:val="000851A6"/>
    <w:rsid w:val="00086F59"/>
    <w:rsid w:val="00087CB1"/>
    <w:rsid w:val="00087E6E"/>
    <w:rsid w:val="0009069B"/>
    <w:rsid w:val="00090A52"/>
    <w:rsid w:val="00091189"/>
    <w:rsid w:val="00092BC2"/>
    <w:rsid w:val="000941B1"/>
    <w:rsid w:val="00094ADB"/>
    <w:rsid w:val="00095841"/>
    <w:rsid w:val="0009704D"/>
    <w:rsid w:val="00097714"/>
    <w:rsid w:val="00097787"/>
    <w:rsid w:val="000A0E8E"/>
    <w:rsid w:val="000A1257"/>
    <w:rsid w:val="000A136D"/>
    <w:rsid w:val="000A1FBA"/>
    <w:rsid w:val="000A1FBE"/>
    <w:rsid w:val="000A2684"/>
    <w:rsid w:val="000A2ABC"/>
    <w:rsid w:val="000A2E98"/>
    <w:rsid w:val="000A3EE4"/>
    <w:rsid w:val="000A6A66"/>
    <w:rsid w:val="000A79C1"/>
    <w:rsid w:val="000B169D"/>
    <w:rsid w:val="000B1A9D"/>
    <w:rsid w:val="000B25B8"/>
    <w:rsid w:val="000B3980"/>
    <w:rsid w:val="000B4162"/>
    <w:rsid w:val="000B4682"/>
    <w:rsid w:val="000B5100"/>
    <w:rsid w:val="000B5439"/>
    <w:rsid w:val="000B582B"/>
    <w:rsid w:val="000B6090"/>
    <w:rsid w:val="000B7216"/>
    <w:rsid w:val="000B7872"/>
    <w:rsid w:val="000C0BCA"/>
    <w:rsid w:val="000C1482"/>
    <w:rsid w:val="000C18CC"/>
    <w:rsid w:val="000C1BDD"/>
    <w:rsid w:val="000C28A3"/>
    <w:rsid w:val="000C3683"/>
    <w:rsid w:val="000C5310"/>
    <w:rsid w:val="000C5F4B"/>
    <w:rsid w:val="000C7764"/>
    <w:rsid w:val="000C7D76"/>
    <w:rsid w:val="000D0640"/>
    <w:rsid w:val="000D0921"/>
    <w:rsid w:val="000D184C"/>
    <w:rsid w:val="000D1959"/>
    <w:rsid w:val="000D1DAA"/>
    <w:rsid w:val="000D1E7C"/>
    <w:rsid w:val="000D21CB"/>
    <w:rsid w:val="000D2856"/>
    <w:rsid w:val="000D375E"/>
    <w:rsid w:val="000D4B4A"/>
    <w:rsid w:val="000D63B1"/>
    <w:rsid w:val="000D6E04"/>
    <w:rsid w:val="000D71A9"/>
    <w:rsid w:val="000E059A"/>
    <w:rsid w:val="000E12B4"/>
    <w:rsid w:val="000E1C44"/>
    <w:rsid w:val="000E2011"/>
    <w:rsid w:val="000E2508"/>
    <w:rsid w:val="000E28B6"/>
    <w:rsid w:val="000E34F6"/>
    <w:rsid w:val="000E3A82"/>
    <w:rsid w:val="000E5134"/>
    <w:rsid w:val="000E5DCD"/>
    <w:rsid w:val="000E6C3A"/>
    <w:rsid w:val="000E7527"/>
    <w:rsid w:val="000F0964"/>
    <w:rsid w:val="000F0A4F"/>
    <w:rsid w:val="000F331C"/>
    <w:rsid w:val="000F588F"/>
    <w:rsid w:val="000F7BBD"/>
    <w:rsid w:val="00100770"/>
    <w:rsid w:val="001008C1"/>
    <w:rsid w:val="00100B07"/>
    <w:rsid w:val="00100C14"/>
    <w:rsid w:val="001041B5"/>
    <w:rsid w:val="001061EE"/>
    <w:rsid w:val="00111397"/>
    <w:rsid w:val="00111738"/>
    <w:rsid w:val="001130E0"/>
    <w:rsid w:val="00113607"/>
    <w:rsid w:val="00113D53"/>
    <w:rsid w:val="001165D5"/>
    <w:rsid w:val="001166EB"/>
    <w:rsid w:val="00116BF3"/>
    <w:rsid w:val="00117310"/>
    <w:rsid w:val="00117660"/>
    <w:rsid w:val="001202F5"/>
    <w:rsid w:val="00121EF9"/>
    <w:rsid w:val="00122572"/>
    <w:rsid w:val="001239E6"/>
    <w:rsid w:val="00123FFA"/>
    <w:rsid w:val="00124B37"/>
    <w:rsid w:val="00124E16"/>
    <w:rsid w:val="00125DD0"/>
    <w:rsid w:val="00126702"/>
    <w:rsid w:val="00126784"/>
    <w:rsid w:val="00126F90"/>
    <w:rsid w:val="001274F9"/>
    <w:rsid w:val="00130071"/>
    <w:rsid w:val="0013070C"/>
    <w:rsid w:val="001308F6"/>
    <w:rsid w:val="00131DFA"/>
    <w:rsid w:val="001321AF"/>
    <w:rsid w:val="001322A8"/>
    <w:rsid w:val="001330ED"/>
    <w:rsid w:val="0013324A"/>
    <w:rsid w:val="0013344F"/>
    <w:rsid w:val="001338A4"/>
    <w:rsid w:val="00133B6A"/>
    <w:rsid w:val="0013415B"/>
    <w:rsid w:val="00134281"/>
    <w:rsid w:val="0013538F"/>
    <w:rsid w:val="001353CB"/>
    <w:rsid w:val="00137963"/>
    <w:rsid w:val="00137EB0"/>
    <w:rsid w:val="0014010C"/>
    <w:rsid w:val="00141232"/>
    <w:rsid w:val="00141923"/>
    <w:rsid w:val="001436A8"/>
    <w:rsid w:val="00143980"/>
    <w:rsid w:val="00143E2B"/>
    <w:rsid w:val="00146A52"/>
    <w:rsid w:val="00146D0B"/>
    <w:rsid w:val="00146D4C"/>
    <w:rsid w:val="00147EAA"/>
    <w:rsid w:val="001512C4"/>
    <w:rsid w:val="0015151F"/>
    <w:rsid w:val="00151AB3"/>
    <w:rsid w:val="00152E44"/>
    <w:rsid w:val="00153CE8"/>
    <w:rsid w:val="001544A5"/>
    <w:rsid w:val="00154BAA"/>
    <w:rsid w:val="001558D9"/>
    <w:rsid w:val="00160308"/>
    <w:rsid w:val="00160C92"/>
    <w:rsid w:val="0016183A"/>
    <w:rsid w:val="00161E04"/>
    <w:rsid w:val="001625BA"/>
    <w:rsid w:val="001633F2"/>
    <w:rsid w:val="001633FE"/>
    <w:rsid w:val="00163960"/>
    <w:rsid w:val="00164A5C"/>
    <w:rsid w:val="00166131"/>
    <w:rsid w:val="00166B58"/>
    <w:rsid w:val="00167715"/>
    <w:rsid w:val="00170696"/>
    <w:rsid w:val="00171890"/>
    <w:rsid w:val="00171D13"/>
    <w:rsid w:val="001722C4"/>
    <w:rsid w:val="00175C57"/>
    <w:rsid w:val="00176F88"/>
    <w:rsid w:val="00177920"/>
    <w:rsid w:val="00180C95"/>
    <w:rsid w:val="0018113A"/>
    <w:rsid w:val="00183B9F"/>
    <w:rsid w:val="00184B65"/>
    <w:rsid w:val="00184E41"/>
    <w:rsid w:val="0018664C"/>
    <w:rsid w:val="00186A16"/>
    <w:rsid w:val="00186C38"/>
    <w:rsid w:val="00187788"/>
    <w:rsid w:val="00190566"/>
    <w:rsid w:val="00191DC5"/>
    <w:rsid w:val="0019207B"/>
    <w:rsid w:val="001923C4"/>
    <w:rsid w:val="001935D2"/>
    <w:rsid w:val="0019433B"/>
    <w:rsid w:val="00197323"/>
    <w:rsid w:val="0019753B"/>
    <w:rsid w:val="00197599"/>
    <w:rsid w:val="001A04DB"/>
    <w:rsid w:val="001A124D"/>
    <w:rsid w:val="001A1C21"/>
    <w:rsid w:val="001A39D2"/>
    <w:rsid w:val="001A3D1C"/>
    <w:rsid w:val="001A3FF0"/>
    <w:rsid w:val="001A4623"/>
    <w:rsid w:val="001A5656"/>
    <w:rsid w:val="001A5C48"/>
    <w:rsid w:val="001A788C"/>
    <w:rsid w:val="001B234C"/>
    <w:rsid w:val="001B24DC"/>
    <w:rsid w:val="001B2DD4"/>
    <w:rsid w:val="001B49DA"/>
    <w:rsid w:val="001B578E"/>
    <w:rsid w:val="001B5D62"/>
    <w:rsid w:val="001B7A89"/>
    <w:rsid w:val="001C0E21"/>
    <w:rsid w:val="001C1C8B"/>
    <w:rsid w:val="001C1D36"/>
    <w:rsid w:val="001C2080"/>
    <w:rsid w:val="001C314C"/>
    <w:rsid w:val="001C4E24"/>
    <w:rsid w:val="001C6084"/>
    <w:rsid w:val="001D0267"/>
    <w:rsid w:val="001D2D7D"/>
    <w:rsid w:val="001D3A3B"/>
    <w:rsid w:val="001D47D7"/>
    <w:rsid w:val="001D5191"/>
    <w:rsid w:val="001D5546"/>
    <w:rsid w:val="001D781B"/>
    <w:rsid w:val="001D79F4"/>
    <w:rsid w:val="001E1001"/>
    <w:rsid w:val="001E11D1"/>
    <w:rsid w:val="001E1FD8"/>
    <w:rsid w:val="001E2871"/>
    <w:rsid w:val="001E28F2"/>
    <w:rsid w:val="001E3B22"/>
    <w:rsid w:val="001E3E9C"/>
    <w:rsid w:val="001E41C1"/>
    <w:rsid w:val="001E4958"/>
    <w:rsid w:val="001E57AB"/>
    <w:rsid w:val="001E6504"/>
    <w:rsid w:val="001E70AA"/>
    <w:rsid w:val="001E79AB"/>
    <w:rsid w:val="001E7E94"/>
    <w:rsid w:val="001F26E6"/>
    <w:rsid w:val="001F3279"/>
    <w:rsid w:val="001F3A23"/>
    <w:rsid w:val="001F47EF"/>
    <w:rsid w:val="001F587F"/>
    <w:rsid w:val="001F7858"/>
    <w:rsid w:val="002019A7"/>
    <w:rsid w:val="00201C4C"/>
    <w:rsid w:val="002036D8"/>
    <w:rsid w:val="00204043"/>
    <w:rsid w:val="00204391"/>
    <w:rsid w:val="0020485B"/>
    <w:rsid w:val="00205DFE"/>
    <w:rsid w:val="00207E75"/>
    <w:rsid w:val="00210BC1"/>
    <w:rsid w:val="002118D1"/>
    <w:rsid w:val="00211AE2"/>
    <w:rsid w:val="00211B43"/>
    <w:rsid w:val="002128E4"/>
    <w:rsid w:val="002132A6"/>
    <w:rsid w:val="002133F0"/>
    <w:rsid w:val="00214707"/>
    <w:rsid w:val="0021648D"/>
    <w:rsid w:val="0021725F"/>
    <w:rsid w:val="00217BA2"/>
    <w:rsid w:val="00217D4E"/>
    <w:rsid w:val="002202A1"/>
    <w:rsid w:val="0022115D"/>
    <w:rsid w:val="0022350E"/>
    <w:rsid w:val="00223BBF"/>
    <w:rsid w:val="00225563"/>
    <w:rsid w:val="00226061"/>
    <w:rsid w:val="00226435"/>
    <w:rsid w:val="002266ED"/>
    <w:rsid w:val="00226EDE"/>
    <w:rsid w:val="00227966"/>
    <w:rsid w:val="0023029D"/>
    <w:rsid w:val="00231C80"/>
    <w:rsid w:val="0023244E"/>
    <w:rsid w:val="002329D9"/>
    <w:rsid w:val="00232C9B"/>
    <w:rsid w:val="002334A6"/>
    <w:rsid w:val="00233776"/>
    <w:rsid w:val="00234345"/>
    <w:rsid w:val="002346D6"/>
    <w:rsid w:val="00234EA5"/>
    <w:rsid w:val="0023541C"/>
    <w:rsid w:val="0023700F"/>
    <w:rsid w:val="0023701B"/>
    <w:rsid w:val="002403F0"/>
    <w:rsid w:val="00240C02"/>
    <w:rsid w:val="00240E15"/>
    <w:rsid w:val="00241D69"/>
    <w:rsid w:val="00242BE9"/>
    <w:rsid w:val="002461DF"/>
    <w:rsid w:val="002464D2"/>
    <w:rsid w:val="00246809"/>
    <w:rsid w:val="00247A0A"/>
    <w:rsid w:val="0025076C"/>
    <w:rsid w:val="00251419"/>
    <w:rsid w:val="00251B3A"/>
    <w:rsid w:val="0025285E"/>
    <w:rsid w:val="00255CAE"/>
    <w:rsid w:val="00257655"/>
    <w:rsid w:val="00257E5A"/>
    <w:rsid w:val="00260846"/>
    <w:rsid w:val="002612F5"/>
    <w:rsid w:val="00261668"/>
    <w:rsid w:val="00261FA3"/>
    <w:rsid w:val="00262A87"/>
    <w:rsid w:val="00262D2C"/>
    <w:rsid w:val="002634D4"/>
    <w:rsid w:val="00266C2F"/>
    <w:rsid w:val="0026787E"/>
    <w:rsid w:val="00270F76"/>
    <w:rsid w:val="00271063"/>
    <w:rsid w:val="002725B2"/>
    <w:rsid w:val="00272C00"/>
    <w:rsid w:val="0027339C"/>
    <w:rsid w:val="00274588"/>
    <w:rsid w:val="002753E1"/>
    <w:rsid w:val="00275D54"/>
    <w:rsid w:val="0028462A"/>
    <w:rsid w:val="002846CC"/>
    <w:rsid w:val="00287BE8"/>
    <w:rsid w:val="00290220"/>
    <w:rsid w:val="00292323"/>
    <w:rsid w:val="00293241"/>
    <w:rsid w:val="00294573"/>
    <w:rsid w:val="00294E1C"/>
    <w:rsid w:val="00295555"/>
    <w:rsid w:val="00296263"/>
    <w:rsid w:val="002A0D30"/>
    <w:rsid w:val="002A10C2"/>
    <w:rsid w:val="002A22D3"/>
    <w:rsid w:val="002A3C94"/>
    <w:rsid w:val="002A3E3A"/>
    <w:rsid w:val="002A43C4"/>
    <w:rsid w:val="002A458D"/>
    <w:rsid w:val="002A525E"/>
    <w:rsid w:val="002A6593"/>
    <w:rsid w:val="002A6692"/>
    <w:rsid w:val="002A670E"/>
    <w:rsid w:val="002A69AC"/>
    <w:rsid w:val="002A703F"/>
    <w:rsid w:val="002A7609"/>
    <w:rsid w:val="002B0021"/>
    <w:rsid w:val="002B09C1"/>
    <w:rsid w:val="002B1B3E"/>
    <w:rsid w:val="002B1F2B"/>
    <w:rsid w:val="002B22AE"/>
    <w:rsid w:val="002B30E7"/>
    <w:rsid w:val="002B326D"/>
    <w:rsid w:val="002B3B7A"/>
    <w:rsid w:val="002B3FA2"/>
    <w:rsid w:val="002B43D4"/>
    <w:rsid w:val="002B45D3"/>
    <w:rsid w:val="002B5263"/>
    <w:rsid w:val="002B59A9"/>
    <w:rsid w:val="002B702E"/>
    <w:rsid w:val="002C0164"/>
    <w:rsid w:val="002C310B"/>
    <w:rsid w:val="002C3A20"/>
    <w:rsid w:val="002C4AE2"/>
    <w:rsid w:val="002C59D0"/>
    <w:rsid w:val="002D0DF3"/>
    <w:rsid w:val="002D0E25"/>
    <w:rsid w:val="002D1128"/>
    <w:rsid w:val="002D19B7"/>
    <w:rsid w:val="002D1CBA"/>
    <w:rsid w:val="002D246C"/>
    <w:rsid w:val="002D275B"/>
    <w:rsid w:val="002D37BD"/>
    <w:rsid w:val="002D3EED"/>
    <w:rsid w:val="002D403A"/>
    <w:rsid w:val="002D5984"/>
    <w:rsid w:val="002D5A45"/>
    <w:rsid w:val="002D5F33"/>
    <w:rsid w:val="002D61CE"/>
    <w:rsid w:val="002D6E99"/>
    <w:rsid w:val="002D7F16"/>
    <w:rsid w:val="002D7FFC"/>
    <w:rsid w:val="002E051D"/>
    <w:rsid w:val="002E0EC5"/>
    <w:rsid w:val="002E14B8"/>
    <w:rsid w:val="002E21E5"/>
    <w:rsid w:val="002E27B4"/>
    <w:rsid w:val="002E3F52"/>
    <w:rsid w:val="002E402B"/>
    <w:rsid w:val="002E4393"/>
    <w:rsid w:val="002E46C8"/>
    <w:rsid w:val="002E49B0"/>
    <w:rsid w:val="002E5115"/>
    <w:rsid w:val="002E5186"/>
    <w:rsid w:val="002E7C66"/>
    <w:rsid w:val="002F1274"/>
    <w:rsid w:val="002F1C5B"/>
    <w:rsid w:val="002F2DDF"/>
    <w:rsid w:val="002F30F6"/>
    <w:rsid w:val="002F4245"/>
    <w:rsid w:val="002F6526"/>
    <w:rsid w:val="002F6983"/>
    <w:rsid w:val="002F7C58"/>
    <w:rsid w:val="00300B76"/>
    <w:rsid w:val="00300EC3"/>
    <w:rsid w:val="0030271C"/>
    <w:rsid w:val="00302B8D"/>
    <w:rsid w:val="003033B9"/>
    <w:rsid w:val="003035C2"/>
    <w:rsid w:val="00303C32"/>
    <w:rsid w:val="00304434"/>
    <w:rsid w:val="003050BD"/>
    <w:rsid w:val="00305F56"/>
    <w:rsid w:val="00307C73"/>
    <w:rsid w:val="00310147"/>
    <w:rsid w:val="003108E5"/>
    <w:rsid w:val="0031099A"/>
    <w:rsid w:val="003111F6"/>
    <w:rsid w:val="00311D63"/>
    <w:rsid w:val="00312698"/>
    <w:rsid w:val="00312DCC"/>
    <w:rsid w:val="00316388"/>
    <w:rsid w:val="003171C1"/>
    <w:rsid w:val="0032047C"/>
    <w:rsid w:val="0032113D"/>
    <w:rsid w:val="00321171"/>
    <w:rsid w:val="0032177C"/>
    <w:rsid w:val="00321E48"/>
    <w:rsid w:val="00322B3F"/>
    <w:rsid w:val="00323645"/>
    <w:rsid w:val="00324952"/>
    <w:rsid w:val="003258AF"/>
    <w:rsid w:val="003266E5"/>
    <w:rsid w:val="00327D06"/>
    <w:rsid w:val="003300D1"/>
    <w:rsid w:val="003301AD"/>
    <w:rsid w:val="00330E9B"/>
    <w:rsid w:val="00331B41"/>
    <w:rsid w:val="0033315B"/>
    <w:rsid w:val="00334FEE"/>
    <w:rsid w:val="00335030"/>
    <w:rsid w:val="00336F2C"/>
    <w:rsid w:val="00337FB2"/>
    <w:rsid w:val="003401C7"/>
    <w:rsid w:val="003415D9"/>
    <w:rsid w:val="003426EB"/>
    <w:rsid w:val="00343587"/>
    <w:rsid w:val="0034444F"/>
    <w:rsid w:val="00345BDF"/>
    <w:rsid w:val="003470D6"/>
    <w:rsid w:val="003518EF"/>
    <w:rsid w:val="00352588"/>
    <w:rsid w:val="00352E67"/>
    <w:rsid w:val="00353407"/>
    <w:rsid w:val="0035373A"/>
    <w:rsid w:val="00353BF3"/>
    <w:rsid w:val="0035402C"/>
    <w:rsid w:val="003543C4"/>
    <w:rsid w:val="00354846"/>
    <w:rsid w:val="00354D62"/>
    <w:rsid w:val="0036071B"/>
    <w:rsid w:val="0036080D"/>
    <w:rsid w:val="00360EF0"/>
    <w:rsid w:val="00362318"/>
    <w:rsid w:val="00363B4D"/>
    <w:rsid w:val="00363CED"/>
    <w:rsid w:val="00365B1A"/>
    <w:rsid w:val="003660C2"/>
    <w:rsid w:val="0036670A"/>
    <w:rsid w:val="00367817"/>
    <w:rsid w:val="003703C7"/>
    <w:rsid w:val="00370A9B"/>
    <w:rsid w:val="0037118C"/>
    <w:rsid w:val="00371A47"/>
    <w:rsid w:val="0037276D"/>
    <w:rsid w:val="003735FE"/>
    <w:rsid w:val="0037584E"/>
    <w:rsid w:val="00377BCB"/>
    <w:rsid w:val="00380778"/>
    <w:rsid w:val="003812F1"/>
    <w:rsid w:val="0038154C"/>
    <w:rsid w:val="00381721"/>
    <w:rsid w:val="00381C69"/>
    <w:rsid w:val="00382289"/>
    <w:rsid w:val="00383C7D"/>
    <w:rsid w:val="0038478C"/>
    <w:rsid w:val="00384EF3"/>
    <w:rsid w:val="003852A5"/>
    <w:rsid w:val="00386907"/>
    <w:rsid w:val="00386CC4"/>
    <w:rsid w:val="003873CD"/>
    <w:rsid w:val="00387562"/>
    <w:rsid w:val="00391D74"/>
    <w:rsid w:val="00393CF3"/>
    <w:rsid w:val="003943D6"/>
    <w:rsid w:val="00395762"/>
    <w:rsid w:val="00395835"/>
    <w:rsid w:val="0039634C"/>
    <w:rsid w:val="00397711"/>
    <w:rsid w:val="00397E2D"/>
    <w:rsid w:val="003A03A6"/>
    <w:rsid w:val="003A064A"/>
    <w:rsid w:val="003A06D2"/>
    <w:rsid w:val="003A1166"/>
    <w:rsid w:val="003A1B7D"/>
    <w:rsid w:val="003A24AB"/>
    <w:rsid w:val="003A2B3A"/>
    <w:rsid w:val="003A341F"/>
    <w:rsid w:val="003A3496"/>
    <w:rsid w:val="003A4158"/>
    <w:rsid w:val="003A5F10"/>
    <w:rsid w:val="003A61C4"/>
    <w:rsid w:val="003A6521"/>
    <w:rsid w:val="003A7743"/>
    <w:rsid w:val="003B02FC"/>
    <w:rsid w:val="003B044A"/>
    <w:rsid w:val="003B1EE6"/>
    <w:rsid w:val="003B250B"/>
    <w:rsid w:val="003B3009"/>
    <w:rsid w:val="003B39CC"/>
    <w:rsid w:val="003B470B"/>
    <w:rsid w:val="003B47C7"/>
    <w:rsid w:val="003B51F6"/>
    <w:rsid w:val="003B5F3F"/>
    <w:rsid w:val="003B6535"/>
    <w:rsid w:val="003B6A3D"/>
    <w:rsid w:val="003B77E5"/>
    <w:rsid w:val="003B7F91"/>
    <w:rsid w:val="003C0400"/>
    <w:rsid w:val="003C1451"/>
    <w:rsid w:val="003C2D1C"/>
    <w:rsid w:val="003C321B"/>
    <w:rsid w:val="003C3581"/>
    <w:rsid w:val="003C3AD3"/>
    <w:rsid w:val="003C3FCC"/>
    <w:rsid w:val="003C4A45"/>
    <w:rsid w:val="003C50F6"/>
    <w:rsid w:val="003C52A5"/>
    <w:rsid w:val="003C69A0"/>
    <w:rsid w:val="003C76B2"/>
    <w:rsid w:val="003C7796"/>
    <w:rsid w:val="003C79E0"/>
    <w:rsid w:val="003D140F"/>
    <w:rsid w:val="003D1FB3"/>
    <w:rsid w:val="003D3C53"/>
    <w:rsid w:val="003D520A"/>
    <w:rsid w:val="003D6246"/>
    <w:rsid w:val="003D6481"/>
    <w:rsid w:val="003D7D72"/>
    <w:rsid w:val="003E076B"/>
    <w:rsid w:val="003E0B62"/>
    <w:rsid w:val="003E0E7C"/>
    <w:rsid w:val="003E12B9"/>
    <w:rsid w:val="003E163E"/>
    <w:rsid w:val="003E2D0F"/>
    <w:rsid w:val="003E37A7"/>
    <w:rsid w:val="003E56AE"/>
    <w:rsid w:val="003E5FD0"/>
    <w:rsid w:val="003E7267"/>
    <w:rsid w:val="003E72A1"/>
    <w:rsid w:val="003E7550"/>
    <w:rsid w:val="003E7AA4"/>
    <w:rsid w:val="003E7C3D"/>
    <w:rsid w:val="003E7D9C"/>
    <w:rsid w:val="003E7FA3"/>
    <w:rsid w:val="003F072C"/>
    <w:rsid w:val="003F0C0D"/>
    <w:rsid w:val="003F19B7"/>
    <w:rsid w:val="003F20DF"/>
    <w:rsid w:val="003F230D"/>
    <w:rsid w:val="003F233D"/>
    <w:rsid w:val="003F2A4F"/>
    <w:rsid w:val="003F4536"/>
    <w:rsid w:val="003F49F7"/>
    <w:rsid w:val="003F5440"/>
    <w:rsid w:val="003F5775"/>
    <w:rsid w:val="003F5CB7"/>
    <w:rsid w:val="00400304"/>
    <w:rsid w:val="00400EDC"/>
    <w:rsid w:val="00400F4B"/>
    <w:rsid w:val="00403037"/>
    <w:rsid w:val="00403567"/>
    <w:rsid w:val="0040573A"/>
    <w:rsid w:val="004058C8"/>
    <w:rsid w:val="0040591F"/>
    <w:rsid w:val="00407006"/>
    <w:rsid w:val="00410CBB"/>
    <w:rsid w:val="00411548"/>
    <w:rsid w:val="00413119"/>
    <w:rsid w:val="00413195"/>
    <w:rsid w:val="00414266"/>
    <w:rsid w:val="00416A77"/>
    <w:rsid w:val="00417EE5"/>
    <w:rsid w:val="00420BB3"/>
    <w:rsid w:val="00420BF4"/>
    <w:rsid w:val="00421C94"/>
    <w:rsid w:val="00422258"/>
    <w:rsid w:val="0042227C"/>
    <w:rsid w:val="00422AB9"/>
    <w:rsid w:val="004231FA"/>
    <w:rsid w:val="0042474A"/>
    <w:rsid w:val="00424835"/>
    <w:rsid w:val="004272B3"/>
    <w:rsid w:val="0042739A"/>
    <w:rsid w:val="004276B4"/>
    <w:rsid w:val="00431763"/>
    <w:rsid w:val="0043774B"/>
    <w:rsid w:val="00437825"/>
    <w:rsid w:val="00437C2B"/>
    <w:rsid w:val="0044066A"/>
    <w:rsid w:val="00441FB0"/>
    <w:rsid w:val="00441FD4"/>
    <w:rsid w:val="00443C5A"/>
    <w:rsid w:val="0044405D"/>
    <w:rsid w:val="00444910"/>
    <w:rsid w:val="00444A44"/>
    <w:rsid w:val="0044639F"/>
    <w:rsid w:val="0044682B"/>
    <w:rsid w:val="00446993"/>
    <w:rsid w:val="00446DC7"/>
    <w:rsid w:val="00451510"/>
    <w:rsid w:val="0045193C"/>
    <w:rsid w:val="00451D0F"/>
    <w:rsid w:val="00451D24"/>
    <w:rsid w:val="00452044"/>
    <w:rsid w:val="0045290F"/>
    <w:rsid w:val="00452C7E"/>
    <w:rsid w:val="00453074"/>
    <w:rsid w:val="0045395D"/>
    <w:rsid w:val="00453BE5"/>
    <w:rsid w:val="00454D17"/>
    <w:rsid w:val="00455027"/>
    <w:rsid w:val="0045616A"/>
    <w:rsid w:val="00457B66"/>
    <w:rsid w:val="00460B36"/>
    <w:rsid w:val="0046491D"/>
    <w:rsid w:val="00465213"/>
    <w:rsid w:val="00470D33"/>
    <w:rsid w:val="004713E4"/>
    <w:rsid w:val="00471EA5"/>
    <w:rsid w:val="00473599"/>
    <w:rsid w:val="004735CE"/>
    <w:rsid w:val="00474AF6"/>
    <w:rsid w:val="0047611D"/>
    <w:rsid w:val="00476838"/>
    <w:rsid w:val="00476F12"/>
    <w:rsid w:val="00477382"/>
    <w:rsid w:val="00477AB2"/>
    <w:rsid w:val="004804F3"/>
    <w:rsid w:val="004811E0"/>
    <w:rsid w:val="00481BC3"/>
    <w:rsid w:val="0048263B"/>
    <w:rsid w:val="00486B15"/>
    <w:rsid w:val="00487174"/>
    <w:rsid w:val="00487743"/>
    <w:rsid w:val="00490610"/>
    <w:rsid w:val="004911D4"/>
    <w:rsid w:val="004917DF"/>
    <w:rsid w:val="00491D66"/>
    <w:rsid w:val="0049272B"/>
    <w:rsid w:val="00492879"/>
    <w:rsid w:val="00492AFC"/>
    <w:rsid w:val="004936B2"/>
    <w:rsid w:val="004937A2"/>
    <w:rsid w:val="004942D0"/>
    <w:rsid w:val="00495682"/>
    <w:rsid w:val="00495FEC"/>
    <w:rsid w:val="00496F13"/>
    <w:rsid w:val="00497218"/>
    <w:rsid w:val="0049725F"/>
    <w:rsid w:val="004A06FB"/>
    <w:rsid w:val="004A0C4F"/>
    <w:rsid w:val="004A15A9"/>
    <w:rsid w:val="004A2641"/>
    <w:rsid w:val="004A28A4"/>
    <w:rsid w:val="004A3165"/>
    <w:rsid w:val="004A3F77"/>
    <w:rsid w:val="004A487F"/>
    <w:rsid w:val="004A4974"/>
    <w:rsid w:val="004A5588"/>
    <w:rsid w:val="004A56C5"/>
    <w:rsid w:val="004A58A0"/>
    <w:rsid w:val="004A6B29"/>
    <w:rsid w:val="004A713F"/>
    <w:rsid w:val="004A78ED"/>
    <w:rsid w:val="004B06C6"/>
    <w:rsid w:val="004B159B"/>
    <w:rsid w:val="004B1734"/>
    <w:rsid w:val="004B2734"/>
    <w:rsid w:val="004B29A9"/>
    <w:rsid w:val="004B3416"/>
    <w:rsid w:val="004B48B9"/>
    <w:rsid w:val="004B4F7B"/>
    <w:rsid w:val="004B6941"/>
    <w:rsid w:val="004B7BCA"/>
    <w:rsid w:val="004C137C"/>
    <w:rsid w:val="004C392A"/>
    <w:rsid w:val="004C40C2"/>
    <w:rsid w:val="004C61A9"/>
    <w:rsid w:val="004C61CA"/>
    <w:rsid w:val="004D1932"/>
    <w:rsid w:val="004D253E"/>
    <w:rsid w:val="004D3B45"/>
    <w:rsid w:val="004D416D"/>
    <w:rsid w:val="004D4A6F"/>
    <w:rsid w:val="004D4BD3"/>
    <w:rsid w:val="004D5B20"/>
    <w:rsid w:val="004D6723"/>
    <w:rsid w:val="004D74C8"/>
    <w:rsid w:val="004D7BD4"/>
    <w:rsid w:val="004E0454"/>
    <w:rsid w:val="004E050B"/>
    <w:rsid w:val="004E18EE"/>
    <w:rsid w:val="004E23DC"/>
    <w:rsid w:val="004E3262"/>
    <w:rsid w:val="004E36B3"/>
    <w:rsid w:val="004E3BF9"/>
    <w:rsid w:val="004E51C0"/>
    <w:rsid w:val="004E5F47"/>
    <w:rsid w:val="004E6FCA"/>
    <w:rsid w:val="004E7832"/>
    <w:rsid w:val="004F1DFA"/>
    <w:rsid w:val="004F20B7"/>
    <w:rsid w:val="004F2493"/>
    <w:rsid w:val="004F2E32"/>
    <w:rsid w:val="004F33A5"/>
    <w:rsid w:val="004F4F4A"/>
    <w:rsid w:val="004F5130"/>
    <w:rsid w:val="004F5CD2"/>
    <w:rsid w:val="004F61A7"/>
    <w:rsid w:val="004F66A5"/>
    <w:rsid w:val="004F750A"/>
    <w:rsid w:val="004F765F"/>
    <w:rsid w:val="005012FC"/>
    <w:rsid w:val="005031EB"/>
    <w:rsid w:val="0050406B"/>
    <w:rsid w:val="0050451E"/>
    <w:rsid w:val="005049A2"/>
    <w:rsid w:val="005054F4"/>
    <w:rsid w:val="00505A96"/>
    <w:rsid w:val="0050627D"/>
    <w:rsid w:val="00506537"/>
    <w:rsid w:val="005066EB"/>
    <w:rsid w:val="00506794"/>
    <w:rsid w:val="00506D1F"/>
    <w:rsid w:val="0051004E"/>
    <w:rsid w:val="0051010D"/>
    <w:rsid w:val="00510AB8"/>
    <w:rsid w:val="00511E89"/>
    <w:rsid w:val="00511FF3"/>
    <w:rsid w:val="0051372D"/>
    <w:rsid w:val="00515C83"/>
    <w:rsid w:val="005166B7"/>
    <w:rsid w:val="0051762F"/>
    <w:rsid w:val="005216F7"/>
    <w:rsid w:val="0052212B"/>
    <w:rsid w:val="00523959"/>
    <w:rsid w:val="00523E34"/>
    <w:rsid w:val="00523F84"/>
    <w:rsid w:val="00524195"/>
    <w:rsid w:val="00524390"/>
    <w:rsid w:val="00524C04"/>
    <w:rsid w:val="00530929"/>
    <w:rsid w:val="00530DDE"/>
    <w:rsid w:val="005339FA"/>
    <w:rsid w:val="0053429F"/>
    <w:rsid w:val="00534303"/>
    <w:rsid w:val="0053483B"/>
    <w:rsid w:val="00534A4B"/>
    <w:rsid w:val="005350BF"/>
    <w:rsid w:val="00537506"/>
    <w:rsid w:val="005411AC"/>
    <w:rsid w:val="00542894"/>
    <w:rsid w:val="0054308D"/>
    <w:rsid w:val="00543EFE"/>
    <w:rsid w:val="0054457B"/>
    <w:rsid w:val="00544BB8"/>
    <w:rsid w:val="00546F3D"/>
    <w:rsid w:val="00547E30"/>
    <w:rsid w:val="00550083"/>
    <w:rsid w:val="00552590"/>
    <w:rsid w:val="005525F8"/>
    <w:rsid w:val="00552832"/>
    <w:rsid w:val="00552B5E"/>
    <w:rsid w:val="00554B38"/>
    <w:rsid w:val="00554C13"/>
    <w:rsid w:val="00554D88"/>
    <w:rsid w:val="00556496"/>
    <w:rsid w:val="00556B13"/>
    <w:rsid w:val="00557112"/>
    <w:rsid w:val="00557235"/>
    <w:rsid w:val="0055733A"/>
    <w:rsid w:val="00557604"/>
    <w:rsid w:val="00560261"/>
    <w:rsid w:val="00560C38"/>
    <w:rsid w:val="0056156B"/>
    <w:rsid w:val="0056190F"/>
    <w:rsid w:val="00561FB3"/>
    <w:rsid w:val="00562274"/>
    <w:rsid w:val="00563A0E"/>
    <w:rsid w:val="005661D7"/>
    <w:rsid w:val="005679CA"/>
    <w:rsid w:val="0057071A"/>
    <w:rsid w:val="00570E01"/>
    <w:rsid w:val="005719BF"/>
    <w:rsid w:val="005731FA"/>
    <w:rsid w:val="00573E09"/>
    <w:rsid w:val="00574904"/>
    <w:rsid w:val="005759C1"/>
    <w:rsid w:val="00576229"/>
    <w:rsid w:val="00576C9A"/>
    <w:rsid w:val="00577BB9"/>
    <w:rsid w:val="00581CAA"/>
    <w:rsid w:val="00583214"/>
    <w:rsid w:val="0058380D"/>
    <w:rsid w:val="0058386B"/>
    <w:rsid w:val="005855E0"/>
    <w:rsid w:val="00587AFB"/>
    <w:rsid w:val="00587D76"/>
    <w:rsid w:val="00590C9F"/>
    <w:rsid w:val="00590EAD"/>
    <w:rsid w:val="005919AB"/>
    <w:rsid w:val="00591A15"/>
    <w:rsid w:val="0059440D"/>
    <w:rsid w:val="0059455A"/>
    <w:rsid w:val="005959C2"/>
    <w:rsid w:val="0059760A"/>
    <w:rsid w:val="00597636"/>
    <w:rsid w:val="0059785D"/>
    <w:rsid w:val="005A0487"/>
    <w:rsid w:val="005A0EF1"/>
    <w:rsid w:val="005A16CE"/>
    <w:rsid w:val="005A4A63"/>
    <w:rsid w:val="005A61B1"/>
    <w:rsid w:val="005A7781"/>
    <w:rsid w:val="005A7BAD"/>
    <w:rsid w:val="005B0030"/>
    <w:rsid w:val="005B2346"/>
    <w:rsid w:val="005B4D51"/>
    <w:rsid w:val="005B5958"/>
    <w:rsid w:val="005B5C1B"/>
    <w:rsid w:val="005B64D1"/>
    <w:rsid w:val="005C0C19"/>
    <w:rsid w:val="005C1E92"/>
    <w:rsid w:val="005C3BA0"/>
    <w:rsid w:val="005C529C"/>
    <w:rsid w:val="005C529D"/>
    <w:rsid w:val="005C558C"/>
    <w:rsid w:val="005D0A57"/>
    <w:rsid w:val="005D2003"/>
    <w:rsid w:val="005D3629"/>
    <w:rsid w:val="005D4D38"/>
    <w:rsid w:val="005D52F1"/>
    <w:rsid w:val="005D577D"/>
    <w:rsid w:val="005D5A23"/>
    <w:rsid w:val="005D5E34"/>
    <w:rsid w:val="005D64BF"/>
    <w:rsid w:val="005D6DDB"/>
    <w:rsid w:val="005D7723"/>
    <w:rsid w:val="005D77A5"/>
    <w:rsid w:val="005E05CB"/>
    <w:rsid w:val="005E0896"/>
    <w:rsid w:val="005E1DE8"/>
    <w:rsid w:val="005E35EE"/>
    <w:rsid w:val="005E5744"/>
    <w:rsid w:val="005E7424"/>
    <w:rsid w:val="005F210B"/>
    <w:rsid w:val="005F2BA9"/>
    <w:rsid w:val="005F399D"/>
    <w:rsid w:val="005F46C3"/>
    <w:rsid w:val="005F61C2"/>
    <w:rsid w:val="005F7737"/>
    <w:rsid w:val="005F7F10"/>
    <w:rsid w:val="00602B72"/>
    <w:rsid w:val="00602F44"/>
    <w:rsid w:val="00603DBF"/>
    <w:rsid w:val="00604C15"/>
    <w:rsid w:val="006051F6"/>
    <w:rsid w:val="00605217"/>
    <w:rsid w:val="00605476"/>
    <w:rsid w:val="00605F66"/>
    <w:rsid w:val="006065CA"/>
    <w:rsid w:val="00606FB5"/>
    <w:rsid w:val="00607662"/>
    <w:rsid w:val="00611753"/>
    <w:rsid w:val="00612912"/>
    <w:rsid w:val="006134F6"/>
    <w:rsid w:val="00613B19"/>
    <w:rsid w:val="0061533F"/>
    <w:rsid w:val="006160B5"/>
    <w:rsid w:val="006169FA"/>
    <w:rsid w:val="00617FD6"/>
    <w:rsid w:val="006210F3"/>
    <w:rsid w:val="006221BA"/>
    <w:rsid w:val="00623448"/>
    <w:rsid w:val="00623A7E"/>
    <w:rsid w:val="0062500A"/>
    <w:rsid w:val="006267A3"/>
    <w:rsid w:val="00626E7A"/>
    <w:rsid w:val="006313CC"/>
    <w:rsid w:val="00631D0A"/>
    <w:rsid w:val="00631DEC"/>
    <w:rsid w:val="00631F37"/>
    <w:rsid w:val="006354BC"/>
    <w:rsid w:val="0063671E"/>
    <w:rsid w:val="00637DCB"/>
    <w:rsid w:val="006401EE"/>
    <w:rsid w:val="00640527"/>
    <w:rsid w:val="00640532"/>
    <w:rsid w:val="0064144E"/>
    <w:rsid w:val="006418AC"/>
    <w:rsid w:val="0064219E"/>
    <w:rsid w:val="0064237B"/>
    <w:rsid w:val="0064363A"/>
    <w:rsid w:val="00643E2C"/>
    <w:rsid w:val="0064503B"/>
    <w:rsid w:val="0064569F"/>
    <w:rsid w:val="0064628C"/>
    <w:rsid w:val="00646CDF"/>
    <w:rsid w:val="00647134"/>
    <w:rsid w:val="006474CE"/>
    <w:rsid w:val="00652742"/>
    <w:rsid w:val="00653918"/>
    <w:rsid w:val="006542BE"/>
    <w:rsid w:val="00654E8C"/>
    <w:rsid w:val="00655D51"/>
    <w:rsid w:val="00656E25"/>
    <w:rsid w:val="0066139A"/>
    <w:rsid w:val="00662086"/>
    <w:rsid w:val="006625E3"/>
    <w:rsid w:val="006629B3"/>
    <w:rsid w:val="00663618"/>
    <w:rsid w:val="006640A9"/>
    <w:rsid w:val="0066412D"/>
    <w:rsid w:val="00666131"/>
    <w:rsid w:val="006661BD"/>
    <w:rsid w:val="006666E5"/>
    <w:rsid w:val="00666A71"/>
    <w:rsid w:val="00667808"/>
    <w:rsid w:val="00670376"/>
    <w:rsid w:val="00670C60"/>
    <w:rsid w:val="0067178C"/>
    <w:rsid w:val="0067301E"/>
    <w:rsid w:val="006737B3"/>
    <w:rsid w:val="006744A2"/>
    <w:rsid w:val="006746B8"/>
    <w:rsid w:val="0067503D"/>
    <w:rsid w:val="00675E66"/>
    <w:rsid w:val="00675EF0"/>
    <w:rsid w:val="00677BBA"/>
    <w:rsid w:val="00680AD9"/>
    <w:rsid w:val="00682A01"/>
    <w:rsid w:val="00683A89"/>
    <w:rsid w:val="00683B18"/>
    <w:rsid w:val="0068474E"/>
    <w:rsid w:val="00684906"/>
    <w:rsid w:val="0068613D"/>
    <w:rsid w:val="00686A25"/>
    <w:rsid w:val="00686BE4"/>
    <w:rsid w:val="00686E9A"/>
    <w:rsid w:val="006946CC"/>
    <w:rsid w:val="00694B2D"/>
    <w:rsid w:val="006961A3"/>
    <w:rsid w:val="006A0627"/>
    <w:rsid w:val="006A0798"/>
    <w:rsid w:val="006A3C06"/>
    <w:rsid w:val="006A5F17"/>
    <w:rsid w:val="006A6BE2"/>
    <w:rsid w:val="006B05A1"/>
    <w:rsid w:val="006B0CA3"/>
    <w:rsid w:val="006B115F"/>
    <w:rsid w:val="006B731E"/>
    <w:rsid w:val="006C2396"/>
    <w:rsid w:val="006C27EB"/>
    <w:rsid w:val="006C2B67"/>
    <w:rsid w:val="006C2B7F"/>
    <w:rsid w:val="006C376F"/>
    <w:rsid w:val="006C38CF"/>
    <w:rsid w:val="006C3A45"/>
    <w:rsid w:val="006C45B0"/>
    <w:rsid w:val="006C5830"/>
    <w:rsid w:val="006D0E51"/>
    <w:rsid w:val="006D150A"/>
    <w:rsid w:val="006D2552"/>
    <w:rsid w:val="006D5572"/>
    <w:rsid w:val="006D5C42"/>
    <w:rsid w:val="006D6646"/>
    <w:rsid w:val="006D6D21"/>
    <w:rsid w:val="006D7020"/>
    <w:rsid w:val="006D7563"/>
    <w:rsid w:val="006D7C37"/>
    <w:rsid w:val="006E0BF6"/>
    <w:rsid w:val="006E413E"/>
    <w:rsid w:val="006E41DF"/>
    <w:rsid w:val="006E50E2"/>
    <w:rsid w:val="006E6302"/>
    <w:rsid w:val="006E6B05"/>
    <w:rsid w:val="006E7F01"/>
    <w:rsid w:val="006F0685"/>
    <w:rsid w:val="006F18C1"/>
    <w:rsid w:val="006F26AA"/>
    <w:rsid w:val="006F29A5"/>
    <w:rsid w:val="006F2C98"/>
    <w:rsid w:val="006F2D53"/>
    <w:rsid w:val="006F5DBD"/>
    <w:rsid w:val="006F6D85"/>
    <w:rsid w:val="006F747E"/>
    <w:rsid w:val="006F7703"/>
    <w:rsid w:val="007002B9"/>
    <w:rsid w:val="007011FD"/>
    <w:rsid w:val="0070124B"/>
    <w:rsid w:val="00704610"/>
    <w:rsid w:val="0070485A"/>
    <w:rsid w:val="00704DD9"/>
    <w:rsid w:val="00705176"/>
    <w:rsid w:val="00705375"/>
    <w:rsid w:val="0070684E"/>
    <w:rsid w:val="00706D27"/>
    <w:rsid w:val="00707425"/>
    <w:rsid w:val="00707E69"/>
    <w:rsid w:val="00707F4F"/>
    <w:rsid w:val="00710093"/>
    <w:rsid w:val="00710AD8"/>
    <w:rsid w:val="00710F10"/>
    <w:rsid w:val="0071164A"/>
    <w:rsid w:val="00712772"/>
    <w:rsid w:val="00712EA5"/>
    <w:rsid w:val="00713361"/>
    <w:rsid w:val="00713DC1"/>
    <w:rsid w:val="007144B5"/>
    <w:rsid w:val="007144E2"/>
    <w:rsid w:val="00715052"/>
    <w:rsid w:val="00716538"/>
    <w:rsid w:val="00716AB5"/>
    <w:rsid w:val="00717AD2"/>
    <w:rsid w:val="00717DB4"/>
    <w:rsid w:val="007229DB"/>
    <w:rsid w:val="007248C7"/>
    <w:rsid w:val="007258A9"/>
    <w:rsid w:val="007260BC"/>
    <w:rsid w:val="00726CC9"/>
    <w:rsid w:val="00727466"/>
    <w:rsid w:val="00731146"/>
    <w:rsid w:val="00733147"/>
    <w:rsid w:val="0073437D"/>
    <w:rsid w:val="00734AB7"/>
    <w:rsid w:val="007363B7"/>
    <w:rsid w:val="007368F6"/>
    <w:rsid w:val="00736A7B"/>
    <w:rsid w:val="00740461"/>
    <w:rsid w:val="00740610"/>
    <w:rsid w:val="00741A44"/>
    <w:rsid w:val="0074256B"/>
    <w:rsid w:val="007431F6"/>
    <w:rsid w:val="007445B4"/>
    <w:rsid w:val="00744844"/>
    <w:rsid w:val="00745E14"/>
    <w:rsid w:val="00745FAA"/>
    <w:rsid w:val="0074653A"/>
    <w:rsid w:val="007479C4"/>
    <w:rsid w:val="00750BB8"/>
    <w:rsid w:val="00752B9E"/>
    <w:rsid w:val="00752F01"/>
    <w:rsid w:val="00754BB2"/>
    <w:rsid w:val="00755351"/>
    <w:rsid w:val="00755CF7"/>
    <w:rsid w:val="0075618B"/>
    <w:rsid w:val="007565A7"/>
    <w:rsid w:val="00757C16"/>
    <w:rsid w:val="0076153D"/>
    <w:rsid w:val="007615A5"/>
    <w:rsid w:val="0076195A"/>
    <w:rsid w:val="00763A6E"/>
    <w:rsid w:val="00763CB0"/>
    <w:rsid w:val="00764A5E"/>
    <w:rsid w:val="00764D9F"/>
    <w:rsid w:val="00765885"/>
    <w:rsid w:val="00765BF6"/>
    <w:rsid w:val="00766031"/>
    <w:rsid w:val="00766F3E"/>
    <w:rsid w:val="007675B2"/>
    <w:rsid w:val="0076789E"/>
    <w:rsid w:val="007710B5"/>
    <w:rsid w:val="00771229"/>
    <w:rsid w:val="007744D0"/>
    <w:rsid w:val="0077456F"/>
    <w:rsid w:val="007768F3"/>
    <w:rsid w:val="00776CC0"/>
    <w:rsid w:val="007839A4"/>
    <w:rsid w:val="007851EB"/>
    <w:rsid w:val="00785CED"/>
    <w:rsid w:val="007879A3"/>
    <w:rsid w:val="00787F27"/>
    <w:rsid w:val="00791962"/>
    <w:rsid w:val="00791AAC"/>
    <w:rsid w:val="00791D00"/>
    <w:rsid w:val="0079392C"/>
    <w:rsid w:val="007942C7"/>
    <w:rsid w:val="0079464E"/>
    <w:rsid w:val="00794D89"/>
    <w:rsid w:val="0079590A"/>
    <w:rsid w:val="00797689"/>
    <w:rsid w:val="00797EE9"/>
    <w:rsid w:val="007A0AE4"/>
    <w:rsid w:val="007A0D22"/>
    <w:rsid w:val="007A0E5C"/>
    <w:rsid w:val="007A1B67"/>
    <w:rsid w:val="007A1E41"/>
    <w:rsid w:val="007A3ED2"/>
    <w:rsid w:val="007A3FFD"/>
    <w:rsid w:val="007A4A47"/>
    <w:rsid w:val="007A4CB2"/>
    <w:rsid w:val="007A4DC5"/>
    <w:rsid w:val="007A5856"/>
    <w:rsid w:val="007A685F"/>
    <w:rsid w:val="007A6CB4"/>
    <w:rsid w:val="007A6D7F"/>
    <w:rsid w:val="007A7717"/>
    <w:rsid w:val="007B0278"/>
    <w:rsid w:val="007B0902"/>
    <w:rsid w:val="007B1119"/>
    <w:rsid w:val="007B1263"/>
    <w:rsid w:val="007B2E5A"/>
    <w:rsid w:val="007B42A5"/>
    <w:rsid w:val="007B466C"/>
    <w:rsid w:val="007B4ECD"/>
    <w:rsid w:val="007B62E5"/>
    <w:rsid w:val="007B6503"/>
    <w:rsid w:val="007B76D9"/>
    <w:rsid w:val="007B79E8"/>
    <w:rsid w:val="007C1C5E"/>
    <w:rsid w:val="007C3664"/>
    <w:rsid w:val="007C4973"/>
    <w:rsid w:val="007C5947"/>
    <w:rsid w:val="007C5BE2"/>
    <w:rsid w:val="007C7528"/>
    <w:rsid w:val="007C7B77"/>
    <w:rsid w:val="007D0E81"/>
    <w:rsid w:val="007D28E5"/>
    <w:rsid w:val="007D3A66"/>
    <w:rsid w:val="007D4457"/>
    <w:rsid w:val="007D44BE"/>
    <w:rsid w:val="007D4CEB"/>
    <w:rsid w:val="007D6549"/>
    <w:rsid w:val="007D709F"/>
    <w:rsid w:val="007D7E24"/>
    <w:rsid w:val="007E1B1B"/>
    <w:rsid w:val="007E501F"/>
    <w:rsid w:val="007E5292"/>
    <w:rsid w:val="007E5B71"/>
    <w:rsid w:val="007E6E53"/>
    <w:rsid w:val="007E702B"/>
    <w:rsid w:val="007E77E9"/>
    <w:rsid w:val="007F2902"/>
    <w:rsid w:val="007F480A"/>
    <w:rsid w:val="007F601E"/>
    <w:rsid w:val="007F7593"/>
    <w:rsid w:val="0080022D"/>
    <w:rsid w:val="008028DD"/>
    <w:rsid w:val="00802A50"/>
    <w:rsid w:val="0080671A"/>
    <w:rsid w:val="00807937"/>
    <w:rsid w:val="00811997"/>
    <w:rsid w:val="00812286"/>
    <w:rsid w:val="00812492"/>
    <w:rsid w:val="00812F78"/>
    <w:rsid w:val="0081376E"/>
    <w:rsid w:val="0081381B"/>
    <w:rsid w:val="00820826"/>
    <w:rsid w:val="0082122B"/>
    <w:rsid w:val="00825E3D"/>
    <w:rsid w:val="00826B9F"/>
    <w:rsid w:val="00827565"/>
    <w:rsid w:val="0083046E"/>
    <w:rsid w:val="008308AB"/>
    <w:rsid w:val="00830D7A"/>
    <w:rsid w:val="008355AE"/>
    <w:rsid w:val="008361F8"/>
    <w:rsid w:val="008378F5"/>
    <w:rsid w:val="00840E0D"/>
    <w:rsid w:val="0084150B"/>
    <w:rsid w:val="00841D24"/>
    <w:rsid w:val="00842399"/>
    <w:rsid w:val="00843318"/>
    <w:rsid w:val="00843B0F"/>
    <w:rsid w:val="00843FD5"/>
    <w:rsid w:val="00844E7F"/>
    <w:rsid w:val="00845796"/>
    <w:rsid w:val="0084590E"/>
    <w:rsid w:val="00847262"/>
    <w:rsid w:val="0084760A"/>
    <w:rsid w:val="00847FC3"/>
    <w:rsid w:val="00850FEA"/>
    <w:rsid w:val="00854632"/>
    <w:rsid w:val="008550D5"/>
    <w:rsid w:val="00861D93"/>
    <w:rsid w:val="0086220F"/>
    <w:rsid w:val="00862A44"/>
    <w:rsid w:val="00863958"/>
    <w:rsid w:val="00864B86"/>
    <w:rsid w:val="0086568A"/>
    <w:rsid w:val="00866FA1"/>
    <w:rsid w:val="008671DD"/>
    <w:rsid w:val="008700A8"/>
    <w:rsid w:val="00871CF1"/>
    <w:rsid w:val="00872866"/>
    <w:rsid w:val="00872AAD"/>
    <w:rsid w:val="00873B65"/>
    <w:rsid w:val="00874C71"/>
    <w:rsid w:val="00875E3C"/>
    <w:rsid w:val="0087650B"/>
    <w:rsid w:val="00877D92"/>
    <w:rsid w:val="0088076A"/>
    <w:rsid w:val="0088288C"/>
    <w:rsid w:val="00882DEC"/>
    <w:rsid w:val="00884098"/>
    <w:rsid w:val="008845A3"/>
    <w:rsid w:val="008905E1"/>
    <w:rsid w:val="00891EF6"/>
    <w:rsid w:val="00893C03"/>
    <w:rsid w:val="008945DC"/>
    <w:rsid w:val="00894AEF"/>
    <w:rsid w:val="00895A6A"/>
    <w:rsid w:val="008A11E6"/>
    <w:rsid w:val="008A14C4"/>
    <w:rsid w:val="008A3CFF"/>
    <w:rsid w:val="008A4192"/>
    <w:rsid w:val="008A4313"/>
    <w:rsid w:val="008A4515"/>
    <w:rsid w:val="008A7CD3"/>
    <w:rsid w:val="008B08F6"/>
    <w:rsid w:val="008B320E"/>
    <w:rsid w:val="008B3DE2"/>
    <w:rsid w:val="008B41DF"/>
    <w:rsid w:val="008B4479"/>
    <w:rsid w:val="008B4CB7"/>
    <w:rsid w:val="008B6D2F"/>
    <w:rsid w:val="008B7EF1"/>
    <w:rsid w:val="008C0641"/>
    <w:rsid w:val="008C09E5"/>
    <w:rsid w:val="008C144B"/>
    <w:rsid w:val="008C3FB4"/>
    <w:rsid w:val="008C4FBB"/>
    <w:rsid w:val="008C5F62"/>
    <w:rsid w:val="008C7F37"/>
    <w:rsid w:val="008D05C4"/>
    <w:rsid w:val="008D18E8"/>
    <w:rsid w:val="008D18ED"/>
    <w:rsid w:val="008D1F8A"/>
    <w:rsid w:val="008D2C33"/>
    <w:rsid w:val="008E000A"/>
    <w:rsid w:val="008E12D4"/>
    <w:rsid w:val="008E15AE"/>
    <w:rsid w:val="008E202D"/>
    <w:rsid w:val="008E3AED"/>
    <w:rsid w:val="008E47A6"/>
    <w:rsid w:val="008E5312"/>
    <w:rsid w:val="008E5A1C"/>
    <w:rsid w:val="008E7F01"/>
    <w:rsid w:val="008F00BD"/>
    <w:rsid w:val="008F108E"/>
    <w:rsid w:val="008F1B33"/>
    <w:rsid w:val="008F255F"/>
    <w:rsid w:val="008F360F"/>
    <w:rsid w:val="008F4066"/>
    <w:rsid w:val="008F4688"/>
    <w:rsid w:val="008F4F4D"/>
    <w:rsid w:val="008F56D0"/>
    <w:rsid w:val="008F5B08"/>
    <w:rsid w:val="008F6FBC"/>
    <w:rsid w:val="008F73F6"/>
    <w:rsid w:val="008F7617"/>
    <w:rsid w:val="00900742"/>
    <w:rsid w:val="00903130"/>
    <w:rsid w:val="00904388"/>
    <w:rsid w:val="00904402"/>
    <w:rsid w:val="00904877"/>
    <w:rsid w:val="0090549C"/>
    <w:rsid w:val="00907083"/>
    <w:rsid w:val="009072B9"/>
    <w:rsid w:val="00910DC4"/>
    <w:rsid w:val="00911BE2"/>
    <w:rsid w:val="00911E0B"/>
    <w:rsid w:val="009127F7"/>
    <w:rsid w:val="00912D6E"/>
    <w:rsid w:val="00912F92"/>
    <w:rsid w:val="00913BCE"/>
    <w:rsid w:val="0091404B"/>
    <w:rsid w:val="009143D5"/>
    <w:rsid w:val="0091665A"/>
    <w:rsid w:val="00916E56"/>
    <w:rsid w:val="00917B44"/>
    <w:rsid w:val="00917DBE"/>
    <w:rsid w:val="00917FA4"/>
    <w:rsid w:val="009203C9"/>
    <w:rsid w:val="00920E23"/>
    <w:rsid w:val="00921322"/>
    <w:rsid w:val="00921473"/>
    <w:rsid w:val="00922204"/>
    <w:rsid w:val="009226EC"/>
    <w:rsid w:val="00922D5B"/>
    <w:rsid w:val="00924B37"/>
    <w:rsid w:val="00927905"/>
    <w:rsid w:val="00930391"/>
    <w:rsid w:val="0093223B"/>
    <w:rsid w:val="009337E1"/>
    <w:rsid w:val="00935738"/>
    <w:rsid w:val="0093648B"/>
    <w:rsid w:val="0093778D"/>
    <w:rsid w:val="0094197C"/>
    <w:rsid w:val="00942161"/>
    <w:rsid w:val="009421C2"/>
    <w:rsid w:val="0094446E"/>
    <w:rsid w:val="009454DE"/>
    <w:rsid w:val="0094628E"/>
    <w:rsid w:val="0094697B"/>
    <w:rsid w:val="00947730"/>
    <w:rsid w:val="00951070"/>
    <w:rsid w:val="00951388"/>
    <w:rsid w:val="00951602"/>
    <w:rsid w:val="00953907"/>
    <w:rsid w:val="00953A0A"/>
    <w:rsid w:val="009543E8"/>
    <w:rsid w:val="009557AB"/>
    <w:rsid w:val="00957DE1"/>
    <w:rsid w:val="0096058B"/>
    <w:rsid w:val="00960B87"/>
    <w:rsid w:val="00963576"/>
    <w:rsid w:val="00965342"/>
    <w:rsid w:val="009658AD"/>
    <w:rsid w:val="009661A3"/>
    <w:rsid w:val="00966407"/>
    <w:rsid w:val="009673A6"/>
    <w:rsid w:val="00967BD5"/>
    <w:rsid w:val="00970305"/>
    <w:rsid w:val="00974183"/>
    <w:rsid w:val="00974CA8"/>
    <w:rsid w:val="00975862"/>
    <w:rsid w:val="00976C02"/>
    <w:rsid w:val="00977A9A"/>
    <w:rsid w:val="00981E09"/>
    <w:rsid w:val="00982A11"/>
    <w:rsid w:val="00982F9A"/>
    <w:rsid w:val="00984B8F"/>
    <w:rsid w:val="00985044"/>
    <w:rsid w:val="0098690F"/>
    <w:rsid w:val="00987CDA"/>
    <w:rsid w:val="00987D94"/>
    <w:rsid w:val="009900D0"/>
    <w:rsid w:val="00993761"/>
    <w:rsid w:val="00993C96"/>
    <w:rsid w:val="00993D16"/>
    <w:rsid w:val="00994760"/>
    <w:rsid w:val="00996330"/>
    <w:rsid w:val="00996F19"/>
    <w:rsid w:val="009970FD"/>
    <w:rsid w:val="0099790E"/>
    <w:rsid w:val="00997FDD"/>
    <w:rsid w:val="009A024E"/>
    <w:rsid w:val="009A25CF"/>
    <w:rsid w:val="009A277C"/>
    <w:rsid w:val="009A2C0C"/>
    <w:rsid w:val="009A2F50"/>
    <w:rsid w:val="009A3518"/>
    <w:rsid w:val="009A49D0"/>
    <w:rsid w:val="009A508E"/>
    <w:rsid w:val="009A52F9"/>
    <w:rsid w:val="009A5D6F"/>
    <w:rsid w:val="009A605F"/>
    <w:rsid w:val="009A622B"/>
    <w:rsid w:val="009A64A8"/>
    <w:rsid w:val="009A742F"/>
    <w:rsid w:val="009B07CE"/>
    <w:rsid w:val="009B0FBB"/>
    <w:rsid w:val="009B1A5F"/>
    <w:rsid w:val="009B5146"/>
    <w:rsid w:val="009B5BDC"/>
    <w:rsid w:val="009B7777"/>
    <w:rsid w:val="009B79EB"/>
    <w:rsid w:val="009B7EAC"/>
    <w:rsid w:val="009B7F0E"/>
    <w:rsid w:val="009C021C"/>
    <w:rsid w:val="009C0346"/>
    <w:rsid w:val="009C10F9"/>
    <w:rsid w:val="009C142A"/>
    <w:rsid w:val="009C2EA4"/>
    <w:rsid w:val="009C50FE"/>
    <w:rsid w:val="009C5B5B"/>
    <w:rsid w:val="009C5F7F"/>
    <w:rsid w:val="009C7AA3"/>
    <w:rsid w:val="009C7CD1"/>
    <w:rsid w:val="009D0678"/>
    <w:rsid w:val="009D077B"/>
    <w:rsid w:val="009D276B"/>
    <w:rsid w:val="009D287D"/>
    <w:rsid w:val="009D3047"/>
    <w:rsid w:val="009D3336"/>
    <w:rsid w:val="009D56D4"/>
    <w:rsid w:val="009D56ED"/>
    <w:rsid w:val="009D6329"/>
    <w:rsid w:val="009E0507"/>
    <w:rsid w:val="009E0A60"/>
    <w:rsid w:val="009E2813"/>
    <w:rsid w:val="009E43E0"/>
    <w:rsid w:val="009E4480"/>
    <w:rsid w:val="009E475B"/>
    <w:rsid w:val="009E5273"/>
    <w:rsid w:val="009E556B"/>
    <w:rsid w:val="009F0675"/>
    <w:rsid w:val="009F0A1F"/>
    <w:rsid w:val="009F1529"/>
    <w:rsid w:val="009F1B32"/>
    <w:rsid w:val="009F1C45"/>
    <w:rsid w:val="009F246B"/>
    <w:rsid w:val="009F3340"/>
    <w:rsid w:val="009F37CB"/>
    <w:rsid w:val="009F3AF6"/>
    <w:rsid w:val="009F4674"/>
    <w:rsid w:val="00A04FB1"/>
    <w:rsid w:val="00A0580D"/>
    <w:rsid w:val="00A06F0B"/>
    <w:rsid w:val="00A07013"/>
    <w:rsid w:val="00A0741E"/>
    <w:rsid w:val="00A10A69"/>
    <w:rsid w:val="00A11768"/>
    <w:rsid w:val="00A12155"/>
    <w:rsid w:val="00A138E1"/>
    <w:rsid w:val="00A171F5"/>
    <w:rsid w:val="00A17258"/>
    <w:rsid w:val="00A1761D"/>
    <w:rsid w:val="00A20A25"/>
    <w:rsid w:val="00A20FD5"/>
    <w:rsid w:val="00A217D8"/>
    <w:rsid w:val="00A2188A"/>
    <w:rsid w:val="00A21D3F"/>
    <w:rsid w:val="00A22134"/>
    <w:rsid w:val="00A226E4"/>
    <w:rsid w:val="00A228E4"/>
    <w:rsid w:val="00A22BF3"/>
    <w:rsid w:val="00A23D90"/>
    <w:rsid w:val="00A2476C"/>
    <w:rsid w:val="00A25082"/>
    <w:rsid w:val="00A258B8"/>
    <w:rsid w:val="00A26106"/>
    <w:rsid w:val="00A2635D"/>
    <w:rsid w:val="00A27749"/>
    <w:rsid w:val="00A27820"/>
    <w:rsid w:val="00A30335"/>
    <w:rsid w:val="00A30B2E"/>
    <w:rsid w:val="00A31C51"/>
    <w:rsid w:val="00A32A0C"/>
    <w:rsid w:val="00A33B97"/>
    <w:rsid w:val="00A345EA"/>
    <w:rsid w:val="00A3463C"/>
    <w:rsid w:val="00A34E7D"/>
    <w:rsid w:val="00A358AF"/>
    <w:rsid w:val="00A36B7F"/>
    <w:rsid w:val="00A36CD8"/>
    <w:rsid w:val="00A4020D"/>
    <w:rsid w:val="00A409C2"/>
    <w:rsid w:val="00A40F05"/>
    <w:rsid w:val="00A41480"/>
    <w:rsid w:val="00A41896"/>
    <w:rsid w:val="00A41B9F"/>
    <w:rsid w:val="00A41CFA"/>
    <w:rsid w:val="00A41FF3"/>
    <w:rsid w:val="00A426D8"/>
    <w:rsid w:val="00A434A8"/>
    <w:rsid w:val="00A44837"/>
    <w:rsid w:val="00A44CA1"/>
    <w:rsid w:val="00A461E3"/>
    <w:rsid w:val="00A46EFA"/>
    <w:rsid w:val="00A50585"/>
    <w:rsid w:val="00A51255"/>
    <w:rsid w:val="00A5139F"/>
    <w:rsid w:val="00A52E44"/>
    <w:rsid w:val="00A537DC"/>
    <w:rsid w:val="00A56027"/>
    <w:rsid w:val="00A56E12"/>
    <w:rsid w:val="00A57109"/>
    <w:rsid w:val="00A5757D"/>
    <w:rsid w:val="00A57CD0"/>
    <w:rsid w:val="00A63E0D"/>
    <w:rsid w:val="00A6440D"/>
    <w:rsid w:val="00A64913"/>
    <w:rsid w:val="00A65551"/>
    <w:rsid w:val="00A67652"/>
    <w:rsid w:val="00A70586"/>
    <w:rsid w:val="00A7082E"/>
    <w:rsid w:val="00A70918"/>
    <w:rsid w:val="00A70A62"/>
    <w:rsid w:val="00A71C59"/>
    <w:rsid w:val="00A71D7D"/>
    <w:rsid w:val="00A7200B"/>
    <w:rsid w:val="00A7220A"/>
    <w:rsid w:val="00A7233B"/>
    <w:rsid w:val="00A733CA"/>
    <w:rsid w:val="00A7385A"/>
    <w:rsid w:val="00A73FA6"/>
    <w:rsid w:val="00A7583F"/>
    <w:rsid w:val="00A760EC"/>
    <w:rsid w:val="00A76334"/>
    <w:rsid w:val="00A763EF"/>
    <w:rsid w:val="00A76E7C"/>
    <w:rsid w:val="00A834DB"/>
    <w:rsid w:val="00A83935"/>
    <w:rsid w:val="00A84B7A"/>
    <w:rsid w:val="00A85565"/>
    <w:rsid w:val="00A86251"/>
    <w:rsid w:val="00A86965"/>
    <w:rsid w:val="00A86BC3"/>
    <w:rsid w:val="00A873FE"/>
    <w:rsid w:val="00A8788A"/>
    <w:rsid w:val="00A87CD4"/>
    <w:rsid w:val="00A906E0"/>
    <w:rsid w:val="00A908C0"/>
    <w:rsid w:val="00A91012"/>
    <w:rsid w:val="00A9240B"/>
    <w:rsid w:val="00A92D41"/>
    <w:rsid w:val="00A93B3C"/>
    <w:rsid w:val="00A94C27"/>
    <w:rsid w:val="00A967FC"/>
    <w:rsid w:val="00A96817"/>
    <w:rsid w:val="00A970C8"/>
    <w:rsid w:val="00A972E0"/>
    <w:rsid w:val="00A97576"/>
    <w:rsid w:val="00AA26FE"/>
    <w:rsid w:val="00AA27CC"/>
    <w:rsid w:val="00AA2D29"/>
    <w:rsid w:val="00AA3154"/>
    <w:rsid w:val="00AA53D3"/>
    <w:rsid w:val="00AA543E"/>
    <w:rsid w:val="00AA5690"/>
    <w:rsid w:val="00AA7851"/>
    <w:rsid w:val="00AA7938"/>
    <w:rsid w:val="00AA7D8C"/>
    <w:rsid w:val="00AB041F"/>
    <w:rsid w:val="00AB087F"/>
    <w:rsid w:val="00AB1F3C"/>
    <w:rsid w:val="00AB2483"/>
    <w:rsid w:val="00AB3EF3"/>
    <w:rsid w:val="00AB447E"/>
    <w:rsid w:val="00AB45F9"/>
    <w:rsid w:val="00AB55CC"/>
    <w:rsid w:val="00AB572F"/>
    <w:rsid w:val="00AB5E87"/>
    <w:rsid w:val="00AC0A8B"/>
    <w:rsid w:val="00AC0F4E"/>
    <w:rsid w:val="00AC2637"/>
    <w:rsid w:val="00AC2C52"/>
    <w:rsid w:val="00AC2DCC"/>
    <w:rsid w:val="00AC3336"/>
    <w:rsid w:val="00AC3D12"/>
    <w:rsid w:val="00AC64AB"/>
    <w:rsid w:val="00AC796E"/>
    <w:rsid w:val="00AD0727"/>
    <w:rsid w:val="00AD0A61"/>
    <w:rsid w:val="00AD1D6D"/>
    <w:rsid w:val="00AD2013"/>
    <w:rsid w:val="00AD34FD"/>
    <w:rsid w:val="00AD3BC2"/>
    <w:rsid w:val="00AD4347"/>
    <w:rsid w:val="00AD4579"/>
    <w:rsid w:val="00AD641C"/>
    <w:rsid w:val="00AE0D42"/>
    <w:rsid w:val="00AE151A"/>
    <w:rsid w:val="00AE1756"/>
    <w:rsid w:val="00AE1B9A"/>
    <w:rsid w:val="00AE20CA"/>
    <w:rsid w:val="00AE3530"/>
    <w:rsid w:val="00AE3CB4"/>
    <w:rsid w:val="00AE4820"/>
    <w:rsid w:val="00AE4E5D"/>
    <w:rsid w:val="00AE6A85"/>
    <w:rsid w:val="00AE7DF0"/>
    <w:rsid w:val="00AF00DB"/>
    <w:rsid w:val="00AF13F7"/>
    <w:rsid w:val="00AF552F"/>
    <w:rsid w:val="00AF5893"/>
    <w:rsid w:val="00AF5D0C"/>
    <w:rsid w:val="00AF7B11"/>
    <w:rsid w:val="00B01800"/>
    <w:rsid w:val="00B03B2F"/>
    <w:rsid w:val="00B044E9"/>
    <w:rsid w:val="00B0641B"/>
    <w:rsid w:val="00B06E5E"/>
    <w:rsid w:val="00B07C6E"/>
    <w:rsid w:val="00B108AA"/>
    <w:rsid w:val="00B1115B"/>
    <w:rsid w:val="00B11208"/>
    <w:rsid w:val="00B11A27"/>
    <w:rsid w:val="00B120AC"/>
    <w:rsid w:val="00B1480B"/>
    <w:rsid w:val="00B14A03"/>
    <w:rsid w:val="00B14EF5"/>
    <w:rsid w:val="00B17286"/>
    <w:rsid w:val="00B21609"/>
    <w:rsid w:val="00B2281D"/>
    <w:rsid w:val="00B23275"/>
    <w:rsid w:val="00B23D04"/>
    <w:rsid w:val="00B23D40"/>
    <w:rsid w:val="00B24E2C"/>
    <w:rsid w:val="00B2565F"/>
    <w:rsid w:val="00B25AB9"/>
    <w:rsid w:val="00B27FCF"/>
    <w:rsid w:val="00B319FF"/>
    <w:rsid w:val="00B31E29"/>
    <w:rsid w:val="00B31F88"/>
    <w:rsid w:val="00B32336"/>
    <w:rsid w:val="00B32705"/>
    <w:rsid w:val="00B3405E"/>
    <w:rsid w:val="00B34F3F"/>
    <w:rsid w:val="00B351C0"/>
    <w:rsid w:val="00B355AA"/>
    <w:rsid w:val="00B36D6B"/>
    <w:rsid w:val="00B36E01"/>
    <w:rsid w:val="00B3736B"/>
    <w:rsid w:val="00B377D0"/>
    <w:rsid w:val="00B37802"/>
    <w:rsid w:val="00B4058C"/>
    <w:rsid w:val="00B41A0C"/>
    <w:rsid w:val="00B4250B"/>
    <w:rsid w:val="00B4379B"/>
    <w:rsid w:val="00B443FC"/>
    <w:rsid w:val="00B45091"/>
    <w:rsid w:val="00B45956"/>
    <w:rsid w:val="00B46A0F"/>
    <w:rsid w:val="00B47434"/>
    <w:rsid w:val="00B4743C"/>
    <w:rsid w:val="00B47C4D"/>
    <w:rsid w:val="00B503A5"/>
    <w:rsid w:val="00B51243"/>
    <w:rsid w:val="00B52BDE"/>
    <w:rsid w:val="00B537F0"/>
    <w:rsid w:val="00B550B8"/>
    <w:rsid w:val="00B554B7"/>
    <w:rsid w:val="00B560AB"/>
    <w:rsid w:val="00B5624F"/>
    <w:rsid w:val="00B56518"/>
    <w:rsid w:val="00B565B5"/>
    <w:rsid w:val="00B56797"/>
    <w:rsid w:val="00B56BE0"/>
    <w:rsid w:val="00B57937"/>
    <w:rsid w:val="00B60109"/>
    <w:rsid w:val="00B603A9"/>
    <w:rsid w:val="00B60518"/>
    <w:rsid w:val="00B63B5C"/>
    <w:rsid w:val="00B63E7A"/>
    <w:rsid w:val="00B63EFD"/>
    <w:rsid w:val="00B65AB3"/>
    <w:rsid w:val="00B66435"/>
    <w:rsid w:val="00B7015F"/>
    <w:rsid w:val="00B71B28"/>
    <w:rsid w:val="00B71C29"/>
    <w:rsid w:val="00B7212E"/>
    <w:rsid w:val="00B72895"/>
    <w:rsid w:val="00B72A47"/>
    <w:rsid w:val="00B72CD1"/>
    <w:rsid w:val="00B743EF"/>
    <w:rsid w:val="00B748B4"/>
    <w:rsid w:val="00B76483"/>
    <w:rsid w:val="00B76F60"/>
    <w:rsid w:val="00B8093E"/>
    <w:rsid w:val="00B815F3"/>
    <w:rsid w:val="00B819B2"/>
    <w:rsid w:val="00B81A01"/>
    <w:rsid w:val="00B82366"/>
    <w:rsid w:val="00B83075"/>
    <w:rsid w:val="00B85421"/>
    <w:rsid w:val="00B85900"/>
    <w:rsid w:val="00B85C29"/>
    <w:rsid w:val="00B90627"/>
    <w:rsid w:val="00B90F5C"/>
    <w:rsid w:val="00B91490"/>
    <w:rsid w:val="00B916A4"/>
    <w:rsid w:val="00B92E70"/>
    <w:rsid w:val="00B9416F"/>
    <w:rsid w:val="00B950D4"/>
    <w:rsid w:val="00B95DC9"/>
    <w:rsid w:val="00B96225"/>
    <w:rsid w:val="00B968C4"/>
    <w:rsid w:val="00B96C05"/>
    <w:rsid w:val="00B97BA7"/>
    <w:rsid w:val="00BA1C2D"/>
    <w:rsid w:val="00BA3142"/>
    <w:rsid w:val="00BA3401"/>
    <w:rsid w:val="00BA6899"/>
    <w:rsid w:val="00BA70C2"/>
    <w:rsid w:val="00BA77FF"/>
    <w:rsid w:val="00BB001F"/>
    <w:rsid w:val="00BB32DD"/>
    <w:rsid w:val="00BB36ED"/>
    <w:rsid w:val="00BB3FD0"/>
    <w:rsid w:val="00BB4239"/>
    <w:rsid w:val="00BB5B65"/>
    <w:rsid w:val="00BB6277"/>
    <w:rsid w:val="00BB6EF2"/>
    <w:rsid w:val="00BB7FD7"/>
    <w:rsid w:val="00BC1117"/>
    <w:rsid w:val="00BC11A5"/>
    <w:rsid w:val="00BC2497"/>
    <w:rsid w:val="00BC2F31"/>
    <w:rsid w:val="00BC3F03"/>
    <w:rsid w:val="00BC4673"/>
    <w:rsid w:val="00BC4DB4"/>
    <w:rsid w:val="00BC4E38"/>
    <w:rsid w:val="00BC52A9"/>
    <w:rsid w:val="00BC6362"/>
    <w:rsid w:val="00BC6557"/>
    <w:rsid w:val="00BD0493"/>
    <w:rsid w:val="00BD0E22"/>
    <w:rsid w:val="00BD13FA"/>
    <w:rsid w:val="00BD18D4"/>
    <w:rsid w:val="00BD1B7C"/>
    <w:rsid w:val="00BD2488"/>
    <w:rsid w:val="00BD4293"/>
    <w:rsid w:val="00BD45EC"/>
    <w:rsid w:val="00BD4AC2"/>
    <w:rsid w:val="00BD54CE"/>
    <w:rsid w:val="00BD5642"/>
    <w:rsid w:val="00BD5C5E"/>
    <w:rsid w:val="00BD61A6"/>
    <w:rsid w:val="00BD62A1"/>
    <w:rsid w:val="00BD6601"/>
    <w:rsid w:val="00BD6E16"/>
    <w:rsid w:val="00BD7B21"/>
    <w:rsid w:val="00BE03DB"/>
    <w:rsid w:val="00BE0676"/>
    <w:rsid w:val="00BE3373"/>
    <w:rsid w:val="00BE48CC"/>
    <w:rsid w:val="00BE73D9"/>
    <w:rsid w:val="00BF4369"/>
    <w:rsid w:val="00BF499E"/>
    <w:rsid w:val="00C006FD"/>
    <w:rsid w:val="00C01265"/>
    <w:rsid w:val="00C02DCB"/>
    <w:rsid w:val="00C04303"/>
    <w:rsid w:val="00C05DA2"/>
    <w:rsid w:val="00C069E6"/>
    <w:rsid w:val="00C07A6A"/>
    <w:rsid w:val="00C07AA6"/>
    <w:rsid w:val="00C10F5B"/>
    <w:rsid w:val="00C11AF1"/>
    <w:rsid w:val="00C13D7D"/>
    <w:rsid w:val="00C157DC"/>
    <w:rsid w:val="00C16418"/>
    <w:rsid w:val="00C17229"/>
    <w:rsid w:val="00C212EC"/>
    <w:rsid w:val="00C23335"/>
    <w:rsid w:val="00C23641"/>
    <w:rsid w:val="00C25265"/>
    <w:rsid w:val="00C25BED"/>
    <w:rsid w:val="00C27491"/>
    <w:rsid w:val="00C27761"/>
    <w:rsid w:val="00C3014B"/>
    <w:rsid w:val="00C305FC"/>
    <w:rsid w:val="00C3068F"/>
    <w:rsid w:val="00C317C5"/>
    <w:rsid w:val="00C322C7"/>
    <w:rsid w:val="00C3264D"/>
    <w:rsid w:val="00C328B5"/>
    <w:rsid w:val="00C3323D"/>
    <w:rsid w:val="00C33D12"/>
    <w:rsid w:val="00C34256"/>
    <w:rsid w:val="00C347A3"/>
    <w:rsid w:val="00C36721"/>
    <w:rsid w:val="00C36DAC"/>
    <w:rsid w:val="00C37C88"/>
    <w:rsid w:val="00C40614"/>
    <w:rsid w:val="00C42D5E"/>
    <w:rsid w:val="00C42DA2"/>
    <w:rsid w:val="00C42F43"/>
    <w:rsid w:val="00C4687B"/>
    <w:rsid w:val="00C46B8E"/>
    <w:rsid w:val="00C47CBE"/>
    <w:rsid w:val="00C50C5D"/>
    <w:rsid w:val="00C51974"/>
    <w:rsid w:val="00C5231B"/>
    <w:rsid w:val="00C5259F"/>
    <w:rsid w:val="00C53ADF"/>
    <w:rsid w:val="00C53D44"/>
    <w:rsid w:val="00C53F6C"/>
    <w:rsid w:val="00C54831"/>
    <w:rsid w:val="00C5488A"/>
    <w:rsid w:val="00C56607"/>
    <w:rsid w:val="00C57CF1"/>
    <w:rsid w:val="00C60FC3"/>
    <w:rsid w:val="00C62F4C"/>
    <w:rsid w:val="00C63139"/>
    <w:rsid w:val="00C63358"/>
    <w:rsid w:val="00C65659"/>
    <w:rsid w:val="00C65A16"/>
    <w:rsid w:val="00C65C9A"/>
    <w:rsid w:val="00C6697A"/>
    <w:rsid w:val="00C67CC2"/>
    <w:rsid w:val="00C71727"/>
    <w:rsid w:val="00C7172A"/>
    <w:rsid w:val="00C71F0D"/>
    <w:rsid w:val="00C72DE6"/>
    <w:rsid w:val="00C7359A"/>
    <w:rsid w:val="00C749A1"/>
    <w:rsid w:val="00C7517E"/>
    <w:rsid w:val="00C75457"/>
    <w:rsid w:val="00C7608A"/>
    <w:rsid w:val="00C761DE"/>
    <w:rsid w:val="00C774FE"/>
    <w:rsid w:val="00C7778B"/>
    <w:rsid w:val="00C80B75"/>
    <w:rsid w:val="00C80FAB"/>
    <w:rsid w:val="00C81645"/>
    <w:rsid w:val="00C83B26"/>
    <w:rsid w:val="00C840C1"/>
    <w:rsid w:val="00C865E5"/>
    <w:rsid w:val="00C87B63"/>
    <w:rsid w:val="00C90DA5"/>
    <w:rsid w:val="00C90FCB"/>
    <w:rsid w:val="00C91241"/>
    <w:rsid w:val="00C924D9"/>
    <w:rsid w:val="00C9272D"/>
    <w:rsid w:val="00C927AF"/>
    <w:rsid w:val="00C9372B"/>
    <w:rsid w:val="00C946EC"/>
    <w:rsid w:val="00C953A4"/>
    <w:rsid w:val="00C95ABD"/>
    <w:rsid w:val="00C96092"/>
    <w:rsid w:val="00C9765D"/>
    <w:rsid w:val="00C97AC8"/>
    <w:rsid w:val="00C97D5A"/>
    <w:rsid w:val="00CA02CF"/>
    <w:rsid w:val="00CA07DE"/>
    <w:rsid w:val="00CA088B"/>
    <w:rsid w:val="00CA15E9"/>
    <w:rsid w:val="00CA37FA"/>
    <w:rsid w:val="00CA5C4A"/>
    <w:rsid w:val="00CA5DEB"/>
    <w:rsid w:val="00CA63B3"/>
    <w:rsid w:val="00CA7567"/>
    <w:rsid w:val="00CB01E9"/>
    <w:rsid w:val="00CB16BA"/>
    <w:rsid w:val="00CB19B4"/>
    <w:rsid w:val="00CB1F13"/>
    <w:rsid w:val="00CB47A0"/>
    <w:rsid w:val="00CB5D39"/>
    <w:rsid w:val="00CB5EFB"/>
    <w:rsid w:val="00CB6D6B"/>
    <w:rsid w:val="00CC0711"/>
    <w:rsid w:val="00CC18FC"/>
    <w:rsid w:val="00CC2A0B"/>
    <w:rsid w:val="00CC5D97"/>
    <w:rsid w:val="00CC6C83"/>
    <w:rsid w:val="00CC7150"/>
    <w:rsid w:val="00CD1487"/>
    <w:rsid w:val="00CD165F"/>
    <w:rsid w:val="00CD2990"/>
    <w:rsid w:val="00CD3DCB"/>
    <w:rsid w:val="00CD4200"/>
    <w:rsid w:val="00CD4A7D"/>
    <w:rsid w:val="00CD4C61"/>
    <w:rsid w:val="00CD4D5D"/>
    <w:rsid w:val="00CD7A7D"/>
    <w:rsid w:val="00CD7B80"/>
    <w:rsid w:val="00CE0E37"/>
    <w:rsid w:val="00CE157A"/>
    <w:rsid w:val="00CE2133"/>
    <w:rsid w:val="00CE2343"/>
    <w:rsid w:val="00CE2F5E"/>
    <w:rsid w:val="00CE3D91"/>
    <w:rsid w:val="00CE4A9A"/>
    <w:rsid w:val="00CE56DA"/>
    <w:rsid w:val="00CE6E0D"/>
    <w:rsid w:val="00CE7068"/>
    <w:rsid w:val="00CE7BDF"/>
    <w:rsid w:val="00CF01BA"/>
    <w:rsid w:val="00CF0633"/>
    <w:rsid w:val="00CF2EE9"/>
    <w:rsid w:val="00CF3427"/>
    <w:rsid w:val="00CF493D"/>
    <w:rsid w:val="00CF51D1"/>
    <w:rsid w:val="00CF6E9F"/>
    <w:rsid w:val="00CF74D1"/>
    <w:rsid w:val="00D00076"/>
    <w:rsid w:val="00D0019E"/>
    <w:rsid w:val="00D00990"/>
    <w:rsid w:val="00D022B6"/>
    <w:rsid w:val="00D046AD"/>
    <w:rsid w:val="00D04CF2"/>
    <w:rsid w:val="00D050C7"/>
    <w:rsid w:val="00D053FD"/>
    <w:rsid w:val="00D05661"/>
    <w:rsid w:val="00D05D74"/>
    <w:rsid w:val="00D062BE"/>
    <w:rsid w:val="00D064DB"/>
    <w:rsid w:val="00D0719F"/>
    <w:rsid w:val="00D073DE"/>
    <w:rsid w:val="00D10A01"/>
    <w:rsid w:val="00D11B36"/>
    <w:rsid w:val="00D12E19"/>
    <w:rsid w:val="00D13182"/>
    <w:rsid w:val="00D13294"/>
    <w:rsid w:val="00D13544"/>
    <w:rsid w:val="00D14D89"/>
    <w:rsid w:val="00D15836"/>
    <w:rsid w:val="00D16D2A"/>
    <w:rsid w:val="00D16E3F"/>
    <w:rsid w:val="00D17F84"/>
    <w:rsid w:val="00D203A6"/>
    <w:rsid w:val="00D21F15"/>
    <w:rsid w:val="00D22230"/>
    <w:rsid w:val="00D22658"/>
    <w:rsid w:val="00D22882"/>
    <w:rsid w:val="00D22B32"/>
    <w:rsid w:val="00D25FD4"/>
    <w:rsid w:val="00D26C43"/>
    <w:rsid w:val="00D27A50"/>
    <w:rsid w:val="00D303C0"/>
    <w:rsid w:val="00D30CC0"/>
    <w:rsid w:val="00D32B8D"/>
    <w:rsid w:val="00D32F37"/>
    <w:rsid w:val="00D34C67"/>
    <w:rsid w:val="00D37638"/>
    <w:rsid w:val="00D40EE9"/>
    <w:rsid w:val="00D43974"/>
    <w:rsid w:val="00D4614A"/>
    <w:rsid w:val="00D46FB5"/>
    <w:rsid w:val="00D50CB8"/>
    <w:rsid w:val="00D50D53"/>
    <w:rsid w:val="00D510F6"/>
    <w:rsid w:val="00D51AB4"/>
    <w:rsid w:val="00D526D9"/>
    <w:rsid w:val="00D5381F"/>
    <w:rsid w:val="00D539A2"/>
    <w:rsid w:val="00D54166"/>
    <w:rsid w:val="00D544C8"/>
    <w:rsid w:val="00D55FF8"/>
    <w:rsid w:val="00D56521"/>
    <w:rsid w:val="00D60ABD"/>
    <w:rsid w:val="00D620D0"/>
    <w:rsid w:val="00D62919"/>
    <w:rsid w:val="00D63551"/>
    <w:rsid w:val="00D649D0"/>
    <w:rsid w:val="00D658CD"/>
    <w:rsid w:val="00D661E1"/>
    <w:rsid w:val="00D66773"/>
    <w:rsid w:val="00D668BC"/>
    <w:rsid w:val="00D71650"/>
    <w:rsid w:val="00D72291"/>
    <w:rsid w:val="00D72505"/>
    <w:rsid w:val="00D73529"/>
    <w:rsid w:val="00D74845"/>
    <w:rsid w:val="00D77584"/>
    <w:rsid w:val="00D7780A"/>
    <w:rsid w:val="00D804E3"/>
    <w:rsid w:val="00D809A7"/>
    <w:rsid w:val="00D80E75"/>
    <w:rsid w:val="00D81813"/>
    <w:rsid w:val="00D82253"/>
    <w:rsid w:val="00D827FF"/>
    <w:rsid w:val="00D835F6"/>
    <w:rsid w:val="00D8414D"/>
    <w:rsid w:val="00D8486C"/>
    <w:rsid w:val="00D84E20"/>
    <w:rsid w:val="00D86C7E"/>
    <w:rsid w:val="00D87744"/>
    <w:rsid w:val="00D87CD1"/>
    <w:rsid w:val="00D87DD0"/>
    <w:rsid w:val="00D904CB"/>
    <w:rsid w:val="00D90C81"/>
    <w:rsid w:val="00D912CC"/>
    <w:rsid w:val="00D92703"/>
    <w:rsid w:val="00D92A8E"/>
    <w:rsid w:val="00D934EA"/>
    <w:rsid w:val="00D94029"/>
    <w:rsid w:val="00D94249"/>
    <w:rsid w:val="00D944EA"/>
    <w:rsid w:val="00D950AD"/>
    <w:rsid w:val="00D952A6"/>
    <w:rsid w:val="00D958B0"/>
    <w:rsid w:val="00D961B5"/>
    <w:rsid w:val="00D96703"/>
    <w:rsid w:val="00D96BE2"/>
    <w:rsid w:val="00D97F8A"/>
    <w:rsid w:val="00DA0215"/>
    <w:rsid w:val="00DA14A0"/>
    <w:rsid w:val="00DA1896"/>
    <w:rsid w:val="00DA2110"/>
    <w:rsid w:val="00DA4122"/>
    <w:rsid w:val="00DA626F"/>
    <w:rsid w:val="00DA6F88"/>
    <w:rsid w:val="00DB01B0"/>
    <w:rsid w:val="00DB0DA8"/>
    <w:rsid w:val="00DB2650"/>
    <w:rsid w:val="00DB48CE"/>
    <w:rsid w:val="00DB71B4"/>
    <w:rsid w:val="00DB7ADF"/>
    <w:rsid w:val="00DC180D"/>
    <w:rsid w:val="00DC1835"/>
    <w:rsid w:val="00DC18E5"/>
    <w:rsid w:val="00DC2292"/>
    <w:rsid w:val="00DC2946"/>
    <w:rsid w:val="00DC3D93"/>
    <w:rsid w:val="00DC3E46"/>
    <w:rsid w:val="00DC4277"/>
    <w:rsid w:val="00DC5775"/>
    <w:rsid w:val="00DC6C21"/>
    <w:rsid w:val="00DC7A2E"/>
    <w:rsid w:val="00DC7FAB"/>
    <w:rsid w:val="00DD0977"/>
    <w:rsid w:val="00DD0BBF"/>
    <w:rsid w:val="00DD3FD6"/>
    <w:rsid w:val="00DD47D2"/>
    <w:rsid w:val="00DD4B1A"/>
    <w:rsid w:val="00DD5190"/>
    <w:rsid w:val="00DD575B"/>
    <w:rsid w:val="00DD5E0D"/>
    <w:rsid w:val="00DD6FF6"/>
    <w:rsid w:val="00DD7204"/>
    <w:rsid w:val="00DD7268"/>
    <w:rsid w:val="00DD7B91"/>
    <w:rsid w:val="00DE0631"/>
    <w:rsid w:val="00DE1204"/>
    <w:rsid w:val="00DE16CF"/>
    <w:rsid w:val="00DE41D6"/>
    <w:rsid w:val="00DE4627"/>
    <w:rsid w:val="00DE4CEB"/>
    <w:rsid w:val="00DE5183"/>
    <w:rsid w:val="00DE6137"/>
    <w:rsid w:val="00DE618B"/>
    <w:rsid w:val="00DF0F62"/>
    <w:rsid w:val="00DF1DD3"/>
    <w:rsid w:val="00DF1FFC"/>
    <w:rsid w:val="00DF2D42"/>
    <w:rsid w:val="00DF2FBF"/>
    <w:rsid w:val="00DF3F70"/>
    <w:rsid w:val="00DF61CA"/>
    <w:rsid w:val="00DF754D"/>
    <w:rsid w:val="00E00723"/>
    <w:rsid w:val="00E02439"/>
    <w:rsid w:val="00E028E1"/>
    <w:rsid w:val="00E03644"/>
    <w:rsid w:val="00E0367B"/>
    <w:rsid w:val="00E050EA"/>
    <w:rsid w:val="00E055C5"/>
    <w:rsid w:val="00E059A2"/>
    <w:rsid w:val="00E05BE7"/>
    <w:rsid w:val="00E06410"/>
    <w:rsid w:val="00E06754"/>
    <w:rsid w:val="00E068E2"/>
    <w:rsid w:val="00E06966"/>
    <w:rsid w:val="00E0737A"/>
    <w:rsid w:val="00E07B22"/>
    <w:rsid w:val="00E07BC7"/>
    <w:rsid w:val="00E1047C"/>
    <w:rsid w:val="00E11775"/>
    <w:rsid w:val="00E11B82"/>
    <w:rsid w:val="00E135D3"/>
    <w:rsid w:val="00E13684"/>
    <w:rsid w:val="00E14A91"/>
    <w:rsid w:val="00E15B7F"/>
    <w:rsid w:val="00E15E4E"/>
    <w:rsid w:val="00E16579"/>
    <w:rsid w:val="00E16F11"/>
    <w:rsid w:val="00E20DB4"/>
    <w:rsid w:val="00E20EF8"/>
    <w:rsid w:val="00E2102F"/>
    <w:rsid w:val="00E21C03"/>
    <w:rsid w:val="00E23F39"/>
    <w:rsid w:val="00E242CC"/>
    <w:rsid w:val="00E24862"/>
    <w:rsid w:val="00E265AB"/>
    <w:rsid w:val="00E26A7A"/>
    <w:rsid w:val="00E27920"/>
    <w:rsid w:val="00E27A25"/>
    <w:rsid w:val="00E27B4F"/>
    <w:rsid w:val="00E30A93"/>
    <w:rsid w:val="00E30D9D"/>
    <w:rsid w:val="00E30E22"/>
    <w:rsid w:val="00E3125F"/>
    <w:rsid w:val="00E31340"/>
    <w:rsid w:val="00E32482"/>
    <w:rsid w:val="00E339B4"/>
    <w:rsid w:val="00E34542"/>
    <w:rsid w:val="00E3497A"/>
    <w:rsid w:val="00E34B0D"/>
    <w:rsid w:val="00E368AD"/>
    <w:rsid w:val="00E36A40"/>
    <w:rsid w:val="00E37132"/>
    <w:rsid w:val="00E41518"/>
    <w:rsid w:val="00E420EC"/>
    <w:rsid w:val="00E423B2"/>
    <w:rsid w:val="00E444CD"/>
    <w:rsid w:val="00E44C95"/>
    <w:rsid w:val="00E4543D"/>
    <w:rsid w:val="00E45A9C"/>
    <w:rsid w:val="00E47B58"/>
    <w:rsid w:val="00E50C45"/>
    <w:rsid w:val="00E51468"/>
    <w:rsid w:val="00E53116"/>
    <w:rsid w:val="00E53540"/>
    <w:rsid w:val="00E544A8"/>
    <w:rsid w:val="00E56079"/>
    <w:rsid w:val="00E569F0"/>
    <w:rsid w:val="00E56BBE"/>
    <w:rsid w:val="00E578B7"/>
    <w:rsid w:val="00E6067A"/>
    <w:rsid w:val="00E61FB9"/>
    <w:rsid w:val="00E63A9F"/>
    <w:rsid w:val="00E65097"/>
    <w:rsid w:val="00E66626"/>
    <w:rsid w:val="00E666CD"/>
    <w:rsid w:val="00E671F6"/>
    <w:rsid w:val="00E673A7"/>
    <w:rsid w:val="00E70D75"/>
    <w:rsid w:val="00E70F1C"/>
    <w:rsid w:val="00E716BD"/>
    <w:rsid w:val="00E732EF"/>
    <w:rsid w:val="00E739BA"/>
    <w:rsid w:val="00E7427F"/>
    <w:rsid w:val="00E747B7"/>
    <w:rsid w:val="00E75152"/>
    <w:rsid w:val="00E75EFF"/>
    <w:rsid w:val="00E75F7C"/>
    <w:rsid w:val="00E763DD"/>
    <w:rsid w:val="00E76ADE"/>
    <w:rsid w:val="00E77037"/>
    <w:rsid w:val="00E77130"/>
    <w:rsid w:val="00E77D89"/>
    <w:rsid w:val="00E808DF"/>
    <w:rsid w:val="00E82338"/>
    <w:rsid w:val="00E830AC"/>
    <w:rsid w:val="00E837F8"/>
    <w:rsid w:val="00E83C39"/>
    <w:rsid w:val="00E843FF"/>
    <w:rsid w:val="00E853FA"/>
    <w:rsid w:val="00E86E8B"/>
    <w:rsid w:val="00E879D0"/>
    <w:rsid w:val="00E87CA8"/>
    <w:rsid w:val="00E87E4B"/>
    <w:rsid w:val="00E91263"/>
    <w:rsid w:val="00E947BE"/>
    <w:rsid w:val="00E94A51"/>
    <w:rsid w:val="00E951C5"/>
    <w:rsid w:val="00E9607B"/>
    <w:rsid w:val="00E96264"/>
    <w:rsid w:val="00E97546"/>
    <w:rsid w:val="00E9756A"/>
    <w:rsid w:val="00E97EE2"/>
    <w:rsid w:val="00EA1B60"/>
    <w:rsid w:val="00EA1C8B"/>
    <w:rsid w:val="00EA38E8"/>
    <w:rsid w:val="00EA4BF3"/>
    <w:rsid w:val="00EA507B"/>
    <w:rsid w:val="00EA50F0"/>
    <w:rsid w:val="00EB088E"/>
    <w:rsid w:val="00EB0909"/>
    <w:rsid w:val="00EB0D39"/>
    <w:rsid w:val="00EB1065"/>
    <w:rsid w:val="00EB16D6"/>
    <w:rsid w:val="00EB43B2"/>
    <w:rsid w:val="00EB4C36"/>
    <w:rsid w:val="00EB4EA1"/>
    <w:rsid w:val="00EC0D8F"/>
    <w:rsid w:val="00EC1830"/>
    <w:rsid w:val="00EC2333"/>
    <w:rsid w:val="00EC2671"/>
    <w:rsid w:val="00EC47B1"/>
    <w:rsid w:val="00EC504C"/>
    <w:rsid w:val="00EC5EF0"/>
    <w:rsid w:val="00EC7184"/>
    <w:rsid w:val="00EC7646"/>
    <w:rsid w:val="00ED0285"/>
    <w:rsid w:val="00ED081A"/>
    <w:rsid w:val="00ED19B6"/>
    <w:rsid w:val="00ED4538"/>
    <w:rsid w:val="00ED4E41"/>
    <w:rsid w:val="00EE09DC"/>
    <w:rsid w:val="00EE0E7B"/>
    <w:rsid w:val="00EE0E7F"/>
    <w:rsid w:val="00EE1A65"/>
    <w:rsid w:val="00EE1C0E"/>
    <w:rsid w:val="00EE254E"/>
    <w:rsid w:val="00EE2C94"/>
    <w:rsid w:val="00EE4A4A"/>
    <w:rsid w:val="00EE5A8A"/>
    <w:rsid w:val="00EE5DEB"/>
    <w:rsid w:val="00EE5F6E"/>
    <w:rsid w:val="00EE7611"/>
    <w:rsid w:val="00EE7BE0"/>
    <w:rsid w:val="00EF0E51"/>
    <w:rsid w:val="00EF1C91"/>
    <w:rsid w:val="00EF2C1E"/>
    <w:rsid w:val="00EF2F56"/>
    <w:rsid w:val="00EF3A8D"/>
    <w:rsid w:val="00EF4455"/>
    <w:rsid w:val="00EF4549"/>
    <w:rsid w:val="00EF53BF"/>
    <w:rsid w:val="00EF7975"/>
    <w:rsid w:val="00EF7BA0"/>
    <w:rsid w:val="00EF7D46"/>
    <w:rsid w:val="00EF7D59"/>
    <w:rsid w:val="00F00B51"/>
    <w:rsid w:val="00F01ABB"/>
    <w:rsid w:val="00F02B19"/>
    <w:rsid w:val="00F02D81"/>
    <w:rsid w:val="00F03069"/>
    <w:rsid w:val="00F03EEA"/>
    <w:rsid w:val="00F05D0E"/>
    <w:rsid w:val="00F05DA4"/>
    <w:rsid w:val="00F0662F"/>
    <w:rsid w:val="00F10961"/>
    <w:rsid w:val="00F11F32"/>
    <w:rsid w:val="00F13530"/>
    <w:rsid w:val="00F150CD"/>
    <w:rsid w:val="00F15AA1"/>
    <w:rsid w:val="00F160BA"/>
    <w:rsid w:val="00F16378"/>
    <w:rsid w:val="00F178EA"/>
    <w:rsid w:val="00F21672"/>
    <w:rsid w:val="00F2229C"/>
    <w:rsid w:val="00F2268A"/>
    <w:rsid w:val="00F23372"/>
    <w:rsid w:val="00F23B57"/>
    <w:rsid w:val="00F245F9"/>
    <w:rsid w:val="00F24728"/>
    <w:rsid w:val="00F25BDF"/>
    <w:rsid w:val="00F2633E"/>
    <w:rsid w:val="00F26368"/>
    <w:rsid w:val="00F2661D"/>
    <w:rsid w:val="00F26BFC"/>
    <w:rsid w:val="00F27847"/>
    <w:rsid w:val="00F30BF2"/>
    <w:rsid w:val="00F30D3D"/>
    <w:rsid w:val="00F30D82"/>
    <w:rsid w:val="00F33361"/>
    <w:rsid w:val="00F3353B"/>
    <w:rsid w:val="00F35A24"/>
    <w:rsid w:val="00F363A8"/>
    <w:rsid w:val="00F366DC"/>
    <w:rsid w:val="00F36D35"/>
    <w:rsid w:val="00F37722"/>
    <w:rsid w:val="00F407F0"/>
    <w:rsid w:val="00F43030"/>
    <w:rsid w:val="00F47D95"/>
    <w:rsid w:val="00F521B9"/>
    <w:rsid w:val="00F52B9D"/>
    <w:rsid w:val="00F53943"/>
    <w:rsid w:val="00F53CC8"/>
    <w:rsid w:val="00F53D0B"/>
    <w:rsid w:val="00F55083"/>
    <w:rsid w:val="00F55E8E"/>
    <w:rsid w:val="00F568D8"/>
    <w:rsid w:val="00F57A2D"/>
    <w:rsid w:val="00F60A65"/>
    <w:rsid w:val="00F635AB"/>
    <w:rsid w:val="00F635F0"/>
    <w:rsid w:val="00F6435E"/>
    <w:rsid w:val="00F64E62"/>
    <w:rsid w:val="00F64FC3"/>
    <w:rsid w:val="00F65471"/>
    <w:rsid w:val="00F720E1"/>
    <w:rsid w:val="00F7656A"/>
    <w:rsid w:val="00F771B5"/>
    <w:rsid w:val="00F771FE"/>
    <w:rsid w:val="00F80CB8"/>
    <w:rsid w:val="00F81769"/>
    <w:rsid w:val="00F81B7E"/>
    <w:rsid w:val="00F81D7A"/>
    <w:rsid w:val="00F823FD"/>
    <w:rsid w:val="00F82E8B"/>
    <w:rsid w:val="00F8314A"/>
    <w:rsid w:val="00F855A7"/>
    <w:rsid w:val="00F86391"/>
    <w:rsid w:val="00F86392"/>
    <w:rsid w:val="00F86A10"/>
    <w:rsid w:val="00F909F1"/>
    <w:rsid w:val="00F93DAF"/>
    <w:rsid w:val="00F94B98"/>
    <w:rsid w:val="00F953B6"/>
    <w:rsid w:val="00F95A97"/>
    <w:rsid w:val="00F96691"/>
    <w:rsid w:val="00F96A6B"/>
    <w:rsid w:val="00FA01DE"/>
    <w:rsid w:val="00FA16FE"/>
    <w:rsid w:val="00FA2202"/>
    <w:rsid w:val="00FA2282"/>
    <w:rsid w:val="00FA25FE"/>
    <w:rsid w:val="00FA4B8C"/>
    <w:rsid w:val="00FA7207"/>
    <w:rsid w:val="00FB0C9C"/>
    <w:rsid w:val="00FB0DCF"/>
    <w:rsid w:val="00FB1B33"/>
    <w:rsid w:val="00FB1FE8"/>
    <w:rsid w:val="00FB352C"/>
    <w:rsid w:val="00FB5759"/>
    <w:rsid w:val="00FB6DE1"/>
    <w:rsid w:val="00FB6E8B"/>
    <w:rsid w:val="00FC00B9"/>
    <w:rsid w:val="00FC0FCA"/>
    <w:rsid w:val="00FC2B59"/>
    <w:rsid w:val="00FC4061"/>
    <w:rsid w:val="00FC585C"/>
    <w:rsid w:val="00FD02C0"/>
    <w:rsid w:val="00FD1B81"/>
    <w:rsid w:val="00FD252D"/>
    <w:rsid w:val="00FD33BB"/>
    <w:rsid w:val="00FD4343"/>
    <w:rsid w:val="00FD4BD3"/>
    <w:rsid w:val="00FD4E87"/>
    <w:rsid w:val="00FD4F66"/>
    <w:rsid w:val="00FD5890"/>
    <w:rsid w:val="00FD6923"/>
    <w:rsid w:val="00FD6A06"/>
    <w:rsid w:val="00FD6CA2"/>
    <w:rsid w:val="00FD79ED"/>
    <w:rsid w:val="00FD7FAE"/>
    <w:rsid w:val="00FE1920"/>
    <w:rsid w:val="00FE3E26"/>
    <w:rsid w:val="00FE4C67"/>
    <w:rsid w:val="00FE5D33"/>
    <w:rsid w:val="00FE65C9"/>
    <w:rsid w:val="00FE73F3"/>
    <w:rsid w:val="00FE7D60"/>
    <w:rsid w:val="00FF0730"/>
    <w:rsid w:val="00FF1635"/>
    <w:rsid w:val="00FF3DE1"/>
    <w:rsid w:val="00FF41D9"/>
    <w:rsid w:val="00FF5B28"/>
    <w:rsid w:val="00FF7582"/>
    <w:rsid w:val="00FF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CFD2FD"/>
  <w15:chartTrackingRefBased/>
  <w15:docId w15:val="{C35D33D8-BA69-4500-9BB1-822519F9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150"/>
    <w:pPr>
      <w:spacing w:line="288" w:lineRule="auto"/>
    </w:pPr>
    <w:rPr>
      <w:rFonts w:eastAsiaTheme="minorEastAsia"/>
    </w:rPr>
  </w:style>
  <w:style w:type="paragraph" w:styleId="Heading1">
    <w:name w:val="heading 1"/>
    <w:basedOn w:val="ListParagraph"/>
    <w:next w:val="Normal"/>
    <w:link w:val="Heading1Char"/>
    <w:uiPriority w:val="9"/>
    <w:qFormat/>
    <w:rsid w:val="0022115D"/>
    <w:pPr>
      <w:numPr>
        <w:ilvl w:val="0"/>
        <w:numId w:val="53"/>
      </w:numPr>
      <w:spacing w:before="360" w:after="120"/>
      <w:outlineLvl w:val="0"/>
    </w:pPr>
    <w:rPr>
      <w:b/>
      <w:sz w:val="40"/>
      <w:szCs w:val="40"/>
    </w:rPr>
  </w:style>
  <w:style w:type="paragraph" w:styleId="Heading2">
    <w:name w:val="heading 2"/>
    <w:basedOn w:val="Normal"/>
    <w:next w:val="Normal"/>
    <w:link w:val="Heading2Char"/>
    <w:uiPriority w:val="9"/>
    <w:unhideWhenUsed/>
    <w:qFormat/>
    <w:rsid w:val="00040230"/>
    <w:pPr>
      <w:spacing w:before="240"/>
      <w:ind w:left="-11"/>
      <w:outlineLvl w:val="1"/>
    </w:pPr>
    <w:rPr>
      <w:rFonts w:asciiTheme="minorHAnsi" w:hAnsiTheme="minorHAnsi" w:cstheme="minorHAnsi"/>
      <w:b/>
      <w:sz w:val="32"/>
      <w:szCs w:val="32"/>
    </w:rPr>
  </w:style>
  <w:style w:type="paragraph" w:styleId="Heading3">
    <w:name w:val="heading 3"/>
    <w:basedOn w:val="Normal"/>
    <w:next w:val="Normal"/>
    <w:link w:val="Heading3Char"/>
    <w:uiPriority w:val="9"/>
    <w:qFormat/>
    <w:rsid w:val="00B3736B"/>
    <w:pPr>
      <w:keepNext/>
      <w:tabs>
        <w:tab w:val="num" w:pos="862"/>
      </w:tabs>
      <w:spacing w:before="240" w:after="60" w:line="240" w:lineRule="auto"/>
      <w:ind w:left="1276" w:hanging="1134"/>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B3736B"/>
    <w:pPr>
      <w:keepNext/>
      <w:tabs>
        <w:tab w:val="num" w:pos="1006"/>
      </w:tabs>
      <w:spacing w:before="240" w:after="60" w:line="240" w:lineRule="auto"/>
      <w:ind w:left="1006" w:hanging="86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qFormat/>
    <w:rsid w:val="00B3736B"/>
    <w:pPr>
      <w:tabs>
        <w:tab w:val="num" w:pos="1150"/>
      </w:tabs>
      <w:spacing w:before="240" w:after="60" w:line="240" w:lineRule="auto"/>
      <w:ind w:left="1150" w:hanging="1008"/>
      <w:outlineLvl w:val="4"/>
    </w:pPr>
    <w:rPr>
      <w:rFonts w:ascii="Arial" w:eastAsia="Times New Roman" w:hAnsi="Arial" w:cs="Times New Roman"/>
      <w:b/>
      <w:bCs/>
      <w:i/>
      <w:iCs/>
      <w:sz w:val="26"/>
      <w:szCs w:val="26"/>
    </w:rPr>
  </w:style>
  <w:style w:type="paragraph" w:styleId="Heading6">
    <w:name w:val="heading 6"/>
    <w:basedOn w:val="Normal"/>
    <w:next w:val="Normal"/>
    <w:link w:val="Heading6Char"/>
    <w:uiPriority w:val="9"/>
    <w:qFormat/>
    <w:rsid w:val="00B3736B"/>
    <w:pPr>
      <w:tabs>
        <w:tab w:val="num" w:pos="1294"/>
      </w:tabs>
      <w:spacing w:before="240" w:after="60" w:line="240" w:lineRule="auto"/>
      <w:ind w:left="1294" w:hanging="1152"/>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
    <w:qFormat/>
    <w:rsid w:val="00B3736B"/>
    <w:pPr>
      <w:tabs>
        <w:tab w:val="num" w:pos="1438"/>
      </w:tabs>
      <w:spacing w:before="240" w:after="60" w:line="240" w:lineRule="auto"/>
      <w:ind w:left="1438" w:hanging="1296"/>
      <w:outlineLvl w:val="6"/>
    </w:pPr>
    <w:rPr>
      <w:rFonts w:ascii="Times New Roman" w:eastAsia="Times New Roman" w:hAnsi="Times New Roman" w:cs="Times New Roman"/>
    </w:rPr>
  </w:style>
  <w:style w:type="paragraph" w:styleId="Heading8">
    <w:name w:val="heading 8"/>
    <w:basedOn w:val="Normal"/>
    <w:next w:val="Normal"/>
    <w:link w:val="Heading8Char"/>
    <w:uiPriority w:val="9"/>
    <w:qFormat/>
    <w:rsid w:val="00B3736B"/>
    <w:pPr>
      <w:tabs>
        <w:tab w:val="num" w:pos="1582"/>
      </w:tabs>
      <w:spacing w:before="240" w:after="60" w:line="240" w:lineRule="auto"/>
      <w:ind w:left="1582" w:hanging="1440"/>
      <w:outlineLvl w:val="7"/>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FootnoteText"/>
    <w:link w:val="FootnoteChar"/>
    <w:qFormat/>
    <w:rsid w:val="0077456F"/>
    <w:rPr>
      <w:color w:val="77328A"/>
      <w:sz w:val="16"/>
      <w:szCs w:val="16"/>
    </w:rPr>
  </w:style>
  <w:style w:type="character" w:customStyle="1" w:styleId="FootnoteChar">
    <w:name w:val="Footnote Char"/>
    <w:basedOn w:val="FootnoteTextChar"/>
    <w:link w:val="Footnote"/>
    <w:rsid w:val="0077456F"/>
    <w:rPr>
      <w:color w:val="77328A"/>
      <w:sz w:val="16"/>
      <w:szCs w:val="16"/>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77456F"/>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77456F"/>
    <w:rPr>
      <w:sz w:val="20"/>
      <w:szCs w:val="20"/>
    </w:rPr>
  </w:style>
  <w:style w:type="paragraph" w:customStyle="1" w:styleId="BasicParagraph">
    <w:name w:val="[Basic Paragraph]"/>
    <w:basedOn w:val="Normal"/>
    <w:uiPriority w:val="99"/>
    <w:rsid w:val="00CC7150"/>
    <w:pPr>
      <w:widowControl w:val="0"/>
      <w:autoSpaceDE w:val="0"/>
      <w:autoSpaceDN w:val="0"/>
      <w:adjustRightInd w:val="0"/>
      <w:textAlignment w:val="center"/>
    </w:pPr>
    <w:rPr>
      <w:rFonts w:ascii="MinionPro-Regular" w:hAnsi="MinionPro-Regular" w:cs="MinionPro-Regular"/>
      <w:color w:val="000000"/>
    </w:rPr>
  </w:style>
  <w:style w:type="paragraph" w:customStyle="1" w:styleId="Default">
    <w:name w:val="Default"/>
    <w:rsid w:val="00CC7150"/>
    <w:pPr>
      <w:widowControl w:val="0"/>
      <w:autoSpaceDE w:val="0"/>
      <w:autoSpaceDN w:val="0"/>
      <w:adjustRightInd w:val="0"/>
    </w:pPr>
    <w:rPr>
      <w:rFonts w:eastAsiaTheme="minorEastAsia" w:cs="Verdana"/>
      <w:color w:val="000000"/>
      <w:lang w:val="en-US"/>
    </w:rPr>
  </w:style>
  <w:style w:type="paragraph" w:styleId="ListParagraph">
    <w:name w:val="List Paragraph"/>
    <w:basedOn w:val="Normal"/>
    <w:link w:val="ListParagraphChar"/>
    <w:uiPriority w:val="34"/>
    <w:qFormat/>
    <w:rsid w:val="00040230"/>
    <w:pPr>
      <w:numPr>
        <w:ilvl w:val="1"/>
        <w:numId w:val="2"/>
      </w:numPr>
      <w:spacing w:after="240" w:line="240" w:lineRule="auto"/>
    </w:pPr>
    <w:rPr>
      <w:rFonts w:asciiTheme="minorHAnsi" w:hAnsiTheme="minorHAnsi" w:cstheme="minorHAnsi"/>
      <w:sz w:val="28"/>
      <w:szCs w:val="28"/>
    </w:rPr>
  </w:style>
  <w:style w:type="character" w:customStyle="1" w:styleId="Heading1Char">
    <w:name w:val="Heading 1 Char"/>
    <w:basedOn w:val="DefaultParagraphFont"/>
    <w:link w:val="Heading1"/>
    <w:uiPriority w:val="9"/>
    <w:rsid w:val="0022115D"/>
    <w:rPr>
      <w:rFonts w:asciiTheme="minorHAnsi" w:eastAsiaTheme="minorEastAsia" w:hAnsiTheme="minorHAnsi" w:cstheme="minorHAnsi"/>
      <w:b/>
      <w:sz w:val="40"/>
      <w:szCs w:val="40"/>
    </w:rPr>
  </w:style>
  <w:style w:type="paragraph" w:styleId="TOC1">
    <w:name w:val="toc 1"/>
    <w:basedOn w:val="Normal"/>
    <w:next w:val="Normal"/>
    <w:autoRedefine/>
    <w:uiPriority w:val="39"/>
    <w:unhideWhenUsed/>
    <w:rsid w:val="00DB7ADF"/>
    <w:pPr>
      <w:tabs>
        <w:tab w:val="left" w:pos="660"/>
        <w:tab w:val="right" w:leader="dot" w:pos="9736"/>
      </w:tabs>
      <w:spacing w:after="100" w:line="276" w:lineRule="auto"/>
    </w:pPr>
    <w:rPr>
      <w:b/>
    </w:rPr>
  </w:style>
  <w:style w:type="paragraph" w:styleId="TOC2">
    <w:name w:val="toc 2"/>
    <w:basedOn w:val="Normal"/>
    <w:next w:val="Normal"/>
    <w:autoRedefine/>
    <w:uiPriority w:val="39"/>
    <w:unhideWhenUsed/>
    <w:rsid w:val="002B5263"/>
    <w:pPr>
      <w:tabs>
        <w:tab w:val="right" w:leader="dot" w:pos="9736"/>
      </w:tabs>
      <w:spacing w:after="100"/>
      <w:ind w:left="240"/>
    </w:pPr>
  </w:style>
  <w:style w:type="paragraph" w:styleId="TOC3">
    <w:name w:val="toc 3"/>
    <w:basedOn w:val="Normal"/>
    <w:next w:val="Normal"/>
    <w:autoRedefine/>
    <w:uiPriority w:val="39"/>
    <w:unhideWhenUsed/>
    <w:rsid w:val="00E569F0"/>
    <w:pPr>
      <w:spacing w:after="100"/>
      <w:ind w:left="480"/>
    </w:pPr>
    <w:rPr>
      <w:i/>
    </w:rPr>
  </w:style>
  <w:style w:type="paragraph" w:styleId="TOCHeading">
    <w:name w:val="TOC Heading"/>
    <w:basedOn w:val="Heading1"/>
    <w:next w:val="Normal"/>
    <w:uiPriority w:val="39"/>
    <w:unhideWhenUsed/>
    <w:qFormat/>
    <w:rsid w:val="00E569F0"/>
    <w:pPr>
      <w:keepNext/>
      <w:keepLines/>
      <w:numPr>
        <w:numId w:val="0"/>
      </w:numPr>
      <w:spacing w:before="240"/>
      <w:outlineLvl w:val="9"/>
    </w:pPr>
    <w:rPr>
      <w:rFonts w:asciiTheme="majorHAnsi" w:eastAsiaTheme="majorEastAsia" w:hAnsiTheme="majorHAnsi" w:cstheme="majorBidi"/>
      <w:b w:val="0"/>
      <w:color w:val="2E74B5" w:themeColor="accent1" w:themeShade="BF"/>
      <w:sz w:val="32"/>
      <w:szCs w:val="32"/>
    </w:rPr>
  </w:style>
  <w:style w:type="character" w:styleId="Hyperlink">
    <w:name w:val="Hyperlink"/>
    <w:basedOn w:val="DefaultParagraphFont"/>
    <w:uiPriority w:val="99"/>
    <w:unhideWhenUsed/>
    <w:rsid w:val="00E569F0"/>
    <w:rPr>
      <w:color w:val="0563C1" w:themeColor="hyperlink"/>
      <w:u w:val="single"/>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link w:val="4GChar"/>
    <w:uiPriority w:val="99"/>
    <w:unhideWhenUsed/>
    <w:qFormat/>
    <w:rsid w:val="00604C15"/>
    <w:rPr>
      <w:vertAlign w:val="superscript"/>
    </w:rPr>
  </w:style>
  <w:style w:type="table" w:styleId="TableGrid">
    <w:name w:val="Table Grid"/>
    <w:basedOn w:val="TableNormal"/>
    <w:uiPriority w:val="59"/>
    <w:rsid w:val="00223B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7825"/>
    <w:rPr>
      <w:sz w:val="16"/>
      <w:szCs w:val="16"/>
    </w:rPr>
  </w:style>
  <w:style w:type="paragraph" w:styleId="CommentText">
    <w:name w:val="annotation text"/>
    <w:basedOn w:val="Normal"/>
    <w:link w:val="CommentTextChar"/>
    <w:uiPriority w:val="99"/>
    <w:unhideWhenUsed/>
    <w:rsid w:val="00437825"/>
    <w:pPr>
      <w:spacing w:line="240" w:lineRule="auto"/>
    </w:pPr>
    <w:rPr>
      <w:sz w:val="20"/>
      <w:szCs w:val="20"/>
    </w:rPr>
  </w:style>
  <w:style w:type="character" w:customStyle="1" w:styleId="CommentTextChar">
    <w:name w:val="Comment Text Char"/>
    <w:basedOn w:val="DefaultParagraphFont"/>
    <w:link w:val="CommentText"/>
    <w:uiPriority w:val="99"/>
    <w:rsid w:val="0043782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37825"/>
    <w:rPr>
      <w:b/>
      <w:bCs/>
    </w:rPr>
  </w:style>
  <w:style w:type="character" w:customStyle="1" w:styleId="CommentSubjectChar">
    <w:name w:val="Comment Subject Char"/>
    <w:basedOn w:val="CommentTextChar"/>
    <w:link w:val="CommentSubject"/>
    <w:uiPriority w:val="99"/>
    <w:semiHidden/>
    <w:rsid w:val="00437825"/>
    <w:rPr>
      <w:rFonts w:eastAsiaTheme="minorEastAsia"/>
      <w:b/>
      <w:bCs/>
      <w:sz w:val="20"/>
      <w:szCs w:val="20"/>
    </w:rPr>
  </w:style>
  <w:style w:type="paragraph" w:styleId="BalloonText">
    <w:name w:val="Balloon Text"/>
    <w:basedOn w:val="Normal"/>
    <w:link w:val="BalloonTextChar"/>
    <w:uiPriority w:val="99"/>
    <w:semiHidden/>
    <w:unhideWhenUsed/>
    <w:rsid w:val="004378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25"/>
    <w:rPr>
      <w:rFonts w:ascii="Segoe UI" w:eastAsiaTheme="minorEastAsia" w:hAnsi="Segoe UI" w:cs="Segoe UI"/>
      <w:sz w:val="18"/>
      <w:szCs w:val="18"/>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3F20DF"/>
    <w:pPr>
      <w:spacing w:after="160" w:line="240" w:lineRule="exact"/>
      <w:jc w:val="both"/>
    </w:pPr>
    <w:rPr>
      <w:rFonts w:eastAsiaTheme="minorHAnsi"/>
      <w:vertAlign w:val="superscript"/>
    </w:rPr>
  </w:style>
  <w:style w:type="paragraph" w:styleId="Quote">
    <w:name w:val="Quote"/>
    <w:basedOn w:val="ListParagraph"/>
    <w:next w:val="Normal"/>
    <w:link w:val="QuoteChar"/>
    <w:uiPriority w:val="29"/>
    <w:qFormat/>
    <w:rsid w:val="009C5F7F"/>
    <w:pPr>
      <w:numPr>
        <w:ilvl w:val="0"/>
        <w:numId w:val="0"/>
      </w:numPr>
      <w:ind w:left="1440" w:right="567"/>
    </w:pPr>
  </w:style>
  <w:style w:type="character" w:customStyle="1" w:styleId="QuoteChar">
    <w:name w:val="Quote Char"/>
    <w:basedOn w:val="DefaultParagraphFont"/>
    <w:link w:val="Quote"/>
    <w:uiPriority w:val="29"/>
    <w:rsid w:val="009C5F7F"/>
    <w:rPr>
      <w:rFonts w:asciiTheme="minorHAnsi" w:eastAsiaTheme="minorEastAsia" w:hAnsiTheme="minorHAnsi" w:cstheme="minorHAnsi"/>
      <w:sz w:val="28"/>
      <w:szCs w:val="28"/>
    </w:rPr>
  </w:style>
  <w:style w:type="character" w:customStyle="1" w:styleId="Heading2Char">
    <w:name w:val="Heading 2 Char"/>
    <w:basedOn w:val="DefaultParagraphFont"/>
    <w:link w:val="Heading2"/>
    <w:uiPriority w:val="9"/>
    <w:rsid w:val="00040230"/>
    <w:rPr>
      <w:rFonts w:asciiTheme="minorHAnsi" w:eastAsiaTheme="minorEastAsia" w:hAnsiTheme="minorHAnsi" w:cstheme="minorHAnsi"/>
      <w:b/>
      <w:sz w:val="32"/>
      <w:szCs w:val="32"/>
    </w:rPr>
  </w:style>
  <w:style w:type="paragraph" w:styleId="Header">
    <w:name w:val="header"/>
    <w:basedOn w:val="Normal"/>
    <w:link w:val="HeaderChar"/>
    <w:uiPriority w:val="99"/>
    <w:unhideWhenUsed/>
    <w:rsid w:val="007615A5"/>
    <w:pPr>
      <w:tabs>
        <w:tab w:val="center" w:pos="4513"/>
        <w:tab w:val="right" w:pos="9026"/>
      </w:tabs>
      <w:spacing w:line="240" w:lineRule="auto"/>
    </w:pPr>
  </w:style>
  <w:style w:type="character" w:customStyle="1" w:styleId="HeaderChar">
    <w:name w:val="Header Char"/>
    <w:basedOn w:val="DefaultParagraphFont"/>
    <w:link w:val="Header"/>
    <w:uiPriority w:val="99"/>
    <w:rsid w:val="007615A5"/>
    <w:rPr>
      <w:rFonts w:eastAsiaTheme="minorEastAsia"/>
    </w:rPr>
  </w:style>
  <w:style w:type="paragraph" w:styleId="Footer">
    <w:name w:val="footer"/>
    <w:basedOn w:val="Normal"/>
    <w:link w:val="FooterChar"/>
    <w:uiPriority w:val="99"/>
    <w:unhideWhenUsed/>
    <w:rsid w:val="007615A5"/>
    <w:pPr>
      <w:tabs>
        <w:tab w:val="center" w:pos="4513"/>
        <w:tab w:val="right" w:pos="9026"/>
      </w:tabs>
      <w:spacing w:line="240" w:lineRule="auto"/>
    </w:pPr>
  </w:style>
  <w:style w:type="character" w:customStyle="1" w:styleId="FooterChar">
    <w:name w:val="Footer Char"/>
    <w:basedOn w:val="DefaultParagraphFont"/>
    <w:link w:val="Footer"/>
    <w:uiPriority w:val="99"/>
    <w:rsid w:val="007615A5"/>
    <w:rPr>
      <w:rFonts w:eastAsiaTheme="minorEastAsia"/>
    </w:rPr>
  </w:style>
  <w:style w:type="paragraph" w:customStyle="1" w:styleId="zH1">
    <w:name w:val="zH1"/>
    <w:next w:val="zNumPara"/>
    <w:qFormat/>
    <w:rsid w:val="006D7C37"/>
    <w:pPr>
      <w:keepNext/>
      <w:numPr>
        <w:numId w:val="13"/>
      </w:numPr>
      <w:spacing w:before="1440" w:after="720"/>
      <w:outlineLvl w:val="0"/>
    </w:pPr>
    <w:rPr>
      <w:rFonts w:ascii="Arial" w:eastAsia="Times New Roman" w:hAnsi="Arial" w:cs="Arial"/>
      <w:b/>
      <w:bCs/>
      <w:kern w:val="32"/>
      <w:sz w:val="36"/>
      <w:szCs w:val="32"/>
    </w:rPr>
  </w:style>
  <w:style w:type="paragraph" w:customStyle="1" w:styleId="zH2">
    <w:name w:val="zH2"/>
    <w:next w:val="zNumPara"/>
    <w:qFormat/>
    <w:rsid w:val="006D7C37"/>
    <w:pPr>
      <w:keepNext/>
      <w:spacing w:before="480" w:after="60"/>
      <w:ind w:left="1134"/>
      <w:outlineLvl w:val="1"/>
    </w:pPr>
    <w:rPr>
      <w:rFonts w:ascii="Arial" w:eastAsia="Times New Roman" w:hAnsi="Arial" w:cs="Arial"/>
      <w:b/>
      <w:bCs/>
      <w:i/>
      <w:iCs/>
      <w:sz w:val="32"/>
      <w:szCs w:val="32"/>
    </w:rPr>
  </w:style>
  <w:style w:type="paragraph" w:customStyle="1" w:styleId="zNumPara">
    <w:name w:val="zNumPara"/>
    <w:basedOn w:val="Normal"/>
    <w:link w:val="zNumParaChar"/>
    <w:qFormat/>
    <w:rsid w:val="006D7C37"/>
    <w:pPr>
      <w:numPr>
        <w:ilvl w:val="8"/>
        <w:numId w:val="13"/>
      </w:numPr>
      <w:spacing w:after="240" w:line="240" w:lineRule="auto"/>
    </w:pPr>
    <w:rPr>
      <w:rFonts w:ascii="Arial" w:eastAsia="Times New Roman" w:hAnsi="Arial" w:cs="Arial"/>
      <w:sz w:val="28"/>
      <w:szCs w:val="28"/>
    </w:rPr>
  </w:style>
  <w:style w:type="character" w:customStyle="1" w:styleId="zNumParaChar">
    <w:name w:val="zNumPara Char"/>
    <w:basedOn w:val="DefaultParagraphFont"/>
    <w:link w:val="zNumPara"/>
    <w:rsid w:val="006D7C37"/>
    <w:rPr>
      <w:rFonts w:ascii="Arial" w:eastAsia="Times New Roman" w:hAnsi="Arial" w:cs="Arial"/>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A34E7D"/>
    <w:pPr>
      <w:spacing w:after="160" w:line="240" w:lineRule="exact"/>
      <w:jc w:val="both"/>
    </w:pPr>
    <w:rPr>
      <w:rFonts w:asciiTheme="minorHAnsi" w:eastAsiaTheme="minorHAnsi" w:hAnsiTheme="minorHAnsi"/>
      <w:sz w:val="22"/>
      <w:szCs w:val="22"/>
      <w:vertAlign w:val="superscript"/>
    </w:rPr>
  </w:style>
  <w:style w:type="character" w:styleId="Emphasis">
    <w:name w:val="Emphasis"/>
    <w:basedOn w:val="DefaultParagraphFont"/>
    <w:uiPriority w:val="20"/>
    <w:qFormat/>
    <w:rsid w:val="00B41A0C"/>
    <w:rPr>
      <w:i/>
      <w:iCs/>
    </w:rPr>
  </w:style>
  <w:style w:type="character" w:styleId="Strong">
    <w:name w:val="Strong"/>
    <w:basedOn w:val="DefaultParagraphFont"/>
    <w:uiPriority w:val="22"/>
    <w:qFormat/>
    <w:rsid w:val="00B41A0C"/>
    <w:rPr>
      <w:b/>
      <w:bCs/>
    </w:rPr>
  </w:style>
  <w:style w:type="paragraph" w:styleId="NormalWeb">
    <w:name w:val="Normal (Web)"/>
    <w:basedOn w:val="Normal"/>
    <w:uiPriority w:val="99"/>
    <w:unhideWhenUsed/>
    <w:rsid w:val="00B41A0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B3736B"/>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B3736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B3736B"/>
    <w:rPr>
      <w:rFonts w:ascii="Arial" w:eastAsia="Times New Roman" w:hAnsi="Arial" w:cs="Times New Roman"/>
      <w:b/>
      <w:bCs/>
      <w:i/>
      <w:iCs/>
      <w:sz w:val="26"/>
      <w:szCs w:val="26"/>
    </w:rPr>
  </w:style>
  <w:style w:type="character" w:customStyle="1" w:styleId="Heading6Char">
    <w:name w:val="Heading 6 Char"/>
    <w:basedOn w:val="DefaultParagraphFont"/>
    <w:link w:val="Heading6"/>
    <w:uiPriority w:val="9"/>
    <w:rsid w:val="00B3736B"/>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rsid w:val="00B3736B"/>
    <w:rPr>
      <w:rFonts w:ascii="Times New Roman" w:eastAsia="Times New Roman" w:hAnsi="Times New Roman" w:cs="Times New Roman"/>
    </w:rPr>
  </w:style>
  <w:style w:type="character" w:customStyle="1" w:styleId="Heading8Char">
    <w:name w:val="Heading 8 Char"/>
    <w:basedOn w:val="DefaultParagraphFont"/>
    <w:link w:val="Heading8"/>
    <w:uiPriority w:val="9"/>
    <w:rsid w:val="00B3736B"/>
    <w:rPr>
      <w:rFonts w:ascii="Times New Roman" w:eastAsia="Times New Roman" w:hAnsi="Times New Roman" w:cs="Times New Roman"/>
      <w:i/>
      <w:iCs/>
    </w:rPr>
  </w:style>
  <w:style w:type="paragraph" w:customStyle="1" w:styleId="Body">
    <w:name w:val="Body"/>
    <w:rsid w:val="00BB32DD"/>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n-GB"/>
    </w:rPr>
  </w:style>
  <w:style w:type="numbering" w:customStyle="1" w:styleId="ImportedStyle1">
    <w:name w:val="Imported Style 1"/>
    <w:rsid w:val="00BB32DD"/>
    <w:pPr>
      <w:numPr>
        <w:numId w:val="17"/>
      </w:numPr>
    </w:pPr>
  </w:style>
  <w:style w:type="paragraph" w:customStyle="1" w:styleId="zH3">
    <w:name w:val="zH3"/>
    <w:basedOn w:val="zH2"/>
    <w:next w:val="zNumPara"/>
    <w:qFormat/>
    <w:rsid w:val="001C2080"/>
    <w:pPr>
      <w:spacing w:before="240"/>
      <w:outlineLvl w:val="2"/>
    </w:pPr>
    <w:rPr>
      <w:b w:val="0"/>
      <w:i w:val="0"/>
      <w:u w:val="single"/>
    </w:rPr>
  </w:style>
  <w:style w:type="character" w:customStyle="1" w:styleId="UnresolvedMention1">
    <w:name w:val="Unresolved Mention1"/>
    <w:basedOn w:val="DefaultParagraphFont"/>
    <w:uiPriority w:val="99"/>
    <w:semiHidden/>
    <w:unhideWhenUsed/>
    <w:rsid w:val="00731146"/>
    <w:rPr>
      <w:color w:val="605E5C"/>
      <w:shd w:val="clear" w:color="auto" w:fill="E1DFDD"/>
    </w:rPr>
  </w:style>
  <w:style w:type="character" w:customStyle="1" w:styleId="UnresolvedMention2">
    <w:name w:val="Unresolved Mention2"/>
    <w:basedOn w:val="DefaultParagraphFont"/>
    <w:uiPriority w:val="99"/>
    <w:semiHidden/>
    <w:unhideWhenUsed/>
    <w:rsid w:val="00E66626"/>
    <w:rPr>
      <w:color w:val="605E5C"/>
      <w:shd w:val="clear" w:color="auto" w:fill="E1DFDD"/>
    </w:rPr>
  </w:style>
  <w:style w:type="paragraph" w:styleId="Revision">
    <w:name w:val="Revision"/>
    <w:hidden/>
    <w:uiPriority w:val="99"/>
    <w:semiHidden/>
    <w:rsid w:val="007A4DC5"/>
    <w:rPr>
      <w:rFonts w:eastAsiaTheme="minorEastAsia"/>
    </w:rPr>
  </w:style>
  <w:style w:type="character" w:customStyle="1" w:styleId="UnresolvedMention3">
    <w:name w:val="Unresolved Mention3"/>
    <w:basedOn w:val="DefaultParagraphFont"/>
    <w:uiPriority w:val="99"/>
    <w:semiHidden/>
    <w:unhideWhenUsed/>
    <w:rsid w:val="00DD7B91"/>
    <w:rPr>
      <w:color w:val="605E5C"/>
      <w:shd w:val="clear" w:color="auto" w:fill="E1DFDD"/>
    </w:rPr>
  </w:style>
  <w:style w:type="paragraph" w:styleId="Title">
    <w:name w:val="Title"/>
    <w:basedOn w:val="Default"/>
    <w:next w:val="Normal"/>
    <w:link w:val="TitleChar"/>
    <w:uiPriority w:val="10"/>
    <w:qFormat/>
    <w:rsid w:val="0022115D"/>
    <w:pPr>
      <w:jc w:val="center"/>
    </w:pPr>
    <w:rPr>
      <w:rFonts w:asciiTheme="minorHAnsi" w:hAnsiTheme="minorHAnsi" w:cstheme="minorHAnsi"/>
      <w:b/>
      <w:bCs/>
      <w:color w:val="auto"/>
      <w:sz w:val="56"/>
      <w:szCs w:val="56"/>
      <w:lang w:val="en-GB"/>
    </w:rPr>
  </w:style>
  <w:style w:type="character" w:customStyle="1" w:styleId="TitleChar">
    <w:name w:val="Title Char"/>
    <w:basedOn w:val="DefaultParagraphFont"/>
    <w:link w:val="Title"/>
    <w:uiPriority w:val="10"/>
    <w:rsid w:val="0022115D"/>
    <w:rPr>
      <w:rFonts w:asciiTheme="minorHAnsi" w:eastAsiaTheme="minorEastAsia" w:hAnsiTheme="minorHAnsi" w:cstheme="minorHAnsi"/>
      <w:b/>
      <w:bCs/>
      <w:sz w:val="56"/>
      <w:szCs w:val="56"/>
    </w:rPr>
  </w:style>
  <w:style w:type="paragraph" w:customStyle="1" w:styleId="bullet">
    <w:name w:val="bullet"/>
    <w:basedOn w:val="ListParagraph"/>
    <w:link w:val="bulletChar"/>
    <w:qFormat/>
    <w:rsid w:val="00922D5B"/>
    <w:pPr>
      <w:numPr>
        <w:ilvl w:val="0"/>
        <w:numId w:val="46"/>
      </w:numPr>
      <w:spacing w:after="0"/>
      <w:ind w:left="1797" w:hanging="357"/>
    </w:pPr>
  </w:style>
  <w:style w:type="character" w:customStyle="1" w:styleId="ListParagraphChar">
    <w:name w:val="List Paragraph Char"/>
    <w:basedOn w:val="DefaultParagraphFont"/>
    <w:link w:val="ListParagraph"/>
    <w:uiPriority w:val="34"/>
    <w:rsid w:val="0088076A"/>
    <w:rPr>
      <w:rFonts w:asciiTheme="minorHAnsi" w:eastAsiaTheme="minorEastAsia" w:hAnsiTheme="minorHAnsi" w:cstheme="minorHAnsi"/>
      <w:sz w:val="28"/>
      <w:szCs w:val="28"/>
    </w:rPr>
  </w:style>
  <w:style w:type="character" w:customStyle="1" w:styleId="bulletChar">
    <w:name w:val="bullet Char"/>
    <w:basedOn w:val="ListParagraphChar"/>
    <w:link w:val="bullet"/>
    <w:rsid w:val="00922D5B"/>
    <w:rPr>
      <w:rFonts w:asciiTheme="minorHAnsi" w:eastAsiaTheme="minorEastAsia" w:hAnsiTheme="minorHAnsi" w:cstheme="minorHAns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387184">
      <w:bodyDiv w:val="1"/>
      <w:marLeft w:val="0"/>
      <w:marRight w:val="0"/>
      <w:marTop w:val="0"/>
      <w:marBottom w:val="0"/>
      <w:divBdr>
        <w:top w:val="none" w:sz="0" w:space="0" w:color="auto"/>
        <w:left w:val="none" w:sz="0" w:space="0" w:color="auto"/>
        <w:bottom w:val="none" w:sz="0" w:space="0" w:color="auto"/>
        <w:right w:val="none" w:sz="0" w:space="0" w:color="auto"/>
      </w:divBdr>
      <w:divsChild>
        <w:div w:id="1377972079">
          <w:marLeft w:val="0"/>
          <w:marRight w:val="0"/>
          <w:marTop w:val="0"/>
          <w:marBottom w:val="0"/>
          <w:divBdr>
            <w:top w:val="none" w:sz="0" w:space="0" w:color="auto"/>
            <w:left w:val="none" w:sz="0" w:space="0" w:color="auto"/>
            <w:bottom w:val="none" w:sz="0" w:space="0" w:color="auto"/>
            <w:right w:val="none" w:sz="0" w:space="0" w:color="auto"/>
          </w:divBdr>
          <w:divsChild>
            <w:div w:id="1861510130">
              <w:marLeft w:val="0"/>
              <w:marRight w:val="0"/>
              <w:marTop w:val="0"/>
              <w:marBottom w:val="0"/>
              <w:divBdr>
                <w:top w:val="none" w:sz="0" w:space="0" w:color="auto"/>
                <w:left w:val="none" w:sz="0" w:space="0" w:color="auto"/>
                <w:bottom w:val="none" w:sz="0" w:space="0" w:color="auto"/>
                <w:right w:val="none" w:sz="0" w:space="0" w:color="auto"/>
              </w:divBdr>
              <w:divsChild>
                <w:div w:id="1939873640">
                  <w:marLeft w:val="0"/>
                  <w:marRight w:val="0"/>
                  <w:marTop w:val="0"/>
                  <w:marBottom w:val="0"/>
                  <w:divBdr>
                    <w:top w:val="none" w:sz="0" w:space="0" w:color="auto"/>
                    <w:left w:val="none" w:sz="0" w:space="0" w:color="auto"/>
                    <w:bottom w:val="none" w:sz="0" w:space="0" w:color="auto"/>
                    <w:right w:val="none" w:sz="0" w:space="0" w:color="auto"/>
                  </w:divBdr>
                  <w:divsChild>
                    <w:div w:id="259342694">
                      <w:marLeft w:val="0"/>
                      <w:marRight w:val="0"/>
                      <w:marTop w:val="0"/>
                      <w:marBottom w:val="0"/>
                      <w:divBdr>
                        <w:top w:val="none" w:sz="0" w:space="0" w:color="auto"/>
                        <w:left w:val="none" w:sz="0" w:space="0" w:color="auto"/>
                        <w:bottom w:val="none" w:sz="0" w:space="0" w:color="auto"/>
                        <w:right w:val="none" w:sz="0" w:space="0" w:color="auto"/>
                      </w:divBdr>
                      <w:divsChild>
                        <w:div w:id="1484853039">
                          <w:marLeft w:val="0"/>
                          <w:marRight w:val="0"/>
                          <w:marTop w:val="0"/>
                          <w:marBottom w:val="0"/>
                          <w:divBdr>
                            <w:top w:val="none" w:sz="0" w:space="0" w:color="auto"/>
                            <w:left w:val="none" w:sz="0" w:space="0" w:color="auto"/>
                            <w:bottom w:val="none" w:sz="0" w:space="0" w:color="auto"/>
                            <w:right w:val="none" w:sz="0" w:space="0" w:color="auto"/>
                          </w:divBdr>
                          <w:divsChild>
                            <w:div w:id="723259782">
                              <w:marLeft w:val="0"/>
                              <w:marRight w:val="0"/>
                              <w:marTop w:val="0"/>
                              <w:marBottom w:val="0"/>
                              <w:divBdr>
                                <w:top w:val="none" w:sz="0" w:space="0" w:color="auto"/>
                                <w:left w:val="none" w:sz="0" w:space="0" w:color="auto"/>
                                <w:bottom w:val="none" w:sz="0" w:space="0" w:color="auto"/>
                                <w:right w:val="none" w:sz="0" w:space="0" w:color="auto"/>
                              </w:divBdr>
                              <w:divsChild>
                                <w:div w:id="622812668">
                                  <w:marLeft w:val="0"/>
                                  <w:marRight w:val="0"/>
                                  <w:marTop w:val="0"/>
                                  <w:marBottom w:val="0"/>
                                  <w:divBdr>
                                    <w:top w:val="none" w:sz="0" w:space="0" w:color="auto"/>
                                    <w:left w:val="none" w:sz="0" w:space="0" w:color="auto"/>
                                    <w:bottom w:val="none" w:sz="0" w:space="0" w:color="auto"/>
                                    <w:right w:val="none" w:sz="0" w:space="0" w:color="auto"/>
                                  </w:divBdr>
                                  <w:divsChild>
                                    <w:div w:id="888419843">
                                      <w:marLeft w:val="0"/>
                                      <w:marRight w:val="0"/>
                                      <w:marTop w:val="0"/>
                                      <w:marBottom w:val="0"/>
                                      <w:divBdr>
                                        <w:top w:val="none" w:sz="0" w:space="0" w:color="auto"/>
                                        <w:left w:val="none" w:sz="0" w:space="0" w:color="auto"/>
                                        <w:bottom w:val="none" w:sz="0" w:space="0" w:color="auto"/>
                                        <w:right w:val="none" w:sz="0" w:space="0" w:color="auto"/>
                                      </w:divBdr>
                                      <w:divsChild>
                                        <w:div w:id="1108892633">
                                          <w:marLeft w:val="0"/>
                                          <w:marRight w:val="0"/>
                                          <w:marTop w:val="0"/>
                                          <w:marBottom w:val="0"/>
                                          <w:divBdr>
                                            <w:top w:val="none" w:sz="0" w:space="0" w:color="auto"/>
                                            <w:left w:val="none" w:sz="0" w:space="0" w:color="auto"/>
                                            <w:bottom w:val="none" w:sz="0" w:space="0" w:color="auto"/>
                                            <w:right w:val="none" w:sz="0" w:space="0" w:color="auto"/>
                                          </w:divBdr>
                                          <w:divsChild>
                                            <w:div w:id="1359619286">
                                              <w:marLeft w:val="0"/>
                                              <w:marRight w:val="0"/>
                                              <w:marTop w:val="0"/>
                                              <w:marBottom w:val="0"/>
                                              <w:divBdr>
                                                <w:top w:val="none" w:sz="0" w:space="0" w:color="auto"/>
                                                <w:left w:val="none" w:sz="0" w:space="0" w:color="auto"/>
                                                <w:bottom w:val="none" w:sz="0" w:space="0" w:color="auto"/>
                                                <w:right w:val="none" w:sz="0" w:space="0" w:color="auto"/>
                                              </w:divBdr>
                                              <w:divsChild>
                                                <w:div w:id="648167888">
                                                  <w:marLeft w:val="0"/>
                                                  <w:marRight w:val="0"/>
                                                  <w:marTop w:val="0"/>
                                                  <w:marBottom w:val="0"/>
                                                  <w:divBdr>
                                                    <w:top w:val="none" w:sz="0" w:space="0" w:color="auto"/>
                                                    <w:left w:val="none" w:sz="0" w:space="0" w:color="auto"/>
                                                    <w:bottom w:val="none" w:sz="0" w:space="0" w:color="auto"/>
                                                    <w:right w:val="none" w:sz="0" w:space="0" w:color="auto"/>
                                                  </w:divBdr>
                                                  <w:divsChild>
                                                    <w:div w:id="1310868028">
                                                      <w:marLeft w:val="0"/>
                                                      <w:marRight w:val="0"/>
                                                      <w:marTop w:val="0"/>
                                                      <w:marBottom w:val="0"/>
                                                      <w:divBdr>
                                                        <w:top w:val="none" w:sz="0" w:space="0" w:color="auto"/>
                                                        <w:left w:val="none" w:sz="0" w:space="0" w:color="auto"/>
                                                        <w:bottom w:val="none" w:sz="0" w:space="0" w:color="auto"/>
                                                        <w:right w:val="none" w:sz="0" w:space="0" w:color="auto"/>
                                                      </w:divBdr>
                                                      <w:divsChild>
                                                        <w:div w:id="137311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7118887">
      <w:bodyDiv w:val="1"/>
      <w:marLeft w:val="0"/>
      <w:marRight w:val="0"/>
      <w:marTop w:val="0"/>
      <w:marBottom w:val="0"/>
      <w:divBdr>
        <w:top w:val="none" w:sz="0" w:space="0" w:color="auto"/>
        <w:left w:val="none" w:sz="0" w:space="0" w:color="auto"/>
        <w:bottom w:val="none" w:sz="0" w:space="0" w:color="auto"/>
        <w:right w:val="none" w:sz="0" w:space="0" w:color="auto"/>
      </w:divBdr>
    </w:div>
    <w:div w:id="1192493351">
      <w:bodyDiv w:val="1"/>
      <w:marLeft w:val="0"/>
      <w:marRight w:val="0"/>
      <w:marTop w:val="0"/>
      <w:marBottom w:val="0"/>
      <w:divBdr>
        <w:top w:val="none" w:sz="0" w:space="0" w:color="auto"/>
        <w:left w:val="none" w:sz="0" w:space="0" w:color="auto"/>
        <w:bottom w:val="none" w:sz="0" w:space="0" w:color="auto"/>
        <w:right w:val="none" w:sz="0" w:space="0" w:color="auto"/>
      </w:divBdr>
    </w:div>
    <w:div w:id="193562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201;ilis.Haughey@nihrc.org"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the-belfast-agreement" TargetMode="External"/><Relationship Id="rId2" Type="http://schemas.openxmlformats.org/officeDocument/2006/relationships/hyperlink" Target="https://www.equalityni.org/ECNI/media/ECNI/Consultation%20Responses/2021/NIO-PfGOutcomesFramework.pdf?ext=.pdf" TargetMode="External"/><Relationship Id="rId1" Type="http://schemas.openxmlformats.org/officeDocument/2006/relationships/hyperlink" Target="https://committees.parliament.uk/work/1207/introductory-inquiry-into-the-operation-of-the-protocol-on-irelandnorthern-ire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CDFB6-96A5-44CE-A3CB-6E96B134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3241</Words>
  <Characters>17858</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 McCann</cp:lastModifiedBy>
  <cp:revision>11</cp:revision>
  <cp:lastPrinted>2021-06-21T14:00:00Z</cp:lastPrinted>
  <dcterms:created xsi:type="dcterms:W3CDTF">2021-06-14T16:33:00Z</dcterms:created>
  <dcterms:modified xsi:type="dcterms:W3CDTF">2021-06-21T14:00:00Z</dcterms:modified>
</cp:coreProperties>
</file>