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3BB6F"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62163F29" wp14:editId="0A82034E">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44DA4E64"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05FE2D98" w14:textId="77777777" w:rsidR="00742632" w:rsidRPr="00742632" w:rsidRDefault="00D42675" w:rsidP="00742632">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NIHRC Submission</w:t>
      </w:r>
      <w:r w:rsidR="00742632">
        <w:rPr>
          <w:rFonts w:ascii="Verdana" w:hAnsi="Verdana" w:cs="Arial"/>
          <w:b/>
          <w:bCs/>
          <w:color w:val="77328A"/>
          <w:sz w:val="36"/>
          <w:szCs w:val="36"/>
        </w:rPr>
        <w:t xml:space="preserve"> to the Committee </w:t>
      </w:r>
      <w:r w:rsidR="00742632" w:rsidRPr="00742632">
        <w:rPr>
          <w:rFonts w:ascii="Verdana" w:hAnsi="Verdana" w:cs="Arial"/>
          <w:b/>
          <w:bCs/>
          <w:color w:val="77328A"/>
          <w:sz w:val="36"/>
          <w:szCs w:val="36"/>
        </w:rPr>
        <w:t>for Justice - Protection from Stalking Bill</w:t>
      </w:r>
    </w:p>
    <w:p w14:paraId="0327DCD7" w14:textId="77777777" w:rsidR="0096459E" w:rsidRPr="003B7D0E" w:rsidRDefault="00742632" w:rsidP="00742632">
      <w:pPr>
        <w:pStyle w:val="BasicParagraph"/>
        <w:suppressAutoHyphens/>
        <w:jc w:val="center"/>
        <w:rPr>
          <w:rFonts w:ascii="Verdana" w:hAnsi="Verdana" w:cs="Arial"/>
          <w:b/>
          <w:color w:val="77328A"/>
          <w:sz w:val="36"/>
          <w:szCs w:val="36"/>
        </w:rPr>
      </w:pPr>
      <w:r w:rsidRPr="00742632">
        <w:rPr>
          <w:rFonts w:ascii="Verdana" w:hAnsi="Verdana" w:cs="Arial"/>
          <w:b/>
          <w:bCs/>
          <w:color w:val="77328A"/>
          <w:sz w:val="36"/>
          <w:szCs w:val="36"/>
        </w:rPr>
        <w:t>Call for Evidence</w:t>
      </w:r>
    </w:p>
    <w:p w14:paraId="2B4FD58F" w14:textId="77777777" w:rsidR="00F31387" w:rsidRPr="00331C61" w:rsidRDefault="00F31387" w:rsidP="003B7D0E">
      <w:pPr>
        <w:pStyle w:val="Default"/>
        <w:spacing w:line="288" w:lineRule="auto"/>
        <w:jc w:val="center"/>
        <w:rPr>
          <w:rFonts w:cs="Arial"/>
          <w:color w:val="232120"/>
          <w:sz w:val="36"/>
          <w:szCs w:val="36"/>
        </w:rPr>
      </w:pPr>
    </w:p>
    <w:p w14:paraId="30C0A44C" w14:textId="77777777" w:rsidR="008159E8" w:rsidRPr="00331C61" w:rsidRDefault="00742632" w:rsidP="003B7D0E">
      <w:pPr>
        <w:spacing w:line="288" w:lineRule="auto"/>
        <w:jc w:val="center"/>
        <w:rPr>
          <w:rFonts w:cs="Arial"/>
          <w:b/>
          <w:color w:val="232120"/>
          <w:sz w:val="30"/>
          <w:szCs w:val="30"/>
        </w:rPr>
      </w:pPr>
      <w:r>
        <w:rPr>
          <w:rFonts w:cs="Arial"/>
          <w:b/>
          <w:color w:val="232120"/>
          <w:sz w:val="30"/>
          <w:szCs w:val="30"/>
        </w:rPr>
        <w:t>April 2021</w:t>
      </w:r>
    </w:p>
    <w:p w14:paraId="696BBDD1" w14:textId="77777777" w:rsidR="00046705" w:rsidRPr="00331C61" w:rsidRDefault="00046705" w:rsidP="003B7D0E">
      <w:pPr>
        <w:spacing w:line="288" w:lineRule="auto"/>
        <w:jc w:val="center"/>
        <w:rPr>
          <w:rFonts w:cs="Arial"/>
          <w:b/>
          <w:color w:val="232120"/>
          <w:sz w:val="28"/>
          <w:szCs w:val="28"/>
        </w:rPr>
      </w:pPr>
    </w:p>
    <w:p w14:paraId="655DDC55" w14:textId="77777777" w:rsidR="00046705" w:rsidRPr="00331C61" w:rsidRDefault="00046705" w:rsidP="003B7D0E">
      <w:pPr>
        <w:spacing w:line="288" w:lineRule="auto"/>
        <w:jc w:val="center"/>
        <w:rPr>
          <w:rFonts w:cs="Arial"/>
          <w:b/>
          <w:color w:val="232120"/>
          <w:sz w:val="28"/>
          <w:szCs w:val="28"/>
        </w:rPr>
      </w:pPr>
    </w:p>
    <w:p w14:paraId="5CDA87D0" w14:textId="77777777" w:rsidR="00EA12CE" w:rsidRPr="00331C61" w:rsidRDefault="00EA12CE" w:rsidP="003B7D0E">
      <w:pPr>
        <w:pStyle w:val="Default"/>
        <w:spacing w:line="288" w:lineRule="auto"/>
        <w:jc w:val="center"/>
        <w:rPr>
          <w:rFonts w:cs="Arial"/>
          <w:b/>
          <w:color w:val="232120"/>
          <w:sz w:val="28"/>
          <w:szCs w:val="28"/>
          <w:lang w:val="en-GB"/>
        </w:rPr>
      </w:pPr>
    </w:p>
    <w:p w14:paraId="469915B9" w14:textId="77777777" w:rsidR="003B7D0E" w:rsidRPr="00331C61" w:rsidRDefault="003B7D0E" w:rsidP="003B7D0E">
      <w:pPr>
        <w:pStyle w:val="Default"/>
        <w:spacing w:line="480" w:lineRule="auto"/>
        <w:jc w:val="center"/>
        <w:rPr>
          <w:rFonts w:cs="Arial"/>
          <w:b/>
          <w:color w:val="232120"/>
          <w:sz w:val="36"/>
          <w:szCs w:val="36"/>
        </w:rPr>
      </w:pPr>
    </w:p>
    <w:p w14:paraId="79E327E8" w14:textId="77777777" w:rsidR="003B7D0E" w:rsidRDefault="003B7D0E" w:rsidP="003B7D0E">
      <w:pPr>
        <w:pStyle w:val="Default"/>
        <w:spacing w:line="480" w:lineRule="auto"/>
        <w:jc w:val="center"/>
        <w:rPr>
          <w:rFonts w:cs="Arial"/>
          <w:b/>
          <w:color w:val="232120"/>
          <w:sz w:val="36"/>
          <w:szCs w:val="36"/>
        </w:rPr>
      </w:pPr>
    </w:p>
    <w:p w14:paraId="1A7ED6FC" w14:textId="77777777" w:rsidR="0096459E" w:rsidRPr="00331C61" w:rsidRDefault="0096459E" w:rsidP="003B7D0E">
      <w:pPr>
        <w:pStyle w:val="Default"/>
        <w:spacing w:line="480" w:lineRule="auto"/>
        <w:jc w:val="center"/>
        <w:rPr>
          <w:rFonts w:cs="Arial"/>
          <w:b/>
          <w:color w:val="232120"/>
          <w:sz w:val="36"/>
          <w:szCs w:val="36"/>
        </w:rPr>
      </w:pPr>
    </w:p>
    <w:p w14:paraId="0F0A4403" w14:textId="77777777" w:rsidR="003B7D0E" w:rsidRPr="00331C61" w:rsidRDefault="003B7D0E" w:rsidP="003B7D0E">
      <w:pPr>
        <w:pStyle w:val="Default"/>
        <w:spacing w:line="480" w:lineRule="auto"/>
        <w:jc w:val="center"/>
        <w:rPr>
          <w:rFonts w:cs="Arial"/>
          <w:b/>
          <w:color w:val="232120"/>
          <w:sz w:val="36"/>
          <w:szCs w:val="36"/>
        </w:rPr>
      </w:pPr>
    </w:p>
    <w:sdt>
      <w:sdtPr>
        <w:rPr>
          <w:rFonts w:ascii="Verdana" w:eastAsiaTheme="minorEastAsia" w:hAnsi="Verdana" w:cstheme="minorBidi"/>
          <w:color w:val="auto"/>
          <w:sz w:val="24"/>
          <w:szCs w:val="24"/>
          <w:lang w:val="en-GB"/>
        </w:rPr>
        <w:id w:val="24291823"/>
        <w:docPartObj>
          <w:docPartGallery w:val="Table of Contents"/>
          <w:docPartUnique/>
        </w:docPartObj>
      </w:sdtPr>
      <w:sdtEndPr>
        <w:rPr>
          <w:b/>
          <w:bCs/>
          <w:noProof/>
        </w:rPr>
      </w:sdtEndPr>
      <w:sdtContent>
        <w:p w14:paraId="17DFDEFD" w14:textId="77777777" w:rsidR="007F07EC" w:rsidRDefault="007F07EC">
          <w:pPr>
            <w:pStyle w:val="TOCHeading"/>
            <w:rPr>
              <w:rFonts w:ascii="Verdana" w:hAnsi="Verdana"/>
              <w:b/>
              <w:color w:val="77328A"/>
              <w:sz w:val="30"/>
              <w:szCs w:val="30"/>
            </w:rPr>
          </w:pPr>
          <w:r w:rsidRPr="007F07EC">
            <w:rPr>
              <w:rFonts w:ascii="Verdana" w:hAnsi="Verdana"/>
              <w:b/>
              <w:color w:val="77328A"/>
              <w:sz w:val="30"/>
              <w:szCs w:val="30"/>
            </w:rPr>
            <w:t>Table of Contents</w:t>
          </w:r>
        </w:p>
        <w:p w14:paraId="027A56B9" w14:textId="77777777" w:rsidR="007F07EC" w:rsidRPr="007F07EC" w:rsidRDefault="007F07EC" w:rsidP="007F07EC">
          <w:pPr>
            <w:rPr>
              <w:lang w:val="en-US"/>
            </w:rPr>
          </w:pPr>
        </w:p>
        <w:p w14:paraId="4DCAEE2F" w14:textId="12B4ADCB" w:rsidR="00653375" w:rsidRDefault="007F07EC">
          <w:pPr>
            <w:pStyle w:val="TOC1"/>
            <w:rPr>
              <w:rFonts w:asciiTheme="minorHAnsi" w:hAnsiTheme="minorHAnsi"/>
              <w:b w:val="0"/>
              <w:sz w:val="22"/>
              <w:szCs w:val="22"/>
              <w:lang w:eastAsia="en-GB"/>
            </w:rPr>
          </w:pPr>
          <w:r>
            <w:fldChar w:fldCharType="begin"/>
          </w:r>
          <w:r>
            <w:instrText xml:space="preserve"> TOC \o "1-3" \h \z \u </w:instrText>
          </w:r>
          <w:r>
            <w:fldChar w:fldCharType="separate"/>
          </w:r>
          <w:hyperlink w:anchor="_Toc69458537" w:history="1">
            <w:r w:rsidR="00653375" w:rsidRPr="00820131">
              <w:rPr>
                <w:rStyle w:val="Hyperlink"/>
              </w:rPr>
              <w:t>Summary of Recommendations</w:t>
            </w:r>
            <w:r w:rsidR="00653375">
              <w:rPr>
                <w:webHidden/>
              </w:rPr>
              <w:tab/>
            </w:r>
            <w:r w:rsidR="00653375">
              <w:rPr>
                <w:webHidden/>
              </w:rPr>
              <w:fldChar w:fldCharType="begin"/>
            </w:r>
            <w:r w:rsidR="00653375">
              <w:rPr>
                <w:webHidden/>
              </w:rPr>
              <w:instrText xml:space="preserve"> PAGEREF _Toc69458537 \h </w:instrText>
            </w:r>
            <w:r w:rsidR="00653375">
              <w:rPr>
                <w:webHidden/>
              </w:rPr>
            </w:r>
            <w:r w:rsidR="00653375">
              <w:rPr>
                <w:webHidden/>
              </w:rPr>
              <w:fldChar w:fldCharType="separate"/>
            </w:r>
            <w:r w:rsidR="00653375">
              <w:rPr>
                <w:webHidden/>
              </w:rPr>
              <w:t>3</w:t>
            </w:r>
            <w:r w:rsidR="00653375">
              <w:rPr>
                <w:webHidden/>
              </w:rPr>
              <w:fldChar w:fldCharType="end"/>
            </w:r>
          </w:hyperlink>
        </w:p>
        <w:p w14:paraId="7D205C09" w14:textId="5C754304" w:rsidR="00653375" w:rsidRDefault="00653375">
          <w:pPr>
            <w:pStyle w:val="TOC1"/>
            <w:rPr>
              <w:rFonts w:asciiTheme="minorHAnsi" w:hAnsiTheme="minorHAnsi"/>
              <w:b w:val="0"/>
              <w:sz w:val="22"/>
              <w:szCs w:val="22"/>
              <w:lang w:eastAsia="en-GB"/>
            </w:rPr>
          </w:pPr>
          <w:hyperlink w:anchor="_Toc69458538" w:history="1">
            <w:r w:rsidRPr="00820131">
              <w:rPr>
                <w:rStyle w:val="Hyperlink"/>
              </w:rPr>
              <w:t>1.0</w:t>
            </w:r>
            <w:r>
              <w:rPr>
                <w:rFonts w:asciiTheme="minorHAnsi" w:hAnsiTheme="minorHAnsi"/>
                <w:b w:val="0"/>
                <w:sz w:val="22"/>
                <w:szCs w:val="22"/>
                <w:lang w:eastAsia="en-GB"/>
              </w:rPr>
              <w:tab/>
            </w:r>
            <w:r w:rsidRPr="00820131">
              <w:rPr>
                <w:rStyle w:val="Hyperlink"/>
              </w:rPr>
              <w:t>Introduction</w:t>
            </w:r>
            <w:r>
              <w:rPr>
                <w:webHidden/>
              </w:rPr>
              <w:tab/>
            </w:r>
            <w:r>
              <w:rPr>
                <w:webHidden/>
              </w:rPr>
              <w:fldChar w:fldCharType="begin"/>
            </w:r>
            <w:r>
              <w:rPr>
                <w:webHidden/>
              </w:rPr>
              <w:instrText xml:space="preserve"> PAGEREF _Toc69458538 \h </w:instrText>
            </w:r>
            <w:r>
              <w:rPr>
                <w:webHidden/>
              </w:rPr>
            </w:r>
            <w:r>
              <w:rPr>
                <w:webHidden/>
              </w:rPr>
              <w:fldChar w:fldCharType="separate"/>
            </w:r>
            <w:r>
              <w:rPr>
                <w:webHidden/>
              </w:rPr>
              <w:t>4</w:t>
            </w:r>
            <w:r>
              <w:rPr>
                <w:webHidden/>
              </w:rPr>
              <w:fldChar w:fldCharType="end"/>
            </w:r>
          </w:hyperlink>
        </w:p>
        <w:p w14:paraId="5D77B2BD" w14:textId="5B856F12" w:rsidR="00653375" w:rsidRDefault="00653375">
          <w:pPr>
            <w:pStyle w:val="TOC1"/>
            <w:rPr>
              <w:rFonts w:asciiTheme="minorHAnsi" w:hAnsiTheme="minorHAnsi"/>
              <w:b w:val="0"/>
              <w:sz w:val="22"/>
              <w:szCs w:val="22"/>
              <w:lang w:eastAsia="en-GB"/>
            </w:rPr>
          </w:pPr>
          <w:hyperlink w:anchor="_Toc69458539" w:history="1">
            <w:r w:rsidRPr="00820131">
              <w:rPr>
                <w:rStyle w:val="Hyperlink"/>
              </w:rPr>
              <w:t>2.0</w:t>
            </w:r>
            <w:r>
              <w:rPr>
                <w:rFonts w:asciiTheme="minorHAnsi" w:hAnsiTheme="minorHAnsi"/>
                <w:b w:val="0"/>
                <w:sz w:val="22"/>
                <w:szCs w:val="22"/>
                <w:lang w:eastAsia="en-GB"/>
              </w:rPr>
              <w:tab/>
            </w:r>
            <w:r w:rsidRPr="00820131">
              <w:rPr>
                <w:rStyle w:val="Hyperlink"/>
              </w:rPr>
              <w:t>General Comments</w:t>
            </w:r>
            <w:r>
              <w:rPr>
                <w:webHidden/>
              </w:rPr>
              <w:tab/>
            </w:r>
            <w:r>
              <w:rPr>
                <w:webHidden/>
              </w:rPr>
              <w:fldChar w:fldCharType="begin"/>
            </w:r>
            <w:r>
              <w:rPr>
                <w:webHidden/>
              </w:rPr>
              <w:instrText xml:space="preserve"> PAGEREF _Toc69458539 \h </w:instrText>
            </w:r>
            <w:r>
              <w:rPr>
                <w:webHidden/>
              </w:rPr>
            </w:r>
            <w:r>
              <w:rPr>
                <w:webHidden/>
              </w:rPr>
              <w:fldChar w:fldCharType="separate"/>
            </w:r>
            <w:r>
              <w:rPr>
                <w:webHidden/>
              </w:rPr>
              <w:t>6</w:t>
            </w:r>
            <w:r>
              <w:rPr>
                <w:webHidden/>
              </w:rPr>
              <w:fldChar w:fldCharType="end"/>
            </w:r>
          </w:hyperlink>
        </w:p>
        <w:p w14:paraId="5410E509" w14:textId="1B63CC99" w:rsidR="00653375" w:rsidRDefault="00653375">
          <w:pPr>
            <w:pStyle w:val="TOC1"/>
            <w:rPr>
              <w:rFonts w:asciiTheme="minorHAnsi" w:hAnsiTheme="minorHAnsi"/>
              <w:b w:val="0"/>
              <w:sz w:val="22"/>
              <w:szCs w:val="22"/>
              <w:lang w:eastAsia="en-GB"/>
            </w:rPr>
          </w:pPr>
          <w:hyperlink w:anchor="_Toc69458540" w:history="1">
            <w:r w:rsidRPr="00820131">
              <w:rPr>
                <w:rStyle w:val="Hyperlink"/>
              </w:rPr>
              <w:t>3.0</w:t>
            </w:r>
            <w:r>
              <w:rPr>
                <w:rFonts w:asciiTheme="minorHAnsi" w:hAnsiTheme="minorHAnsi"/>
                <w:b w:val="0"/>
                <w:sz w:val="22"/>
                <w:szCs w:val="22"/>
                <w:lang w:eastAsia="en-GB"/>
              </w:rPr>
              <w:tab/>
            </w:r>
            <w:r w:rsidRPr="00820131">
              <w:rPr>
                <w:rStyle w:val="Hyperlink"/>
              </w:rPr>
              <w:t>Specific Clauses of the Bill</w:t>
            </w:r>
            <w:r>
              <w:rPr>
                <w:webHidden/>
              </w:rPr>
              <w:tab/>
            </w:r>
            <w:r>
              <w:rPr>
                <w:webHidden/>
              </w:rPr>
              <w:fldChar w:fldCharType="begin"/>
            </w:r>
            <w:r>
              <w:rPr>
                <w:webHidden/>
              </w:rPr>
              <w:instrText xml:space="preserve"> PAGEREF _Toc69458540 \h </w:instrText>
            </w:r>
            <w:r>
              <w:rPr>
                <w:webHidden/>
              </w:rPr>
            </w:r>
            <w:r>
              <w:rPr>
                <w:webHidden/>
              </w:rPr>
              <w:fldChar w:fldCharType="separate"/>
            </w:r>
            <w:r>
              <w:rPr>
                <w:webHidden/>
              </w:rPr>
              <w:t>8</w:t>
            </w:r>
            <w:r>
              <w:rPr>
                <w:webHidden/>
              </w:rPr>
              <w:fldChar w:fldCharType="end"/>
            </w:r>
          </w:hyperlink>
        </w:p>
        <w:p w14:paraId="272F6516" w14:textId="2921908A" w:rsidR="00653375" w:rsidRDefault="00653375">
          <w:pPr>
            <w:pStyle w:val="TOC2"/>
            <w:tabs>
              <w:tab w:val="right" w:leader="dot" w:pos="9848"/>
            </w:tabs>
            <w:rPr>
              <w:rFonts w:asciiTheme="minorHAnsi" w:hAnsiTheme="minorHAnsi"/>
              <w:noProof/>
              <w:sz w:val="22"/>
              <w:szCs w:val="22"/>
              <w:lang w:eastAsia="en-GB"/>
            </w:rPr>
          </w:pPr>
          <w:hyperlink w:anchor="_Toc69458541" w:history="1">
            <w:r w:rsidRPr="00820131">
              <w:rPr>
                <w:rStyle w:val="Hyperlink"/>
                <w:noProof/>
              </w:rPr>
              <w:t>Stalking Prevention Orders</w:t>
            </w:r>
            <w:r>
              <w:rPr>
                <w:noProof/>
                <w:webHidden/>
              </w:rPr>
              <w:tab/>
            </w:r>
            <w:r>
              <w:rPr>
                <w:noProof/>
                <w:webHidden/>
              </w:rPr>
              <w:fldChar w:fldCharType="begin"/>
            </w:r>
            <w:r>
              <w:rPr>
                <w:noProof/>
                <w:webHidden/>
              </w:rPr>
              <w:instrText xml:space="preserve"> PAGEREF _Toc69458541 \h </w:instrText>
            </w:r>
            <w:r>
              <w:rPr>
                <w:noProof/>
                <w:webHidden/>
              </w:rPr>
            </w:r>
            <w:r>
              <w:rPr>
                <w:noProof/>
                <w:webHidden/>
              </w:rPr>
              <w:fldChar w:fldCharType="separate"/>
            </w:r>
            <w:r>
              <w:rPr>
                <w:noProof/>
                <w:webHidden/>
              </w:rPr>
              <w:t>8</w:t>
            </w:r>
            <w:r>
              <w:rPr>
                <w:noProof/>
                <w:webHidden/>
              </w:rPr>
              <w:fldChar w:fldCharType="end"/>
            </w:r>
          </w:hyperlink>
        </w:p>
        <w:p w14:paraId="6045B629" w14:textId="5831381B" w:rsidR="00653375" w:rsidRDefault="00653375">
          <w:pPr>
            <w:pStyle w:val="TOC2"/>
            <w:tabs>
              <w:tab w:val="right" w:leader="dot" w:pos="9848"/>
            </w:tabs>
            <w:rPr>
              <w:rFonts w:asciiTheme="minorHAnsi" w:hAnsiTheme="minorHAnsi"/>
              <w:noProof/>
              <w:sz w:val="22"/>
              <w:szCs w:val="22"/>
              <w:lang w:eastAsia="en-GB"/>
            </w:rPr>
          </w:pPr>
          <w:hyperlink w:anchor="_Toc69458542" w:history="1">
            <w:r w:rsidRPr="00820131">
              <w:rPr>
                <w:rStyle w:val="Hyperlink"/>
                <w:noProof/>
              </w:rPr>
              <w:t>Rehabilitation of Offenders</w:t>
            </w:r>
            <w:r>
              <w:rPr>
                <w:noProof/>
                <w:webHidden/>
              </w:rPr>
              <w:tab/>
            </w:r>
            <w:r>
              <w:rPr>
                <w:noProof/>
                <w:webHidden/>
              </w:rPr>
              <w:fldChar w:fldCharType="begin"/>
            </w:r>
            <w:r>
              <w:rPr>
                <w:noProof/>
                <w:webHidden/>
              </w:rPr>
              <w:instrText xml:space="preserve"> PAGEREF _Toc69458542 \h </w:instrText>
            </w:r>
            <w:r>
              <w:rPr>
                <w:noProof/>
                <w:webHidden/>
              </w:rPr>
            </w:r>
            <w:r>
              <w:rPr>
                <w:noProof/>
                <w:webHidden/>
              </w:rPr>
              <w:fldChar w:fldCharType="separate"/>
            </w:r>
            <w:r>
              <w:rPr>
                <w:noProof/>
                <w:webHidden/>
              </w:rPr>
              <w:t>9</w:t>
            </w:r>
            <w:r>
              <w:rPr>
                <w:noProof/>
                <w:webHidden/>
              </w:rPr>
              <w:fldChar w:fldCharType="end"/>
            </w:r>
          </w:hyperlink>
        </w:p>
        <w:p w14:paraId="6D6A336F" w14:textId="57280569" w:rsidR="00653375" w:rsidRDefault="00653375">
          <w:pPr>
            <w:pStyle w:val="TOC1"/>
            <w:rPr>
              <w:rFonts w:asciiTheme="minorHAnsi" w:hAnsiTheme="minorHAnsi"/>
              <w:b w:val="0"/>
              <w:sz w:val="22"/>
              <w:szCs w:val="22"/>
              <w:lang w:eastAsia="en-GB"/>
            </w:rPr>
          </w:pPr>
          <w:hyperlink w:anchor="_Toc69458543" w:history="1">
            <w:r w:rsidRPr="00820131">
              <w:rPr>
                <w:rStyle w:val="Hyperlink"/>
              </w:rPr>
              <w:t>4.0</w:t>
            </w:r>
            <w:r>
              <w:rPr>
                <w:rFonts w:asciiTheme="minorHAnsi" w:hAnsiTheme="minorHAnsi"/>
                <w:b w:val="0"/>
                <w:sz w:val="22"/>
                <w:szCs w:val="22"/>
                <w:lang w:eastAsia="en-GB"/>
              </w:rPr>
              <w:tab/>
            </w:r>
            <w:r w:rsidRPr="00820131">
              <w:rPr>
                <w:rStyle w:val="Hyperlink"/>
              </w:rPr>
              <w:t>Disagregated Data</w:t>
            </w:r>
            <w:r>
              <w:rPr>
                <w:webHidden/>
              </w:rPr>
              <w:tab/>
            </w:r>
            <w:r>
              <w:rPr>
                <w:webHidden/>
              </w:rPr>
              <w:fldChar w:fldCharType="begin"/>
            </w:r>
            <w:r>
              <w:rPr>
                <w:webHidden/>
              </w:rPr>
              <w:instrText xml:space="preserve"> PAGEREF _Toc69458543 \h </w:instrText>
            </w:r>
            <w:r>
              <w:rPr>
                <w:webHidden/>
              </w:rPr>
            </w:r>
            <w:r>
              <w:rPr>
                <w:webHidden/>
              </w:rPr>
              <w:fldChar w:fldCharType="separate"/>
            </w:r>
            <w:r>
              <w:rPr>
                <w:webHidden/>
              </w:rPr>
              <w:t>10</w:t>
            </w:r>
            <w:r>
              <w:rPr>
                <w:webHidden/>
              </w:rPr>
              <w:fldChar w:fldCharType="end"/>
            </w:r>
          </w:hyperlink>
        </w:p>
        <w:p w14:paraId="42B7B1A9" w14:textId="524AC2DB" w:rsidR="007F07EC" w:rsidRDefault="007F07EC">
          <w:r>
            <w:rPr>
              <w:b/>
              <w:bCs/>
              <w:noProof/>
            </w:rPr>
            <w:fldChar w:fldCharType="end"/>
          </w:r>
        </w:p>
      </w:sdtContent>
    </w:sdt>
    <w:p w14:paraId="1C276E3F" w14:textId="77777777" w:rsidR="001E79A9" w:rsidRPr="00331C61" w:rsidRDefault="001E79A9" w:rsidP="00331C61">
      <w:pPr>
        <w:pStyle w:val="Default"/>
        <w:spacing w:line="288" w:lineRule="auto"/>
        <w:rPr>
          <w:rFonts w:cs="Arial"/>
          <w:b/>
          <w:color w:val="232120"/>
        </w:rPr>
      </w:pPr>
    </w:p>
    <w:p w14:paraId="2FBD362A" w14:textId="77777777" w:rsidR="00EA12CE" w:rsidRPr="00331C61" w:rsidRDefault="00EA12CE" w:rsidP="00331C61">
      <w:pPr>
        <w:pStyle w:val="Default"/>
        <w:spacing w:line="288" w:lineRule="auto"/>
        <w:rPr>
          <w:rFonts w:cs="Arial"/>
          <w:b/>
          <w:color w:val="232120"/>
        </w:rPr>
      </w:pPr>
      <w:bookmarkStart w:id="0" w:name="_GoBack"/>
      <w:bookmarkEnd w:id="0"/>
    </w:p>
    <w:p w14:paraId="08D3A37B" w14:textId="77777777" w:rsidR="00EA12CE" w:rsidRPr="00331C61" w:rsidRDefault="00EA12CE" w:rsidP="00331C61">
      <w:pPr>
        <w:pStyle w:val="Default"/>
        <w:spacing w:line="288" w:lineRule="auto"/>
        <w:rPr>
          <w:rFonts w:cs="Arial"/>
          <w:b/>
          <w:color w:val="232120"/>
        </w:rPr>
      </w:pPr>
    </w:p>
    <w:p w14:paraId="3A335E54" w14:textId="77777777" w:rsidR="00EA12CE" w:rsidRPr="00331C61" w:rsidRDefault="00EA12CE" w:rsidP="00331C61">
      <w:pPr>
        <w:pStyle w:val="Default"/>
        <w:spacing w:line="288" w:lineRule="auto"/>
        <w:rPr>
          <w:rFonts w:cs="Arial"/>
          <w:b/>
          <w:color w:val="232120"/>
        </w:rPr>
      </w:pPr>
    </w:p>
    <w:p w14:paraId="5FB6A2A4" w14:textId="77777777" w:rsidR="00EA12CE" w:rsidRPr="00331C61" w:rsidRDefault="00EA12CE" w:rsidP="00331C61">
      <w:pPr>
        <w:pStyle w:val="Default"/>
        <w:spacing w:line="288" w:lineRule="auto"/>
        <w:rPr>
          <w:rFonts w:cs="Arial"/>
          <w:b/>
          <w:color w:val="232120"/>
        </w:rPr>
      </w:pPr>
    </w:p>
    <w:p w14:paraId="7C8A5D85" w14:textId="77777777" w:rsidR="00EA12CE" w:rsidRPr="00331C61" w:rsidRDefault="00EA12CE" w:rsidP="00331C61">
      <w:pPr>
        <w:pStyle w:val="Default"/>
        <w:spacing w:line="288" w:lineRule="auto"/>
        <w:rPr>
          <w:rFonts w:cs="Arial"/>
          <w:b/>
          <w:color w:val="232120"/>
        </w:rPr>
      </w:pPr>
    </w:p>
    <w:p w14:paraId="63329F64" w14:textId="77777777" w:rsidR="00EA12CE" w:rsidRPr="00331C61" w:rsidRDefault="00EA12CE" w:rsidP="00331C61">
      <w:pPr>
        <w:pStyle w:val="Default"/>
        <w:spacing w:line="288" w:lineRule="auto"/>
        <w:rPr>
          <w:rFonts w:cs="Arial"/>
          <w:b/>
          <w:color w:val="232120"/>
        </w:rPr>
      </w:pPr>
    </w:p>
    <w:p w14:paraId="2819A4B5" w14:textId="77777777" w:rsidR="00EA12CE" w:rsidRPr="00331C61" w:rsidRDefault="00EA12CE" w:rsidP="00331C61">
      <w:pPr>
        <w:pStyle w:val="Default"/>
        <w:spacing w:line="288" w:lineRule="auto"/>
        <w:rPr>
          <w:rFonts w:cs="Arial"/>
          <w:b/>
          <w:color w:val="232120"/>
        </w:rPr>
      </w:pPr>
    </w:p>
    <w:p w14:paraId="7AD08460" w14:textId="77777777" w:rsidR="00EA12CE" w:rsidRPr="00331C61" w:rsidRDefault="00EA12CE" w:rsidP="00331C61">
      <w:pPr>
        <w:pStyle w:val="Default"/>
        <w:spacing w:line="288" w:lineRule="auto"/>
        <w:rPr>
          <w:rFonts w:cs="Arial"/>
          <w:b/>
          <w:color w:val="232120"/>
        </w:rPr>
      </w:pPr>
    </w:p>
    <w:p w14:paraId="2C7341CD" w14:textId="77777777" w:rsidR="00EA12CE" w:rsidRPr="00331C61" w:rsidRDefault="00EA12CE" w:rsidP="00331C61">
      <w:pPr>
        <w:pStyle w:val="Default"/>
        <w:spacing w:line="288" w:lineRule="auto"/>
        <w:rPr>
          <w:rFonts w:cs="Arial"/>
          <w:b/>
          <w:color w:val="232120"/>
        </w:rPr>
      </w:pPr>
    </w:p>
    <w:p w14:paraId="5CB010BD" w14:textId="77777777" w:rsidR="00EA12CE" w:rsidRPr="00331C61" w:rsidRDefault="00EA12CE" w:rsidP="00331C61">
      <w:pPr>
        <w:pStyle w:val="Default"/>
        <w:spacing w:line="288" w:lineRule="auto"/>
        <w:rPr>
          <w:rFonts w:cs="Arial"/>
          <w:b/>
          <w:color w:val="232120"/>
        </w:rPr>
      </w:pPr>
    </w:p>
    <w:p w14:paraId="697F167F" w14:textId="77777777" w:rsidR="00EA12CE" w:rsidRPr="00331C61" w:rsidRDefault="00EA12CE" w:rsidP="00331C61">
      <w:pPr>
        <w:pStyle w:val="Default"/>
        <w:spacing w:line="288" w:lineRule="auto"/>
        <w:rPr>
          <w:rFonts w:cs="Arial"/>
          <w:b/>
          <w:color w:val="232120"/>
        </w:rPr>
      </w:pPr>
    </w:p>
    <w:p w14:paraId="4B8EFF4C" w14:textId="77777777" w:rsidR="00EA12CE" w:rsidRPr="00331C61" w:rsidRDefault="00EA12CE" w:rsidP="00331C61">
      <w:pPr>
        <w:pStyle w:val="Default"/>
        <w:spacing w:line="288" w:lineRule="auto"/>
        <w:rPr>
          <w:rFonts w:cs="Arial"/>
          <w:b/>
          <w:color w:val="232120"/>
        </w:rPr>
      </w:pPr>
    </w:p>
    <w:p w14:paraId="47E4D56F" w14:textId="77777777" w:rsidR="00EA12CE" w:rsidRPr="00331C61" w:rsidRDefault="00EA12CE" w:rsidP="00331C61">
      <w:pPr>
        <w:pStyle w:val="Default"/>
        <w:spacing w:line="288" w:lineRule="auto"/>
        <w:rPr>
          <w:rFonts w:cs="Arial"/>
          <w:b/>
          <w:color w:val="232120"/>
        </w:rPr>
      </w:pPr>
    </w:p>
    <w:p w14:paraId="30DCE076" w14:textId="77777777" w:rsidR="00EA12CE" w:rsidRPr="00331C61" w:rsidRDefault="00EA12CE" w:rsidP="00331C61">
      <w:pPr>
        <w:pStyle w:val="Default"/>
        <w:spacing w:line="288" w:lineRule="auto"/>
        <w:rPr>
          <w:rFonts w:cs="Arial"/>
          <w:b/>
          <w:color w:val="232120"/>
        </w:rPr>
      </w:pPr>
    </w:p>
    <w:p w14:paraId="249BE03E" w14:textId="77777777" w:rsidR="00EA12CE" w:rsidRPr="00331C61" w:rsidRDefault="00EA12CE" w:rsidP="00331C61">
      <w:pPr>
        <w:pStyle w:val="Default"/>
        <w:spacing w:line="288" w:lineRule="auto"/>
        <w:rPr>
          <w:rFonts w:cs="Arial"/>
          <w:b/>
          <w:color w:val="232120"/>
        </w:rPr>
      </w:pPr>
    </w:p>
    <w:p w14:paraId="0AF6680B" w14:textId="77777777" w:rsidR="00EA12CE" w:rsidRPr="00331C61" w:rsidRDefault="00EA12CE" w:rsidP="00331C61">
      <w:pPr>
        <w:pStyle w:val="Default"/>
        <w:spacing w:line="288" w:lineRule="auto"/>
        <w:rPr>
          <w:rFonts w:cs="Arial"/>
          <w:b/>
          <w:color w:val="232120"/>
        </w:rPr>
      </w:pPr>
    </w:p>
    <w:p w14:paraId="2A022658" w14:textId="77777777" w:rsidR="00EA12CE" w:rsidRPr="00331C61" w:rsidRDefault="00EA12CE" w:rsidP="00331C61">
      <w:pPr>
        <w:pStyle w:val="Default"/>
        <w:spacing w:line="288" w:lineRule="auto"/>
        <w:rPr>
          <w:rFonts w:cs="Arial"/>
          <w:b/>
          <w:color w:val="232120"/>
        </w:rPr>
      </w:pPr>
    </w:p>
    <w:p w14:paraId="2F85C839" w14:textId="77777777" w:rsidR="00EA12CE" w:rsidRPr="00331C61" w:rsidRDefault="00EA12CE" w:rsidP="00331C61">
      <w:pPr>
        <w:pStyle w:val="Default"/>
        <w:spacing w:line="288" w:lineRule="auto"/>
        <w:rPr>
          <w:rFonts w:cs="Arial"/>
          <w:b/>
          <w:color w:val="232120"/>
        </w:rPr>
      </w:pPr>
    </w:p>
    <w:p w14:paraId="3A5F0CC6" w14:textId="77777777" w:rsidR="00EA12CE" w:rsidRPr="00331C61" w:rsidRDefault="00EA12CE" w:rsidP="00331C61">
      <w:pPr>
        <w:pStyle w:val="Default"/>
        <w:spacing w:line="288" w:lineRule="auto"/>
        <w:rPr>
          <w:rFonts w:cs="Arial"/>
          <w:b/>
          <w:color w:val="232120"/>
        </w:rPr>
      </w:pPr>
    </w:p>
    <w:p w14:paraId="6B79C824" w14:textId="77777777" w:rsidR="001E79A9" w:rsidRPr="00331C61" w:rsidRDefault="001E79A9" w:rsidP="00331C61">
      <w:pPr>
        <w:pStyle w:val="Default"/>
        <w:spacing w:line="288" w:lineRule="auto"/>
        <w:rPr>
          <w:rFonts w:cs="Arial"/>
          <w:b/>
          <w:color w:val="232120"/>
        </w:rPr>
      </w:pPr>
    </w:p>
    <w:p w14:paraId="3A000078" w14:textId="77777777" w:rsidR="004672AC" w:rsidRPr="00331C61" w:rsidRDefault="004672AC" w:rsidP="00331C61">
      <w:pPr>
        <w:pStyle w:val="Default"/>
        <w:spacing w:line="288" w:lineRule="auto"/>
        <w:rPr>
          <w:rFonts w:cs="Arial"/>
          <w:b/>
          <w:color w:val="232120"/>
        </w:rPr>
      </w:pPr>
    </w:p>
    <w:p w14:paraId="2D1ECAF2" w14:textId="77777777" w:rsidR="003B7D0E" w:rsidRDefault="003B7D0E" w:rsidP="00331C61">
      <w:pPr>
        <w:pStyle w:val="Default"/>
        <w:spacing w:line="288" w:lineRule="auto"/>
        <w:rPr>
          <w:rFonts w:cs="Arial"/>
          <w:b/>
          <w:color w:val="232120"/>
        </w:rPr>
      </w:pPr>
    </w:p>
    <w:p w14:paraId="115C671B" w14:textId="77777777" w:rsidR="007F07EC" w:rsidRDefault="007F07EC" w:rsidP="00331C61">
      <w:pPr>
        <w:pStyle w:val="Default"/>
        <w:spacing w:line="288" w:lineRule="auto"/>
        <w:rPr>
          <w:rFonts w:cs="Arial"/>
          <w:b/>
          <w:color w:val="232120"/>
        </w:rPr>
      </w:pPr>
    </w:p>
    <w:p w14:paraId="20EC2B56" w14:textId="77777777" w:rsidR="007F07EC" w:rsidRDefault="007F07EC" w:rsidP="00331C61">
      <w:pPr>
        <w:pStyle w:val="Default"/>
        <w:spacing w:line="288" w:lineRule="auto"/>
        <w:rPr>
          <w:rFonts w:cs="Arial"/>
          <w:b/>
          <w:color w:val="232120"/>
        </w:rPr>
      </w:pPr>
    </w:p>
    <w:p w14:paraId="1F474262" w14:textId="77777777" w:rsidR="007F07EC" w:rsidRDefault="007F07EC" w:rsidP="00331C61">
      <w:pPr>
        <w:pStyle w:val="Default"/>
        <w:spacing w:line="288" w:lineRule="auto"/>
        <w:rPr>
          <w:rFonts w:cs="Arial"/>
          <w:b/>
          <w:color w:val="232120"/>
        </w:rPr>
      </w:pPr>
    </w:p>
    <w:p w14:paraId="513506F9" w14:textId="3AA7B519" w:rsidR="00542C0B" w:rsidRDefault="00542C0B" w:rsidP="00331C61">
      <w:pPr>
        <w:pStyle w:val="Default"/>
        <w:spacing w:line="288" w:lineRule="auto"/>
        <w:rPr>
          <w:rFonts w:cs="Arial"/>
          <w:b/>
          <w:color w:val="232120"/>
        </w:rPr>
      </w:pPr>
    </w:p>
    <w:p w14:paraId="7DD11C03" w14:textId="6D34464D" w:rsidR="00542C0B" w:rsidRPr="00542C0B" w:rsidRDefault="00542C0B" w:rsidP="00542C0B">
      <w:pPr>
        <w:pStyle w:val="Heading1"/>
      </w:pPr>
      <w:bookmarkStart w:id="1" w:name="_Toc69458537"/>
      <w:r>
        <w:rPr>
          <w:noProof/>
          <w:lang w:eastAsia="en-GB"/>
        </w:rPr>
        <w:lastRenderedPageBreak/>
        <mc:AlternateContent>
          <mc:Choice Requires="wps">
            <w:drawing>
              <wp:anchor distT="45720" distB="45720" distL="114300" distR="114300" simplePos="0" relativeHeight="251659264" behindDoc="0" locked="0" layoutInCell="1" allowOverlap="1" wp14:anchorId="2C6444C4" wp14:editId="5CB13495">
                <wp:simplePos x="0" y="0"/>
                <wp:positionH relativeFrom="margin">
                  <wp:posOffset>-635</wp:posOffset>
                </wp:positionH>
                <wp:positionV relativeFrom="paragraph">
                  <wp:posOffset>474980</wp:posOffset>
                </wp:positionV>
                <wp:extent cx="6496050" cy="804354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043545"/>
                        </a:xfrm>
                        <a:prstGeom prst="rect">
                          <a:avLst/>
                        </a:prstGeom>
                        <a:solidFill>
                          <a:srgbClr val="FFFFFF"/>
                        </a:solidFill>
                        <a:ln w="9525">
                          <a:solidFill>
                            <a:srgbClr val="000000"/>
                          </a:solidFill>
                          <a:miter lim="800000"/>
                          <a:headEnd/>
                          <a:tailEnd/>
                        </a:ln>
                      </wps:spPr>
                      <wps:txbx>
                        <w:txbxContent>
                          <w:p w14:paraId="74221748" w14:textId="77777777" w:rsidR="00542C0B" w:rsidRDefault="00542C0B">
                            <w:pPr>
                              <w:rPr>
                                <w:b/>
                              </w:rPr>
                            </w:pPr>
                          </w:p>
                          <w:p w14:paraId="3E5637E2" w14:textId="6488EE12" w:rsidR="00542C0B" w:rsidRPr="00542C0B" w:rsidRDefault="00542C0B">
                            <w:pPr>
                              <w:rPr>
                                <w:b/>
                              </w:rPr>
                            </w:pPr>
                            <w:r w:rsidRPr="00542C0B">
                              <w:rPr>
                                <w:b/>
                              </w:rPr>
                              <w:t>The</w:t>
                            </w:r>
                            <w:r>
                              <w:rPr>
                                <w:b/>
                              </w:rPr>
                              <w:t xml:space="preserve"> NI Human Rights Commission</w:t>
                            </w:r>
                            <w:r w:rsidRPr="00542C0B">
                              <w:rPr>
                                <w:b/>
                              </w:rPr>
                              <w:t xml:space="preserve"> </w:t>
                            </w:r>
                            <w:r>
                              <w:rPr>
                                <w:b/>
                              </w:rPr>
                              <w:t>(</w:t>
                            </w:r>
                            <w:r w:rsidRPr="00542C0B">
                              <w:rPr>
                                <w:b/>
                              </w:rPr>
                              <w:t>NIHRC</w:t>
                            </w:r>
                            <w:r>
                              <w:rPr>
                                <w:b/>
                              </w:rPr>
                              <w:t>)</w:t>
                            </w:r>
                            <w:r w:rsidRPr="00542C0B">
                              <w:rPr>
                                <w:b/>
                              </w:rPr>
                              <w:t xml:space="preserve">: </w:t>
                            </w:r>
                          </w:p>
                          <w:p w14:paraId="0C78A3AA" w14:textId="59867D26" w:rsidR="00542C0B" w:rsidRDefault="00542C0B"/>
                          <w:p w14:paraId="177C0AFA" w14:textId="14875763" w:rsidR="00542C0B" w:rsidRDefault="00542C0B" w:rsidP="00B96CD4">
                            <w:pPr>
                              <w:pStyle w:val="ListParagraph"/>
                              <w:numPr>
                                <w:ilvl w:val="1"/>
                                <w:numId w:val="28"/>
                              </w:numPr>
                            </w:pPr>
                            <w:r>
                              <w:t>continues to call on the UK Government to ratify the Istanbul Convention and advises the Department to continue to work with the UK Government on achieving this goal.</w:t>
                            </w:r>
                          </w:p>
                          <w:p w14:paraId="28AFA101" w14:textId="1CED131D" w:rsidR="00542C0B" w:rsidRDefault="00542C0B" w:rsidP="00542C0B"/>
                          <w:p w14:paraId="216863DE" w14:textId="0F064302" w:rsidR="00542C0B" w:rsidRDefault="00542C0B" w:rsidP="00542C0B">
                            <w:pPr>
                              <w:ind w:left="720" w:hanging="720"/>
                            </w:pPr>
                            <w:r>
                              <w:t>2.10</w:t>
                            </w:r>
                            <w:r>
                              <w:tab/>
                              <w:t>continues to call on the Department to be effectively resourced in order to fully implement the Gillen Report Recommendations.</w:t>
                            </w:r>
                          </w:p>
                          <w:p w14:paraId="3CCBEE3A" w14:textId="77777777" w:rsidR="00542C0B" w:rsidRDefault="00542C0B" w:rsidP="00542C0B"/>
                          <w:p w14:paraId="4E0304B2" w14:textId="0C7B551C" w:rsidR="00542C0B" w:rsidRDefault="00542C0B" w:rsidP="00542C0B">
                            <w:pPr>
                              <w:ind w:left="720" w:hanging="720"/>
                            </w:pPr>
                            <w:r>
                              <w:t>2.11</w:t>
                            </w:r>
                            <w:r>
                              <w:tab/>
                              <w:t>recommends the Department consider a public awareness campaign to raise awareness of what constitutes the offence of stalking and the consequences of committing the offence.</w:t>
                            </w:r>
                          </w:p>
                          <w:p w14:paraId="73F3CA6C" w14:textId="5F1DB7F4" w:rsidR="00542C0B" w:rsidRDefault="00542C0B" w:rsidP="00542C0B"/>
                          <w:p w14:paraId="1226FBA9" w14:textId="266C2AD8" w:rsidR="00542C0B" w:rsidRDefault="00542C0B" w:rsidP="00542C0B">
                            <w:pPr>
                              <w:ind w:left="720" w:hanging="720"/>
                            </w:pPr>
                            <w:r>
                              <w:t>2.14</w:t>
                            </w:r>
                            <w:r>
                              <w:tab/>
                            </w:r>
                            <w:r w:rsidRPr="00542C0B">
                              <w:t xml:space="preserve">continues to recommend the Department introduces a specific criminal offence of </w:t>
                            </w:r>
                            <w:proofErr w:type="spellStart"/>
                            <w:r w:rsidRPr="00542C0B">
                              <w:t>upskirting</w:t>
                            </w:r>
                            <w:proofErr w:type="spellEnd"/>
                            <w:r w:rsidRPr="00542C0B">
                              <w:t xml:space="preserve"> in Northern Ireland and ensures effective protection of victims or potential victims without further delay.</w:t>
                            </w:r>
                          </w:p>
                          <w:p w14:paraId="18ADC9BA" w14:textId="764FB27B" w:rsidR="00542C0B" w:rsidRDefault="00542C0B" w:rsidP="00542C0B"/>
                          <w:p w14:paraId="6A7F0D58" w14:textId="76A46DA2" w:rsidR="00542C0B" w:rsidRDefault="00542C0B" w:rsidP="00542C0B">
                            <w:pPr>
                              <w:ind w:left="720" w:hanging="720"/>
                            </w:pPr>
                            <w:r w:rsidRPr="00542C0B">
                              <w:t>3.11</w:t>
                            </w:r>
                            <w:r w:rsidRPr="00542C0B">
                              <w:tab/>
                              <w:t>recommends the Department consider amending the Bill to clarify that behaviour amounting to stalking offences must be satisfied after the change in legislation for the application for a Stalking Prevention Order. Only then can previous behaviour be considered retrospective of the change in law.</w:t>
                            </w:r>
                          </w:p>
                          <w:p w14:paraId="21E001FB" w14:textId="5A733DD1" w:rsidR="00542C0B" w:rsidRDefault="00542C0B" w:rsidP="00542C0B"/>
                          <w:p w14:paraId="1217682D" w14:textId="4DA31461" w:rsidR="00542C0B" w:rsidRDefault="00542C0B" w:rsidP="00542C0B">
                            <w:pPr>
                              <w:ind w:left="720" w:hanging="720"/>
                            </w:pPr>
                            <w:r w:rsidRPr="00542C0B">
                              <w:t>2.15</w:t>
                            </w:r>
                            <w:r w:rsidRPr="00542C0B">
                              <w:tab/>
                              <w:t xml:space="preserve">recommends the Department provide clarity around </w:t>
                            </w:r>
                            <w:proofErr w:type="spellStart"/>
                            <w:r w:rsidRPr="00542C0B">
                              <w:t>howrehabilitation</w:t>
                            </w:r>
                            <w:proofErr w:type="spellEnd"/>
                            <w:r w:rsidRPr="00542C0B">
                              <w:t xml:space="preserve"> of offender legislation will apply to of stalking offenders.</w:t>
                            </w:r>
                          </w:p>
                          <w:p w14:paraId="53B2D6BC" w14:textId="51E37BF6" w:rsidR="00542C0B" w:rsidRDefault="00542C0B" w:rsidP="00542C0B"/>
                          <w:p w14:paraId="1F175AAB" w14:textId="6245B4BE" w:rsidR="00542C0B" w:rsidRDefault="00542C0B" w:rsidP="00542C0B">
                            <w:pPr>
                              <w:ind w:left="720" w:hanging="720"/>
                            </w:pPr>
                            <w:r w:rsidRPr="00542C0B">
                              <w:t>4.3</w:t>
                            </w:r>
                            <w:r w:rsidRPr="00542C0B">
                              <w:tab/>
                              <w:t>recommends that the Department works with the relevant public authorities and civil society organisations to systematically collect and publish data on stalking that is disaggregated by sex, gender, ethnicity, disability and age. It should also record the journey of stalking investigations through the criminal justice system, including the number of initial reports, number of referrals to the Public Prosecution Service, how many reach different stages of the court process, how many result in prosecutions, what is the resulting remedy and how many repeat offences occur.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444C4" id="_x0000_t202" coordsize="21600,21600" o:spt="202" path="m,l,21600r21600,l21600,xe">
                <v:stroke joinstyle="miter"/>
                <v:path gradientshapeok="t" o:connecttype="rect"/>
              </v:shapetype>
              <v:shape id="Text Box 2" o:spid="_x0000_s1026" type="#_x0000_t202" style="position:absolute;margin-left:-.05pt;margin-top:37.4pt;width:511.5pt;height:63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">
                <v:textbox>
                  <w:txbxContent>
                    <w:p w14:paraId="74221748" w14:textId="77777777" w:rsidR="00542C0B" w:rsidRDefault="00542C0B">
                      <w:pPr>
                        <w:rPr>
                          <w:b/>
                        </w:rPr>
                      </w:pPr>
                    </w:p>
                    <w:p w14:paraId="3E5637E2" w14:textId="6488EE12" w:rsidR="00542C0B" w:rsidRPr="00542C0B" w:rsidRDefault="00542C0B">
                      <w:pPr>
                        <w:rPr>
                          <w:b/>
                        </w:rPr>
                      </w:pPr>
                      <w:r w:rsidRPr="00542C0B">
                        <w:rPr>
                          <w:b/>
                        </w:rPr>
                        <w:t>The</w:t>
                      </w:r>
                      <w:r>
                        <w:rPr>
                          <w:b/>
                        </w:rPr>
                        <w:t xml:space="preserve"> NI Human Rights Commission</w:t>
                      </w:r>
                      <w:r w:rsidRPr="00542C0B">
                        <w:rPr>
                          <w:b/>
                        </w:rPr>
                        <w:t xml:space="preserve"> </w:t>
                      </w:r>
                      <w:r>
                        <w:rPr>
                          <w:b/>
                        </w:rPr>
                        <w:t>(</w:t>
                      </w:r>
                      <w:r w:rsidRPr="00542C0B">
                        <w:rPr>
                          <w:b/>
                        </w:rPr>
                        <w:t>NIHRC</w:t>
                      </w:r>
                      <w:r>
                        <w:rPr>
                          <w:b/>
                        </w:rPr>
                        <w:t>)</w:t>
                      </w:r>
                      <w:r w:rsidRPr="00542C0B">
                        <w:rPr>
                          <w:b/>
                        </w:rPr>
                        <w:t xml:space="preserve">: </w:t>
                      </w:r>
                    </w:p>
                    <w:p w14:paraId="0C78A3AA" w14:textId="59867D26" w:rsidR="00542C0B" w:rsidRDefault="00542C0B"/>
                    <w:p w14:paraId="177C0AFA" w14:textId="14875763" w:rsidR="00542C0B" w:rsidRDefault="00542C0B" w:rsidP="00B96CD4">
                      <w:pPr>
                        <w:pStyle w:val="ListParagraph"/>
                        <w:numPr>
                          <w:ilvl w:val="1"/>
                          <w:numId w:val="28"/>
                        </w:numPr>
                      </w:pPr>
                      <w:r>
                        <w:t>continues to call on the UK Government to ratify the Istanbul Convention and advises the Department to continue to work with the UK Government on achieving this goal.</w:t>
                      </w:r>
                    </w:p>
                    <w:p w14:paraId="28AFA101" w14:textId="1CED131D" w:rsidR="00542C0B" w:rsidRDefault="00542C0B" w:rsidP="00542C0B"/>
                    <w:p w14:paraId="216863DE" w14:textId="0F064302" w:rsidR="00542C0B" w:rsidRDefault="00542C0B" w:rsidP="00542C0B">
                      <w:pPr>
                        <w:ind w:left="720" w:hanging="720"/>
                      </w:pPr>
                      <w:r>
                        <w:t>2.10</w:t>
                      </w:r>
                      <w:r>
                        <w:tab/>
                        <w:t>continues to call on the Department to be effectively resourced in order to fully implement the Gillen Report Recommendations.</w:t>
                      </w:r>
                    </w:p>
                    <w:p w14:paraId="3CCBEE3A" w14:textId="77777777" w:rsidR="00542C0B" w:rsidRDefault="00542C0B" w:rsidP="00542C0B"/>
                    <w:p w14:paraId="4E0304B2" w14:textId="0C7B551C" w:rsidR="00542C0B" w:rsidRDefault="00542C0B" w:rsidP="00542C0B">
                      <w:pPr>
                        <w:ind w:left="720" w:hanging="720"/>
                      </w:pPr>
                      <w:r>
                        <w:t>2.11</w:t>
                      </w:r>
                      <w:r>
                        <w:tab/>
                        <w:t>recommends the Department consider a public awareness campaign to raise awareness of what constitutes the offence of stalking and the consequences of committing the offence.</w:t>
                      </w:r>
                    </w:p>
                    <w:p w14:paraId="73F3CA6C" w14:textId="5F1DB7F4" w:rsidR="00542C0B" w:rsidRDefault="00542C0B" w:rsidP="00542C0B"/>
                    <w:p w14:paraId="1226FBA9" w14:textId="266C2AD8" w:rsidR="00542C0B" w:rsidRDefault="00542C0B" w:rsidP="00542C0B">
                      <w:pPr>
                        <w:ind w:left="720" w:hanging="720"/>
                      </w:pPr>
                      <w:r>
                        <w:t>2.14</w:t>
                      </w:r>
                      <w:r>
                        <w:tab/>
                      </w:r>
                      <w:r w:rsidRPr="00542C0B">
                        <w:t xml:space="preserve">continues to recommend the Department introduces a specific criminal offence of </w:t>
                      </w:r>
                      <w:proofErr w:type="spellStart"/>
                      <w:r w:rsidRPr="00542C0B">
                        <w:t>upskirting</w:t>
                      </w:r>
                      <w:proofErr w:type="spellEnd"/>
                      <w:r w:rsidRPr="00542C0B">
                        <w:t xml:space="preserve"> in Northern Ireland and ensures effective protection of victims or potential victims without further delay.</w:t>
                      </w:r>
                    </w:p>
                    <w:p w14:paraId="18ADC9BA" w14:textId="764FB27B" w:rsidR="00542C0B" w:rsidRDefault="00542C0B" w:rsidP="00542C0B"/>
                    <w:p w14:paraId="6A7F0D58" w14:textId="76A46DA2" w:rsidR="00542C0B" w:rsidRDefault="00542C0B" w:rsidP="00542C0B">
                      <w:pPr>
                        <w:ind w:left="720" w:hanging="720"/>
                      </w:pPr>
                      <w:r w:rsidRPr="00542C0B">
                        <w:t>3.11</w:t>
                      </w:r>
                      <w:r w:rsidRPr="00542C0B">
                        <w:tab/>
                        <w:t>recommends the Department consider amending the Bill to clarify that behaviour amounting to stalking offences must be satisfied after the change in legislation for the application for a Stalking Prevention Order. Only then can previous behaviour be considered retrospective of the change in law.</w:t>
                      </w:r>
                    </w:p>
                    <w:p w14:paraId="21E001FB" w14:textId="5A733DD1" w:rsidR="00542C0B" w:rsidRDefault="00542C0B" w:rsidP="00542C0B"/>
                    <w:p w14:paraId="1217682D" w14:textId="4DA31461" w:rsidR="00542C0B" w:rsidRDefault="00542C0B" w:rsidP="00542C0B">
                      <w:pPr>
                        <w:ind w:left="720" w:hanging="720"/>
                      </w:pPr>
                      <w:r w:rsidRPr="00542C0B">
                        <w:t>2.15</w:t>
                      </w:r>
                      <w:r w:rsidRPr="00542C0B">
                        <w:tab/>
                        <w:t xml:space="preserve">recommends the Department provide clarity around </w:t>
                      </w:r>
                      <w:proofErr w:type="spellStart"/>
                      <w:r w:rsidRPr="00542C0B">
                        <w:t>howrehabilitation</w:t>
                      </w:r>
                      <w:proofErr w:type="spellEnd"/>
                      <w:r w:rsidRPr="00542C0B">
                        <w:t xml:space="preserve"> of offender legislation will apply to of stalking offenders.</w:t>
                      </w:r>
                    </w:p>
                    <w:p w14:paraId="53B2D6BC" w14:textId="51E37BF6" w:rsidR="00542C0B" w:rsidRDefault="00542C0B" w:rsidP="00542C0B"/>
                    <w:p w14:paraId="1F175AAB" w14:textId="6245B4BE" w:rsidR="00542C0B" w:rsidRDefault="00542C0B" w:rsidP="00542C0B">
                      <w:pPr>
                        <w:ind w:left="720" w:hanging="720"/>
                      </w:pPr>
                      <w:r w:rsidRPr="00542C0B">
                        <w:t>4.3</w:t>
                      </w:r>
                      <w:r w:rsidRPr="00542C0B">
                        <w:tab/>
                        <w:t>recommends that the Department works with the relevant public authorities and civil society organisations to systematically collect and publish data on stalking that is disaggregated by sex, gender, ethnicity, disability and age. It should also record the journey of stalking investigations through the criminal justice system, including the number of initial reports, number of referrals to the Public Prosecution Service, how many reach different stages of the court process, how many result in prosecutions, what is the resulting remedy and how many repeat offences occur.</w:t>
                      </w:r>
                    </w:p>
                  </w:txbxContent>
                </v:textbox>
                <w10:wrap type="square" anchorx="margin"/>
              </v:shape>
            </w:pict>
          </mc:Fallback>
        </mc:AlternateContent>
      </w:r>
      <w:r>
        <w:t>Summary of Recommendations</w:t>
      </w:r>
      <w:bookmarkEnd w:id="1"/>
    </w:p>
    <w:p w14:paraId="6F2E4536" w14:textId="77777777" w:rsidR="00542C0B" w:rsidRDefault="00542C0B" w:rsidP="00542C0B">
      <w:pPr>
        <w:pStyle w:val="Heading1"/>
      </w:pPr>
    </w:p>
    <w:p w14:paraId="2891FA77" w14:textId="66A20156" w:rsidR="007569C1" w:rsidRPr="008113D8" w:rsidRDefault="0027001C" w:rsidP="00542C0B">
      <w:pPr>
        <w:pStyle w:val="Heading1"/>
        <w:numPr>
          <w:ilvl w:val="0"/>
          <w:numId w:val="26"/>
        </w:numPr>
      </w:pPr>
      <w:bookmarkStart w:id="2" w:name="_Toc69458538"/>
      <w:r w:rsidRPr="008113D8">
        <w:lastRenderedPageBreak/>
        <w:t>Introduction</w:t>
      </w:r>
      <w:bookmarkEnd w:id="2"/>
      <w:r w:rsidRPr="008113D8">
        <w:t xml:space="preserve"> </w:t>
      </w:r>
    </w:p>
    <w:p w14:paraId="03425F5B" w14:textId="77777777" w:rsidR="008D01F4" w:rsidRPr="008113D8" w:rsidRDefault="008D01F4" w:rsidP="008113D8">
      <w:pPr>
        <w:pStyle w:val="BasicParagraph"/>
        <w:suppressAutoHyphens/>
        <w:spacing w:before="24" w:after="24"/>
        <w:rPr>
          <w:rFonts w:ascii="Verdana" w:hAnsi="Verdana" w:cs="Arial"/>
          <w:b/>
          <w:color w:val="77328A"/>
          <w:sz w:val="30"/>
          <w:szCs w:val="30"/>
        </w:rPr>
      </w:pPr>
    </w:p>
    <w:p w14:paraId="2450DB69" w14:textId="77777777" w:rsidR="008D01F4" w:rsidRPr="008113D8" w:rsidRDefault="008D01F4" w:rsidP="008113D8">
      <w:pPr>
        <w:spacing w:before="24" w:after="24" w:line="288" w:lineRule="auto"/>
        <w:ind w:left="709" w:hanging="709"/>
      </w:pPr>
      <w:r w:rsidRPr="008113D8">
        <w:t>1.1</w:t>
      </w:r>
      <w:r w:rsidRPr="008113D8">
        <w:tab/>
        <w:t xml:space="preserve">The Northern Ireland Human Rights Commission (the Commission), pursuant to Section 69(1) the Northern Ireland Act 1998, reviews the adequacy and effectiveness of law and practice relating to the protection of human rights. In accordance with these functions, the following statutory advice is submitted to the Department of Justice in response to its consultation on creating a new offence of stalking in Northern Ireland (NI). </w:t>
      </w:r>
    </w:p>
    <w:p w14:paraId="4CFE0B36" w14:textId="77777777" w:rsidR="008D01F4" w:rsidRPr="008113D8" w:rsidRDefault="008D01F4" w:rsidP="008113D8">
      <w:pPr>
        <w:spacing w:before="24" w:after="24" w:line="288" w:lineRule="auto"/>
        <w:ind w:left="709"/>
        <w:contextualSpacing/>
        <w:rPr>
          <w:rFonts w:eastAsiaTheme="minorHAnsi"/>
          <w:szCs w:val="22"/>
        </w:rPr>
      </w:pPr>
    </w:p>
    <w:p w14:paraId="4900ECB6" w14:textId="77777777" w:rsidR="008D01F4" w:rsidRPr="008113D8" w:rsidRDefault="008D01F4" w:rsidP="008113D8">
      <w:pPr>
        <w:numPr>
          <w:ilvl w:val="1"/>
          <w:numId w:val="12"/>
        </w:numPr>
        <w:spacing w:before="24" w:after="24" w:line="288" w:lineRule="auto"/>
        <w:contextualSpacing/>
        <w:rPr>
          <w:rFonts w:eastAsiaTheme="minorHAnsi"/>
          <w:szCs w:val="22"/>
        </w:rPr>
      </w:pPr>
      <w:r w:rsidRPr="008113D8">
        <w:rPr>
          <w:rFonts w:eastAsiaTheme="minorHAnsi"/>
          <w:szCs w:val="22"/>
        </w:rPr>
        <w:t>T</w:t>
      </w:r>
      <w:r w:rsidRPr="008113D8">
        <w:rPr>
          <w:rFonts w:eastAsia="Calibri" w:cs="Times New Roman"/>
          <w:szCs w:val="22"/>
        </w:rPr>
        <w:t>he Commission bases its advice on the full range of internationally accepted human rights standards, including the European Convention on Human Rights as incorporated by the Human Rights Act 1998 and the treaty obligations of the Council of Europe (</w:t>
      </w:r>
      <w:proofErr w:type="spellStart"/>
      <w:r w:rsidRPr="008113D8">
        <w:rPr>
          <w:rFonts w:eastAsia="Calibri" w:cs="Times New Roman"/>
          <w:szCs w:val="22"/>
        </w:rPr>
        <w:t>CoE</w:t>
      </w:r>
      <w:proofErr w:type="spellEnd"/>
      <w:r w:rsidRPr="008113D8">
        <w:rPr>
          <w:rFonts w:eastAsia="Calibri" w:cs="Times New Roman"/>
          <w:szCs w:val="22"/>
        </w:rPr>
        <w:t>), European Union (EU) and United Nations (UN) systems. The relevant international treaties in this context include:</w:t>
      </w:r>
    </w:p>
    <w:p w14:paraId="4385D0A4" w14:textId="77777777" w:rsidR="008D01F4" w:rsidRPr="008113D8" w:rsidRDefault="008D01F4" w:rsidP="008113D8">
      <w:pPr>
        <w:autoSpaceDE w:val="0"/>
        <w:autoSpaceDN w:val="0"/>
        <w:adjustRightInd w:val="0"/>
        <w:spacing w:before="24" w:after="24" w:line="288" w:lineRule="auto"/>
        <w:rPr>
          <w:rFonts w:cs="Verdana"/>
        </w:rPr>
      </w:pPr>
    </w:p>
    <w:p w14:paraId="7FA20B33"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cs="ZurichBT-LightCondensed"/>
        </w:rPr>
      </w:pPr>
      <w:r w:rsidRPr="008113D8">
        <w:rPr>
          <w:rFonts w:cs="ZurichBT-LightCondensed"/>
        </w:rPr>
        <w:t>European Convention on Human Rights 1950 (ECHR);</w:t>
      </w:r>
      <w:r w:rsidRPr="008113D8">
        <w:rPr>
          <w:rFonts w:cs="ZurichBT-LightCondensed"/>
          <w:vertAlign w:val="superscript"/>
        </w:rPr>
        <w:footnoteReference w:id="2"/>
      </w:r>
      <w:r w:rsidRPr="008113D8">
        <w:rPr>
          <w:rFonts w:cs="ZurichBT-LightCondensed"/>
        </w:rPr>
        <w:t xml:space="preserve"> </w:t>
      </w:r>
    </w:p>
    <w:p w14:paraId="0694ABC0"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cs="ZurichBT-LightCondensed"/>
        </w:rPr>
      </w:pPr>
      <w:r w:rsidRPr="008113D8">
        <w:rPr>
          <w:rFonts w:cs="ZurichBT-LightCondensed"/>
        </w:rPr>
        <w:t>International Covenant on Economic, Social and Cultural Rights 1966 (ICESCR);</w:t>
      </w:r>
      <w:r w:rsidRPr="008113D8">
        <w:rPr>
          <w:vertAlign w:val="superscript"/>
        </w:rPr>
        <w:footnoteReference w:id="3"/>
      </w:r>
    </w:p>
    <w:p w14:paraId="108DA0EC"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cs="ZurichBT-LightCondensed"/>
        </w:rPr>
      </w:pPr>
      <w:r w:rsidRPr="008113D8">
        <w:rPr>
          <w:rFonts w:cs="ZurichBT-LightCondensed"/>
        </w:rPr>
        <w:t>International Covenant on Civil and Political Rights 1966 (ICCPR);</w:t>
      </w:r>
      <w:r w:rsidRPr="008113D8">
        <w:rPr>
          <w:rFonts w:cs="ZurichBT-LightCondensed"/>
          <w:vertAlign w:val="superscript"/>
        </w:rPr>
        <w:footnoteReference w:id="4"/>
      </w:r>
    </w:p>
    <w:p w14:paraId="24632BBE"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cs="ZurichBT-LightCondensed"/>
        </w:rPr>
      </w:pPr>
      <w:r w:rsidRPr="008113D8">
        <w:rPr>
          <w:rFonts w:cs="ZurichBT-LightCondensed"/>
        </w:rPr>
        <w:t>UN Convention on the Elimination of All Forms of Discrimination Against Women 1979 (UN CEDAW);</w:t>
      </w:r>
      <w:r w:rsidRPr="008113D8">
        <w:rPr>
          <w:rFonts w:cs="ZurichBT-LightCondensed"/>
          <w:vertAlign w:val="superscript"/>
        </w:rPr>
        <w:footnoteReference w:id="5"/>
      </w:r>
    </w:p>
    <w:p w14:paraId="0B91DFBC"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cs="ZurichBT-LightCondensed"/>
        </w:rPr>
      </w:pPr>
      <w:r w:rsidRPr="008113D8">
        <w:t>European Convention on Compensation for Victims of Violent Crimes 1983;</w:t>
      </w:r>
      <w:r w:rsidRPr="008113D8">
        <w:rPr>
          <w:vertAlign w:val="superscript"/>
        </w:rPr>
        <w:footnoteReference w:id="6"/>
      </w:r>
    </w:p>
    <w:p w14:paraId="7640DC40"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cs="ZurichBT-LightCondensed"/>
        </w:rPr>
      </w:pPr>
      <w:r w:rsidRPr="008113D8">
        <w:rPr>
          <w:rFonts w:cs="ZurichBT-LightCondensed"/>
        </w:rPr>
        <w:t>UN Convention against Torture 1987 (UN CAT);</w:t>
      </w:r>
      <w:r w:rsidRPr="008113D8">
        <w:rPr>
          <w:rFonts w:cs="ZurichBT-LightCondensed"/>
          <w:vertAlign w:val="superscript"/>
        </w:rPr>
        <w:footnoteReference w:id="7"/>
      </w:r>
    </w:p>
    <w:p w14:paraId="314E82DB"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eastAsiaTheme="minorHAnsi" w:cs="ZurichBT-LightCondensed"/>
          <w:sz w:val="28"/>
        </w:rPr>
      </w:pPr>
      <w:r w:rsidRPr="008113D8">
        <w:rPr>
          <w:rFonts w:eastAsiaTheme="minorHAnsi"/>
          <w:szCs w:val="22"/>
        </w:rPr>
        <w:t>European Convention for the Prevention of Torture and Inhuman or Degrading Treatment or Punishment 1987;</w:t>
      </w:r>
      <w:r w:rsidRPr="008113D8">
        <w:rPr>
          <w:rFonts w:eastAsiaTheme="minorHAnsi"/>
          <w:szCs w:val="22"/>
          <w:vertAlign w:val="superscript"/>
        </w:rPr>
        <w:footnoteReference w:id="8"/>
      </w:r>
    </w:p>
    <w:p w14:paraId="2BFECBEC"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cs="ZurichBT-LightCondensed"/>
        </w:rPr>
      </w:pPr>
      <w:r w:rsidRPr="008113D8">
        <w:rPr>
          <w:rFonts w:cs="ZurichBT-LightCondensed"/>
        </w:rPr>
        <w:t>UN Convention on the Rights of the Child 1989 (UN CRC);</w:t>
      </w:r>
      <w:r w:rsidRPr="008113D8">
        <w:rPr>
          <w:rFonts w:cs="ZurichBT-LightCondensed"/>
          <w:vertAlign w:val="superscript"/>
        </w:rPr>
        <w:footnoteReference w:id="9"/>
      </w:r>
    </w:p>
    <w:p w14:paraId="68E1F7B2"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eastAsiaTheme="minorHAnsi" w:cs="ZurichBT-LightCondensed"/>
          <w:sz w:val="28"/>
        </w:rPr>
      </w:pPr>
      <w:r w:rsidRPr="008113D8">
        <w:rPr>
          <w:rFonts w:eastAsiaTheme="minorHAnsi"/>
          <w:szCs w:val="22"/>
        </w:rPr>
        <w:t>Charter of Fundamental Rights of the European Union 2000;</w:t>
      </w:r>
      <w:r w:rsidRPr="008113D8">
        <w:rPr>
          <w:rFonts w:eastAsiaTheme="minorHAnsi"/>
          <w:szCs w:val="22"/>
          <w:vertAlign w:val="superscript"/>
        </w:rPr>
        <w:footnoteReference w:id="10"/>
      </w:r>
    </w:p>
    <w:p w14:paraId="3FE85522"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cs="ZurichBT-LightCondensed"/>
        </w:rPr>
      </w:pPr>
      <w:r w:rsidRPr="008113D8">
        <w:rPr>
          <w:rFonts w:cs="ZurichBT-LightCondensed"/>
        </w:rPr>
        <w:t>UN Convention on the Rights of Persons with Disabilities 2006 (UN CRPD);</w:t>
      </w:r>
      <w:r w:rsidRPr="008113D8">
        <w:rPr>
          <w:rFonts w:cs="ZurichBT-LightCondensed"/>
          <w:vertAlign w:val="superscript"/>
        </w:rPr>
        <w:footnoteReference w:id="11"/>
      </w:r>
      <w:r w:rsidRPr="008113D8">
        <w:rPr>
          <w:rFonts w:cs="ZurichBT-LightCondensed"/>
        </w:rPr>
        <w:t xml:space="preserve"> </w:t>
      </w:r>
    </w:p>
    <w:p w14:paraId="4F16E1A7"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eastAsiaTheme="minorHAnsi" w:cs="ZurichBT-LightCondensed"/>
          <w:sz w:val="28"/>
        </w:rPr>
      </w:pPr>
      <w:r w:rsidRPr="008113D8">
        <w:rPr>
          <w:rFonts w:eastAsiaTheme="minorHAnsi"/>
          <w:szCs w:val="22"/>
        </w:rPr>
        <w:lastRenderedPageBreak/>
        <w:t>Council of Europe Convention on Preventing and Combating Violence against Women and Domestic Violence 2011 (Istanbul Convention);</w:t>
      </w:r>
      <w:r w:rsidRPr="008113D8">
        <w:rPr>
          <w:rFonts w:eastAsiaTheme="minorHAnsi"/>
          <w:szCs w:val="22"/>
          <w:vertAlign w:val="superscript"/>
        </w:rPr>
        <w:footnoteReference w:id="12"/>
      </w:r>
    </w:p>
    <w:p w14:paraId="3BDB9783" w14:textId="77777777" w:rsidR="008D01F4" w:rsidRPr="008113D8" w:rsidRDefault="008D01F4" w:rsidP="008113D8">
      <w:pPr>
        <w:numPr>
          <w:ilvl w:val="0"/>
          <w:numId w:val="10"/>
        </w:numPr>
        <w:autoSpaceDE w:val="0"/>
        <w:autoSpaceDN w:val="0"/>
        <w:adjustRightInd w:val="0"/>
        <w:spacing w:before="24" w:after="24" w:line="288" w:lineRule="auto"/>
        <w:ind w:left="1797" w:hanging="357"/>
        <w:contextualSpacing/>
        <w:rPr>
          <w:rFonts w:eastAsiaTheme="minorHAnsi" w:cs="ZurichBT-LightCondensed"/>
        </w:rPr>
      </w:pPr>
      <w:r w:rsidRPr="008113D8">
        <w:rPr>
          <w:rFonts w:eastAsiaTheme="minorHAnsi" w:cs="ZurichBT-LightCondensed"/>
        </w:rPr>
        <w:t>EU Directive establishing Minimum Standards on the Rights, Support and Protection of Victims of Crime 2012 (EU Victims Directive).</w:t>
      </w:r>
      <w:r w:rsidRPr="008113D8">
        <w:rPr>
          <w:rFonts w:eastAsiaTheme="minorHAnsi" w:cs="ZurichBT-LightCondensed"/>
          <w:vertAlign w:val="superscript"/>
        </w:rPr>
        <w:footnoteReference w:id="13"/>
      </w:r>
    </w:p>
    <w:p w14:paraId="7250603E" w14:textId="77777777" w:rsidR="008D01F4" w:rsidRPr="008113D8" w:rsidRDefault="008D01F4" w:rsidP="008113D8">
      <w:pPr>
        <w:autoSpaceDE w:val="0"/>
        <w:autoSpaceDN w:val="0"/>
        <w:adjustRightInd w:val="0"/>
        <w:spacing w:before="24" w:after="24" w:line="288" w:lineRule="auto"/>
        <w:ind w:left="1440"/>
        <w:contextualSpacing/>
        <w:rPr>
          <w:rFonts w:eastAsiaTheme="minorHAnsi" w:cs="ZurichBT-LightCondensed"/>
          <w:szCs w:val="22"/>
        </w:rPr>
      </w:pPr>
    </w:p>
    <w:p w14:paraId="10891AB2" w14:textId="77777777" w:rsidR="008D01F4" w:rsidRPr="008113D8" w:rsidRDefault="008D01F4" w:rsidP="008113D8">
      <w:pPr>
        <w:numPr>
          <w:ilvl w:val="1"/>
          <w:numId w:val="12"/>
        </w:numPr>
        <w:autoSpaceDE w:val="0"/>
        <w:autoSpaceDN w:val="0"/>
        <w:adjustRightInd w:val="0"/>
        <w:spacing w:before="24" w:after="24" w:line="288" w:lineRule="auto"/>
        <w:contextualSpacing/>
        <w:rPr>
          <w:rFonts w:eastAsiaTheme="minorHAnsi" w:cs="ZurichBT-LightCondensed"/>
          <w:szCs w:val="22"/>
        </w:rPr>
      </w:pPr>
      <w:r w:rsidRPr="008113D8">
        <w:rPr>
          <w:rFonts w:eastAsiaTheme="minorHAnsi" w:cs="ZurichBT-LightCondensed"/>
          <w:szCs w:val="22"/>
        </w:rPr>
        <w:t>In addition to these treaty standards, there exists a body of ‘soft law’ developed by the human rights bodies of the United Nations (UN) and the Council of Europe (</w:t>
      </w:r>
      <w:proofErr w:type="spellStart"/>
      <w:r w:rsidRPr="008113D8">
        <w:rPr>
          <w:rFonts w:eastAsiaTheme="minorHAnsi" w:cs="ZurichBT-LightCondensed"/>
          <w:szCs w:val="22"/>
        </w:rPr>
        <w:t>CoE</w:t>
      </w:r>
      <w:proofErr w:type="spellEnd"/>
      <w:r w:rsidRPr="008113D8">
        <w:rPr>
          <w:rFonts w:eastAsiaTheme="minorHAnsi" w:cs="ZurichBT-LightCondensed"/>
          <w:szCs w:val="22"/>
        </w:rPr>
        <w:t>). These declarations and principles are non-binding but provide further guidance in respect of specific areas. The relevant standards in this context include:</w:t>
      </w:r>
      <w:r w:rsidRPr="008113D8">
        <w:rPr>
          <w:rFonts w:eastAsiaTheme="minorHAnsi" w:cs="ZurichBT-LightCondensed"/>
          <w:szCs w:val="22"/>
        </w:rPr>
        <w:cr/>
      </w:r>
    </w:p>
    <w:p w14:paraId="76D1CEFD" w14:textId="77777777" w:rsidR="008D01F4" w:rsidRPr="008113D8" w:rsidRDefault="008D01F4" w:rsidP="008113D8">
      <w:pPr>
        <w:numPr>
          <w:ilvl w:val="0"/>
          <w:numId w:val="11"/>
        </w:numPr>
        <w:autoSpaceDE w:val="0"/>
        <w:autoSpaceDN w:val="0"/>
        <w:adjustRightInd w:val="0"/>
        <w:spacing w:before="24" w:after="24" w:line="288" w:lineRule="auto"/>
        <w:ind w:left="2154" w:hanging="357"/>
        <w:contextualSpacing/>
        <w:rPr>
          <w:rFonts w:eastAsiaTheme="minorHAnsi" w:cs="ZurichBT-LightCondensed"/>
          <w:sz w:val="28"/>
        </w:rPr>
      </w:pPr>
      <w:r w:rsidRPr="008113D8">
        <w:rPr>
          <w:rFonts w:eastAsiaTheme="minorHAnsi" w:cs="ZurichBT-LightCondensed"/>
        </w:rPr>
        <w:t>UN Declaration of Basic Principles of Justice for Victims of Crime and Abuse of Power 1985;</w:t>
      </w:r>
      <w:r w:rsidRPr="008113D8">
        <w:rPr>
          <w:rFonts w:eastAsiaTheme="minorHAnsi" w:cs="ZurichBT-LightCondensed"/>
          <w:vertAlign w:val="superscript"/>
        </w:rPr>
        <w:footnoteReference w:id="14"/>
      </w:r>
      <w:r w:rsidRPr="008113D8">
        <w:rPr>
          <w:rFonts w:eastAsiaTheme="minorHAnsi" w:cs="ZurichBT-LightCondensed"/>
        </w:rPr>
        <w:t xml:space="preserve"> </w:t>
      </w:r>
    </w:p>
    <w:p w14:paraId="69FEC62E" w14:textId="77777777" w:rsidR="008D01F4" w:rsidRPr="008113D8" w:rsidRDefault="008D01F4" w:rsidP="008113D8">
      <w:pPr>
        <w:numPr>
          <w:ilvl w:val="0"/>
          <w:numId w:val="11"/>
        </w:numPr>
        <w:autoSpaceDE w:val="0"/>
        <w:autoSpaceDN w:val="0"/>
        <w:adjustRightInd w:val="0"/>
        <w:spacing w:before="24" w:after="24" w:line="288" w:lineRule="auto"/>
        <w:ind w:left="2154" w:hanging="357"/>
        <w:contextualSpacing/>
        <w:rPr>
          <w:rFonts w:eastAsiaTheme="minorHAnsi" w:cs="ZurichBT-LightCondensed"/>
          <w:sz w:val="28"/>
        </w:rPr>
      </w:pPr>
      <w:r w:rsidRPr="008113D8">
        <w:rPr>
          <w:rFonts w:eastAsiaTheme="minorHAnsi"/>
          <w:szCs w:val="22"/>
        </w:rPr>
        <w:t>UN Declaration on the Elimination of Violence against Women 1993;</w:t>
      </w:r>
      <w:r w:rsidRPr="008113D8">
        <w:rPr>
          <w:rFonts w:eastAsiaTheme="minorHAnsi"/>
          <w:szCs w:val="22"/>
          <w:vertAlign w:val="superscript"/>
        </w:rPr>
        <w:footnoteReference w:id="15"/>
      </w:r>
      <w:r w:rsidRPr="008113D8">
        <w:rPr>
          <w:rFonts w:eastAsiaTheme="minorHAnsi"/>
          <w:szCs w:val="22"/>
        </w:rPr>
        <w:t xml:space="preserve"> </w:t>
      </w:r>
    </w:p>
    <w:p w14:paraId="6E05BFBB" w14:textId="77777777" w:rsidR="008D01F4" w:rsidRPr="008113D8" w:rsidRDefault="008D01F4" w:rsidP="008113D8">
      <w:pPr>
        <w:numPr>
          <w:ilvl w:val="0"/>
          <w:numId w:val="11"/>
        </w:numPr>
        <w:autoSpaceDE w:val="0"/>
        <w:autoSpaceDN w:val="0"/>
        <w:adjustRightInd w:val="0"/>
        <w:spacing w:before="24" w:after="24" w:line="288" w:lineRule="auto"/>
        <w:ind w:left="2154" w:hanging="357"/>
        <w:contextualSpacing/>
        <w:rPr>
          <w:rFonts w:eastAsiaTheme="minorHAnsi" w:cs="ZurichBT-LightCondensed"/>
          <w:sz w:val="28"/>
        </w:rPr>
      </w:pPr>
      <w:r w:rsidRPr="008113D8">
        <w:rPr>
          <w:rFonts w:eastAsiaTheme="minorHAnsi"/>
          <w:szCs w:val="22"/>
        </w:rPr>
        <w:t>UN Beijing Declaration and Platform for Action 1995;</w:t>
      </w:r>
      <w:r w:rsidRPr="008113D8">
        <w:rPr>
          <w:rFonts w:eastAsiaTheme="minorHAnsi"/>
          <w:szCs w:val="22"/>
          <w:vertAlign w:val="superscript"/>
        </w:rPr>
        <w:footnoteReference w:id="16"/>
      </w:r>
      <w:r w:rsidRPr="008113D8">
        <w:rPr>
          <w:rFonts w:eastAsiaTheme="minorHAnsi"/>
          <w:szCs w:val="22"/>
        </w:rPr>
        <w:t xml:space="preserve"> </w:t>
      </w:r>
    </w:p>
    <w:p w14:paraId="6D994DC9" w14:textId="77777777" w:rsidR="008D01F4" w:rsidRPr="008113D8" w:rsidRDefault="008D01F4" w:rsidP="008113D8">
      <w:pPr>
        <w:numPr>
          <w:ilvl w:val="0"/>
          <w:numId w:val="11"/>
        </w:numPr>
        <w:autoSpaceDE w:val="0"/>
        <w:autoSpaceDN w:val="0"/>
        <w:adjustRightInd w:val="0"/>
        <w:spacing w:before="24" w:after="24" w:line="288" w:lineRule="auto"/>
        <w:ind w:left="2154" w:hanging="357"/>
        <w:contextualSpacing/>
        <w:rPr>
          <w:rFonts w:eastAsiaTheme="minorHAnsi" w:cs="ZurichBT-LightCondensed"/>
          <w:sz w:val="28"/>
        </w:rPr>
      </w:pPr>
      <w:proofErr w:type="spellStart"/>
      <w:r w:rsidRPr="008113D8">
        <w:rPr>
          <w:rFonts w:eastAsiaTheme="minorHAnsi"/>
          <w:szCs w:val="22"/>
        </w:rPr>
        <w:t>CoE</w:t>
      </w:r>
      <w:proofErr w:type="spellEnd"/>
      <w:r w:rsidRPr="008113D8">
        <w:rPr>
          <w:rFonts w:eastAsiaTheme="minorHAnsi"/>
          <w:szCs w:val="22"/>
        </w:rPr>
        <w:t xml:space="preserve"> Committee of Ministers Recommendation on the Protection of Women against Violence 2002</w:t>
      </w:r>
      <w:r w:rsidRPr="008113D8">
        <w:rPr>
          <w:rFonts w:eastAsiaTheme="minorHAnsi"/>
          <w:szCs w:val="22"/>
          <w:vertAlign w:val="superscript"/>
        </w:rPr>
        <w:footnoteReference w:id="17"/>
      </w:r>
      <w:r w:rsidRPr="008113D8">
        <w:rPr>
          <w:rFonts w:eastAsiaTheme="minorHAnsi"/>
          <w:szCs w:val="22"/>
        </w:rPr>
        <w:t xml:space="preserve"> </w:t>
      </w:r>
    </w:p>
    <w:p w14:paraId="2D4A04BE" w14:textId="77777777" w:rsidR="008D01F4" w:rsidRPr="008113D8" w:rsidRDefault="008D01F4" w:rsidP="008113D8">
      <w:pPr>
        <w:numPr>
          <w:ilvl w:val="0"/>
          <w:numId w:val="11"/>
        </w:numPr>
        <w:autoSpaceDE w:val="0"/>
        <w:autoSpaceDN w:val="0"/>
        <w:adjustRightInd w:val="0"/>
        <w:spacing w:before="24" w:after="24" w:line="288" w:lineRule="auto"/>
        <w:ind w:left="2154" w:hanging="357"/>
        <w:contextualSpacing/>
        <w:rPr>
          <w:rFonts w:eastAsiaTheme="minorHAnsi" w:cs="ZurichBT-LightCondensed"/>
        </w:rPr>
      </w:pPr>
      <w:r w:rsidRPr="008113D8">
        <w:rPr>
          <w:rFonts w:eastAsiaTheme="minorHAnsi"/>
        </w:rPr>
        <w:t>UN Resolutions on the Intensification of Efforts to Eliminate all forms of Violence against Women 2006, 2012;</w:t>
      </w:r>
      <w:r w:rsidRPr="008113D8">
        <w:rPr>
          <w:rFonts w:eastAsiaTheme="minorHAnsi"/>
          <w:vertAlign w:val="superscript"/>
        </w:rPr>
        <w:footnoteReference w:id="18"/>
      </w:r>
      <w:r w:rsidRPr="008113D8">
        <w:rPr>
          <w:rFonts w:eastAsiaTheme="minorHAnsi"/>
        </w:rPr>
        <w:t xml:space="preserve"> </w:t>
      </w:r>
    </w:p>
    <w:p w14:paraId="0BA4B615" w14:textId="77777777" w:rsidR="008D01F4" w:rsidRPr="008113D8" w:rsidRDefault="008D01F4" w:rsidP="008113D8">
      <w:pPr>
        <w:numPr>
          <w:ilvl w:val="0"/>
          <w:numId w:val="11"/>
        </w:numPr>
        <w:autoSpaceDE w:val="0"/>
        <w:autoSpaceDN w:val="0"/>
        <w:adjustRightInd w:val="0"/>
        <w:spacing w:before="24" w:after="24" w:line="288" w:lineRule="auto"/>
        <w:ind w:left="2154" w:hanging="357"/>
        <w:contextualSpacing/>
        <w:rPr>
          <w:rFonts w:eastAsiaTheme="minorHAnsi" w:cs="ZurichBT-LightCondensed"/>
        </w:rPr>
      </w:pPr>
      <w:r w:rsidRPr="008113D8">
        <w:rPr>
          <w:rFonts w:eastAsiaTheme="minorHAnsi"/>
        </w:rPr>
        <w:t>UN Report of the Secretary General on the Intensification of Efforts to Eliminate all forms of Violence against Women 2010;</w:t>
      </w:r>
      <w:r w:rsidRPr="008113D8">
        <w:rPr>
          <w:rFonts w:eastAsiaTheme="minorHAnsi"/>
          <w:vertAlign w:val="superscript"/>
        </w:rPr>
        <w:footnoteReference w:id="19"/>
      </w:r>
    </w:p>
    <w:p w14:paraId="48E9FAED" w14:textId="77777777" w:rsidR="008D01F4" w:rsidRPr="008113D8" w:rsidRDefault="008D01F4" w:rsidP="008113D8">
      <w:pPr>
        <w:numPr>
          <w:ilvl w:val="0"/>
          <w:numId w:val="11"/>
        </w:numPr>
        <w:autoSpaceDE w:val="0"/>
        <w:autoSpaceDN w:val="0"/>
        <w:adjustRightInd w:val="0"/>
        <w:spacing w:before="24" w:after="24" w:line="288" w:lineRule="auto"/>
        <w:ind w:left="2154" w:hanging="357"/>
        <w:contextualSpacing/>
        <w:rPr>
          <w:rFonts w:eastAsiaTheme="minorHAnsi" w:cs="ZurichBT-LightCondensed"/>
          <w:sz w:val="28"/>
        </w:rPr>
      </w:pPr>
      <w:r w:rsidRPr="008113D8">
        <w:rPr>
          <w:rFonts w:eastAsiaTheme="minorHAnsi" w:cs="ZurichBT-LightCondensed"/>
        </w:rPr>
        <w:lastRenderedPageBreak/>
        <w:t xml:space="preserve">UN Resolution on </w:t>
      </w:r>
      <w:r w:rsidRPr="008113D8">
        <w:rPr>
          <w:rFonts w:eastAsiaTheme="minorHAnsi"/>
        </w:rPr>
        <w:t>Strengthening Crime Prevention and Criminal Justice responses to</w:t>
      </w:r>
      <w:r w:rsidRPr="008113D8">
        <w:rPr>
          <w:rFonts w:eastAsiaTheme="minorHAnsi"/>
          <w:szCs w:val="22"/>
        </w:rPr>
        <w:t xml:space="preserve"> Violence against Women 2011;</w:t>
      </w:r>
      <w:r w:rsidRPr="008113D8">
        <w:rPr>
          <w:rFonts w:eastAsiaTheme="minorHAnsi"/>
          <w:szCs w:val="22"/>
          <w:vertAlign w:val="superscript"/>
        </w:rPr>
        <w:footnoteReference w:id="20"/>
      </w:r>
      <w:r w:rsidRPr="008113D8">
        <w:rPr>
          <w:rFonts w:eastAsiaTheme="minorHAnsi"/>
          <w:szCs w:val="22"/>
        </w:rPr>
        <w:t xml:space="preserve"> </w:t>
      </w:r>
    </w:p>
    <w:p w14:paraId="534C31E2" w14:textId="77777777" w:rsidR="008D01F4" w:rsidRPr="008113D8" w:rsidRDefault="008D01F4" w:rsidP="008113D8">
      <w:pPr>
        <w:numPr>
          <w:ilvl w:val="0"/>
          <w:numId w:val="11"/>
        </w:numPr>
        <w:autoSpaceDE w:val="0"/>
        <w:autoSpaceDN w:val="0"/>
        <w:adjustRightInd w:val="0"/>
        <w:spacing w:before="24" w:after="24" w:line="288" w:lineRule="auto"/>
        <w:ind w:left="2154" w:hanging="357"/>
        <w:contextualSpacing/>
        <w:rPr>
          <w:rFonts w:eastAsiaTheme="minorHAnsi" w:cs="ZurichBT-LightCondensed"/>
          <w:sz w:val="28"/>
        </w:rPr>
      </w:pPr>
      <w:r w:rsidRPr="008113D8">
        <w:rPr>
          <w:rFonts w:eastAsiaTheme="minorHAnsi"/>
          <w:szCs w:val="22"/>
        </w:rPr>
        <w:t>UN Commission on the Status of Women conclusions of the 57th session 2013;</w:t>
      </w:r>
      <w:r w:rsidRPr="008113D8">
        <w:rPr>
          <w:rFonts w:eastAsiaTheme="minorHAnsi"/>
          <w:szCs w:val="22"/>
          <w:vertAlign w:val="superscript"/>
        </w:rPr>
        <w:footnoteReference w:id="21"/>
      </w:r>
      <w:r w:rsidRPr="008113D8">
        <w:rPr>
          <w:rFonts w:eastAsiaTheme="minorHAnsi"/>
          <w:szCs w:val="22"/>
        </w:rPr>
        <w:t xml:space="preserve"> </w:t>
      </w:r>
    </w:p>
    <w:p w14:paraId="2D229880" w14:textId="77777777" w:rsidR="008D01F4" w:rsidRPr="008113D8" w:rsidRDefault="008D01F4" w:rsidP="008113D8">
      <w:pPr>
        <w:numPr>
          <w:ilvl w:val="0"/>
          <w:numId w:val="11"/>
        </w:numPr>
        <w:autoSpaceDE w:val="0"/>
        <w:autoSpaceDN w:val="0"/>
        <w:adjustRightInd w:val="0"/>
        <w:spacing w:before="24" w:after="24" w:line="288" w:lineRule="auto"/>
        <w:ind w:left="2154" w:hanging="357"/>
        <w:contextualSpacing/>
        <w:rPr>
          <w:rFonts w:eastAsiaTheme="minorHAnsi" w:cs="ZurichBT-LightCondensed"/>
          <w:sz w:val="28"/>
        </w:rPr>
      </w:pPr>
      <w:r w:rsidRPr="008113D8">
        <w:rPr>
          <w:rFonts w:eastAsiaTheme="minorHAnsi"/>
          <w:szCs w:val="22"/>
        </w:rPr>
        <w:t xml:space="preserve">UN Committee on the </w:t>
      </w:r>
      <w:r w:rsidRPr="008113D8">
        <w:rPr>
          <w:rFonts w:eastAsiaTheme="minorHAnsi" w:cs="ZurichBT-LightCondensed"/>
          <w:szCs w:val="22"/>
        </w:rPr>
        <w:t>Elimination of All Forms of Discrimination against Women General Recommendation 35, 2017.</w:t>
      </w:r>
      <w:r w:rsidRPr="008113D8">
        <w:rPr>
          <w:rFonts w:eastAsiaTheme="minorHAnsi" w:cs="ZurichBT-LightCondensed"/>
          <w:szCs w:val="22"/>
          <w:vertAlign w:val="superscript"/>
        </w:rPr>
        <w:footnoteReference w:id="22"/>
      </w:r>
    </w:p>
    <w:p w14:paraId="23412178" w14:textId="77777777" w:rsidR="008D01F4" w:rsidRPr="008113D8" w:rsidRDefault="008D01F4" w:rsidP="008113D8">
      <w:pPr>
        <w:autoSpaceDE w:val="0"/>
        <w:autoSpaceDN w:val="0"/>
        <w:adjustRightInd w:val="0"/>
        <w:spacing w:before="24" w:after="24"/>
        <w:ind w:left="2160"/>
        <w:contextualSpacing/>
        <w:rPr>
          <w:rFonts w:eastAsiaTheme="minorHAnsi" w:cs="ZurichBT-LightCondensed"/>
          <w:sz w:val="28"/>
        </w:rPr>
      </w:pPr>
    </w:p>
    <w:p w14:paraId="14ADD090" w14:textId="77777777" w:rsidR="008D01F4" w:rsidRDefault="00453901" w:rsidP="005B195F">
      <w:pPr>
        <w:pStyle w:val="ListParagraph"/>
        <w:numPr>
          <w:ilvl w:val="1"/>
          <w:numId w:val="12"/>
        </w:numPr>
        <w:spacing w:before="24" w:after="24"/>
        <w:rPr>
          <w:rFonts w:eastAsiaTheme="minorHAnsi" w:cs="ZurichBT-LightCondensed"/>
          <w:szCs w:val="22"/>
        </w:rPr>
      </w:pPr>
      <w:r w:rsidRPr="00453901">
        <w:rPr>
          <w:rFonts w:eastAsiaTheme="minorHAnsi" w:cs="ZurichBT-LightCondensed"/>
          <w:szCs w:val="22"/>
        </w:rPr>
        <w:t xml:space="preserve">The </w:t>
      </w:r>
      <w:r w:rsidR="00947E8B">
        <w:rPr>
          <w:rFonts w:eastAsiaTheme="minorHAnsi" w:cs="ZurichBT-LightCondensed"/>
          <w:szCs w:val="22"/>
        </w:rPr>
        <w:t xml:space="preserve">NIHRC </w:t>
      </w:r>
      <w:r w:rsidRPr="00453901">
        <w:rPr>
          <w:rFonts w:eastAsiaTheme="minorHAnsi" w:cs="ZurichBT-LightCondensed"/>
          <w:szCs w:val="22"/>
        </w:rPr>
        <w:t xml:space="preserve">has continuously raised concerns that NI is the only jurisdiction within the UK without specific stalking legislation. The Commission </w:t>
      </w:r>
      <w:r>
        <w:rPr>
          <w:rFonts w:eastAsiaTheme="minorHAnsi" w:cs="ZurichBT-LightCondensed"/>
          <w:szCs w:val="22"/>
        </w:rPr>
        <w:t xml:space="preserve">therefore </w:t>
      </w:r>
      <w:r w:rsidRPr="00453901">
        <w:rPr>
          <w:rFonts w:eastAsiaTheme="minorHAnsi" w:cs="ZurichBT-LightCondensed"/>
          <w:szCs w:val="22"/>
        </w:rPr>
        <w:t>welcomes the Prevention from Stalking Bill</w:t>
      </w:r>
      <w:r>
        <w:rPr>
          <w:rFonts w:eastAsiaTheme="minorHAnsi" w:cs="ZurichBT-LightCondensed"/>
          <w:szCs w:val="22"/>
        </w:rPr>
        <w:t xml:space="preserve"> as</w:t>
      </w:r>
      <w:r w:rsidRPr="00453901">
        <w:rPr>
          <w:rFonts w:eastAsiaTheme="minorHAnsi" w:cs="ZurichBT-LightCondensed"/>
          <w:szCs w:val="22"/>
        </w:rPr>
        <w:t xml:space="preserve"> standalone legislation prohibiting all forms of stalking</w:t>
      </w:r>
      <w:r>
        <w:rPr>
          <w:rFonts w:eastAsiaTheme="minorHAnsi" w:cs="ZurichBT-LightCondensed"/>
          <w:szCs w:val="22"/>
        </w:rPr>
        <w:t xml:space="preserve"> in NI. </w:t>
      </w:r>
    </w:p>
    <w:p w14:paraId="6B26E13A" w14:textId="77777777" w:rsidR="005B195F" w:rsidRPr="005B195F" w:rsidRDefault="005B195F" w:rsidP="005B195F">
      <w:pPr>
        <w:pStyle w:val="ListParagraph"/>
        <w:spacing w:before="24" w:after="24"/>
        <w:rPr>
          <w:rFonts w:eastAsiaTheme="minorHAnsi" w:cs="ZurichBT-LightCondensed"/>
          <w:szCs w:val="22"/>
        </w:rPr>
      </w:pPr>
    </w:p>
    <w:p w14:paraId="4D9B61C2" w14:textId="00FB13E2" w:rsidR="007F74A9" w:rsidRPr="008113D8" w:rsidRDefault="00370547" w:rsidP="00653375">
      <w:pPr>
        <w:pStyle w:val="Heading1"/>
        <w:numPr>
          <w:ilvl w:val="0"/>
          <w:numId w:val="26"/>
        </w:numPr>
        <w:spacing w:before="24" w:after="24"/>
        <w:rPr>
          <w:szCs w:val="30"/>
        </w:rPr>
      </w:pPr>
      <w:bookmarkStart w:id="3" w:name="_Toc69458539"/>
      <w:r w:rsidRPr="008113D8">
        <w:rPr>
          <w:szCs w:val="30"/>
        </w:rPr>
        <w:t>General Comments</w:t>
      </w:r>
      <w:bookmarkEnd w:id="3"/>
      <w:r w:rsidRPr="008113D8">
        <w:rPr>
          <w:szCs w:val="30"/>
        </w:rPr>
        <w:t xml:space="preserve"> </w:t>
      </w:r>
    </w:p>
    <w:p w14:paraId="5D023AB3" w14:textId="77777777" w:rsidR="00947E8B" w:rsidRDefault="00947E8B" w:rsidP="005B195F">
      <w:pPr>
        <w:pStyle w:val="ListParagraph"/>
        <w:spacing w:before="24" w:after="24"/>
      </w:pPr>
    </w:p>
    <w:p w14:paraId="3992BC18" w14:textId="77777777" w:rsidR="00947E8B" w:rsidRDefault="00947E8B" w:rsidP="00653375">
      <w:pPr>
        <w:pStyle w:val="ListParagraph"/>
        <w:numPr>
          <w:ilvl w:val="1"/>
          <w:numId w:val="26"/>
        </w:numPr>
      </w:pPr>
      <w:r w:rsidRPr="00947E8B">
        <w:t xml:space="preserve">The </w:t>
      </w:r>
      <w:r w:rsidR="00555C8D">
        <w:t xml:space="preserve">NIHRC </w:t>
      </w:r>
      <w:r w:rsidRPr="00947E8B">
        <w:t>has continuously raised the need for legislation to address the prevention of stalking in line with</w:t>
      </w:r>
      <w:r>
        <w:t xml:space="preserve"> Article 34 Istanbul Convention which states that: </w:t>
      </w:r>
    </w:p>
    <w:p w14:paraId="4D46C11B" w14:textId="77777777" w:rsidR="00947E8B" w:rsidRDefault="00947E8B" w:rsidP="00947E8B">
      <w:pPr>
        <w:pStyle w:val="ListParagraph"/>
        <w:spacing w:before="24" w:after="24"/>
      </w:pPr>
    </w:p>
    <w:p w14:paraId="2E6B013A" w14:textId="77777777" w:rsidR="00947E8B" w:rsidRDefault="00947E8B" w:rsidP="00947E8B">
      <w:pPr>
        <w:pStyle w:val="Quote"/>
        <w:spacing w:before="24" w:after="24"/>
      </w:pPr>
      <w:r>
        <w:t>Parties shall take the necessary legislative or other measures to ensure that the intentional conduct of repeatedly engaging in threatening conduct directed at another person, causing her or him to fear for her or his safety, is criminalised.</w:t>
      </w:r>
    </w:p>
    <w:p w14:paraId="5A1ACE6F" w14:textId="77777777" w:rsidR="00555C8D" w:rsidRDefault="00555C8D" w:rsidP="00555C8D"/>
    <w:p w14:paraId="516E5349" w14:textId="282710EB" w:rsidR="006E1587" w:rsidRDefault="00555C8D" w:rsidP="00653375">
      <w:pPr>
        <w:pStyle w:val="ListParagraph"/>
        <w:numPr>
          <w:ilvl w:val="1"/>
          <w:numId w:val="26"/>
        </w:numPr>
      </w:pPr>
      <w:r w:rsidRPr="00555C8D">
        <w:t xml:space="preserve">The </w:t>
      </w:r>
      <w:r>
        <w:t>NIHRC</w:t>
      </w:r>
      <w:r w:rsidRPr="00555C8D">
        <w:t xml:space="preserve"> would refer the Justice Committee to the Commission’s </w:t>
      </w:r>
      <w:r w:rsidR="00F24633" w:rsidRPr="00F24633">
        <w:t>Submission to D</w:t>
      </w:r>
      <w:r w:rsidR="00F24633">
        <w:t>epartment of Justice</w:t>
      </w:r>
      <w:r w:rsidR="00F24633" w:rsidRPr="00F24633">
        <w:t xml:space="preserve"> Consultation on Creating a New Offence of Stalking in Northern </w:t>
      </w:r>
      <w:r w:rsidR="00E10B0F">
        <w:t xml:space="preserve">Ireland </w:t>
      </w:r>
      <w:r w:rsidR="00F24633">
        <w:t>within</w:t>
      </w:r>
      <w:r w:rsidRPr="00555C8D">
        <w:t xml:space="preserve"> which </w:t>
      </w:r>
      <w:r w:rsidR="00F24633">
        <w:t xml:space="preserve">the </w:t>
      </w:r>
      <w:r w:rsidR="006E1587">
        <w:t xml:space="preserve">Commission </w:t>
      </w:r>
      <w:r w:rsidRPr="00555C8D">
        <w:t xml:space="preserve">sets out in detail the </w:t>
      </w:r>
      <w:r w:rsidR="00F24633">
        <w:t xml:space="preserve">relevant </w:t>
      </w:r>
      <w:r w:rsidRPr="00555C8D">
        <w:t xml:space="preserve">human rights standards and </w:t>
      </w:r>
      <w:proofErr w:type="spellStart"/>
      <w:r w:rsidRPr="00555C8D">
        <w:t>oblgiations</w:t>
      </w:r>
      <w:proofErr w:type="spellEnd"/>
      <w:r w:rsidRPr="00555C8D">
        <w:t xml:space="preserve"> in regards to </w:t>
      </w:r>
      <w:r w:rsidR="00971EF6">
        <w:t xml:space="preserve">the </w:t>
      </w:r>
      <w:r w:rsidRPr="00555C8D">
        <w:t xml:space="preserve">prevention </w:t>
      </w:r>
      <w:r>
        <w:t xml:space="preserve">and </w:t>
      </w:r>
      <w:proofErr w:type="spellStart"/>
      <w:r>
        <w:t>prohibitation</w:t>
      </w:r>
      <w:proofErr w:type="spellEnd"/>
      <w:r>
        <w:t xml:space="preserve"> </w:t>
      </w:r>
      <w:r w:rsidR="005B195F">
        <w:t>of</w:t>
      </w:r>
      <w:r w:rsidRPr="00555C8D">
        <w:t xml:space="preserve"> stalking.</w:t>
      </w:r>
      <w:r w:rsidR="005B195F">
        <w:rPr>
          <w:rStyle w:val="FootnoteReference"/>
        </w:rPr>
        <w:footnoteReference w:id="23"/>
      </w:r>
      <w:r w:rsidRPr="00555C8D">
        <w:t xml:space="preserve"> </w:t>
      </w:r>
      <w:r w:rsidR="006E1587" w:rsidRPr="006E1587">
        <w:t>This response will therefore not go into the detail of such obligations and instead highlight technical issues within the Bill</w:t>
      </w:r>
      <w:r w:rsidR="006E1587">
        <w:t xml:space="preserve">. </w:t>
      </w:r>
    </w:p>
    <w:p w14:paraId="107E04FE" w14:textId="77777777" w:rsidR="006E1587" w:rsidRDefault="006E1587" w:rsidP="006E1587">
      <w:pPr>
        <w:pStyle w:val="ListParagraph"/>
      </w:pPr>
    </w:p>
    <w:p w14:paraId="4D924636" w14:textId="69C08D67" w:rsidR="00555C8D" w:rsidRPr="00555C8D" w:rsidRDefault="00971EF6" w:rsidP="00653375">
      <w:pPr>
        <w:pStyle w:val="ListParagraph"/>
        <w:numPr>
          <w:ilvl w:val="1"/>
          <w:numId w:val="26"/>
        </w:numPr>
      </w:pPr>
      <w:r>
        <w:t>The NIHRC</w:t>
      </w:r>
      <w:r w:rsidR="00555C8D" w:rsidRPr="00555C8D">
        <w:t xml:space="preserve"> recognises that the Bill as introduced widely adopts recommendations put forward by the Commission within its </w:t>
      </w:r>
      <w:r>
        <w:t xml:space="preserve">previous </w:t>
      </w:r>
      <w:r w:rsidR="00555C8D" w:rsidRPr="00555C8D">
        <w:t xml:space="preserve">consultation response. </w:t>
      </w:r>
      <w:r w:rsidR="006E1587">
        <w:t xml:space="preserve">The Commission welcomes the introduction of Stalking Prevention Orders and the </w:t>
      </w:r>
      <w:r w:rsidR="003215ED">
        <w:t xml:space="preserve">definition of what constitutes </w:t>
      </w:r>
      <w:r w:rsidR="007F07EC">
        <w:t>an off</w:t>
      </w:r>
      <w:r w:rsidR="003215ED">
        <w:t>ence of stalking as non-exhaustive</w:t>
      </w:r>
      <w:r w:rsidR="001E4962">
        <w:t xml:space="preserve"> and</w:t>
      </w:r>
      <w:r>
        <w:t xml:space="preserve"> inclusive</w:t>
      </w:r>
      <w:r w:rsidR="003215ED">
        <w:t xml:space="preserve">. The Commission further welcomes the inclusion of cyber stalking within the scope of the </w:t>
      </w:r>
      <w:r w:rsidR="001E4962">
        <w:t>legislation which is a particular growing concern</w:t>
      </w:r>
      <w:r w:rsidR="003215ED">
        <w:t xml:space="preserve">. </w:t>
      </w:r>
    </w:p>
    <w:p w14:paraId="7F9C5975" w14:textId="77777777" w:rsidR="00947E8B" w:rsidRDefault="00947E8B" w:rsidP="00947E8B">
      <w:pPr>
        <w:pStyle w:val="ListParagraph"/>
      </w:pPr>
    </w:p>
    <w:p w14:paraId="2C20E786" w14:textId="77777777" w:rsidR="00947E8B" w:rsidRDefault="00947E8B" w:rsidP="00653375">
      <w:pPr>
        <w:pStyle w:val="ListParagraph"/>
        <w:numPr>
          <w:ilvl w:val="1"/>
          <w:numId w:val="26"/>
        </w:numPr>
      </w:pPr>
      <w:r>
        <w:t xml:space="preserve">The NIHRC </w:t>
      </w:r>
      <w:r w:rsidR="006E1587">
        <w:t xml:space="preserve">recognises </w:t>
      </w:r>
      <w:r>
        <w:t xml:space="preserve">the introduction of the Prevention against Stalking </w:t>
      </w:r>
    </w:p>
    <w:p w14:paraId="055EC9A3" w14:textId="77777777" w:rsidR="00947E8B" w:rsidRDefault="006E1587" w:rsidP="00947E8B">
      <w:pPr>
        <w:pStyle w:val="ListParagraph"/>
      </w:pPr>
      <w:r>
        <w:lastRenderedPageBreak/>
        <w:t>Bill</w:t>
      </w:r>
      <w:r w:rsidR="00947E8B">
        <w:t xml:space="preserve"> as a step in the right direction towards implementing the</w:t>
      </w:r>
    </w:p>
    <w:p w14:paraId="206A3068" w14:textId="77777777" w:rsidR="00947E8B" w:rsidRDefault="00947E8B" w:rsidP="00947E8B">
      <w:pPr>
        <w:pStyle w:val="ListParagraph"/>
      </w:pPr>
      <w:r>
        <w:t>Istanbul Convention.</w:t>
      </w:r>
    </w:p>
    <w:p w14:paraId="24CFD67B" w14:textId="77777777" w:rsidR="00947E8B" w:rsidRPr="00555C8D" w:rsidRDefault="00947E8B" w:rsidP="00947E8B">
      <w:pPr>
        <w:pStyle w:val="ListParagraph"/>
        <w:rPr>
          <w:b/>
        </w:rPr>
      </w:pPr>
    </w:p>
    <w:p w14:paraId="5463F836" w14:textId="77777777" w:rsidR="00947E8B" w:rsidRPr="00555C8D" w:rsidRDefault="00947E8B" w:rsidP="00653375">
      <w:pPr>
        <w:pStyle w:val="ListParagraph"/>
        <w:numPr>
          <w:ilvl w:val="1"/>
          <w:numId w:val="26"/>
        </w:numPr>
        <w:rPr>
          <w:b/>
        </w:rPr>
      </w:pPr>
      <w:r w:rsidRPr="00555C8D">
        <w:rPr>
          <w:b/>
        </w:rPr>
        <w:t>The NIHRC continues to call on the UK Government to ratify the</w:t>
      </w:r>
    </w:p>
    <w:p w14:paraId="1A360D0E" w14:textId="77777777" w:rsidR="00947E8B" w:rsidRPr="00555C8D" w:rsidRDefault="00947E8B" w:rsidP="00947E8B">
      <w:pPr>
        <w:pStyle w:val="ListParagraph"/>
        <w:rPr>
          <w:b/>
        </w:rPr>
      </w:pPr>
      <w:r w:rsidRPr="00555C8D">
        <w:rPr>
          <w:b/>
        </w:rPr>
        <w:t>Istanbul Convention and advises the Department to continue to</w:t>
      </w:r>
    </w:p>
    <w:p w14:paraId="269F98F8" w14:textId="77777777" w:rsidR="00080EC0" w:rsidRPr="00555C8D" w:rsidRDefault="00947E8B" w:rsidP="00947E8B">
      <w:pPr>
        <w:pStyle w:val="ListParagraph"/>
        <w:rPr>
          <w:b/>
        </w:rPr>
      </w:pPr>
      <w:r w:rsidRPr="00555C8D">
        <w:rPr>
          <w:b/>
        </w:rPr>
        <w:t xml:space="preserve">work with the UK Government on achieving this goal. </w:t>
      </w:r>
    </w:p>
    <w:p w14:paraId="53BC357D" w14:textId="77777777" w:rsidR="006D4136" w:rsidRPr="008113D8" w:rsidRDefault="006D4136" w:rsidP="008113D8">
      <w:pPr>
        <w:pStyle w:val="ListParagraph"/>
        <w:spacing w:before="24" w:after="24"/>
      </w:pPr>
    </w:p>
    <w:p w14:paraId="765CDC9D" w14:textId="77777777" w:rsidR="00F24633" w:rsidRDefault="00F24633" w:rsidP="00653375">
      <w:pPr>
        <w:pStyle w:val="ListParagraph"/>
        <w:numPr>
          <w:ilvl w:val="1"/>
          <w:numId w:val="26"/>
        </w:numPr>
        <w:spacing w:before="24" w:after="24"/>
      </w:pPr>
      <w:r>
        <w:t>However, the Commission would highlight further steps the Department needs to take</w:t>
      </w:r>
      <w:r w:rsidRPr="00F24633">
        <w:t xml:space="preserve"> </w:t>
      </w:r>
      <w:r>
        <w:t xml:space="preserve">in regards to developing </w:t>
      </w:r>
      <w:r w:rsidRPr="00F24633">
        <w:t xml:space="preserve">legislation relating to violence that disproportionately impacts </w:t>
      </w:r>
      <w:r>
        <w:t xml:space="preserve">on </w:t>
      </w:r>
      <w:r w:rsidRPr="00F24633">
        <w:t>women</w:t>
      </w:r>
      <w:r>
        <w:t xml:space="preserve"> and girls to ensure full compliance with the Istanbul Convention and the </w:t>
      </w:r>
      <w:r w:rsidRPr="00F24633">
        <w:t>UN C</w:t>
      </w:r>
      <w:r>
        <w:t xml:space="preserve">onvention of </w:t>
      </w:r>
      <w:r w:rsidRPr="00F24633">
        <w:t>E</w:t>
      </w:r>
      <w:r>
        <w:t xml:space="preserve">limination of </w:t>
      </w:r>
      <w:r w:rsidRPr="00F24633">
        <w:t>D</w:t>
      </w:r>
      <w:r>
        <w:t xml:space="preserve">iscrimination against </w:t>
      </w:r>
      <w:r w:rsidRPr="00F24633">
        <w:t>W</w:t>
      </w:r>
      <w:r>
        <w:t>omen</w:t>
      </w:r>
      <w:r w:rsidRPr="00F24633">
        <w:t>.</w:t>
      </w:r>
      <w:r w:rsidR="007F07EC">
        <w:t xml:space="preserve"> </w:t>
      </w:r>
    </w:p>
    <w:p w14:paraId="63887BED" w14:textId="77777777" w:rsidR="00A94E42" w:rsidRDefault="00A94E42" w:rsidP="00A94E42">
      <w:pPr>
        <w:pStyle w:val="ListParagraph"/>
        <w:spacing w:before="24" w:after="24"/>
      </w:pPr>
    </w:p>
    <w:p w14:paraId="06072DE9" w14:textId="77777777" w:rsidR="00A94E42" w:rsidRDefault="00A94E42" w:rsidP="00653375">
      <w:pPr>
        <w:pStyle w:val="ListParagraph"/>
        <w:numPr>
          <w:ilvl w:val="1"/>
          <w:numId w:val="26"/>
        </w:numPr>
      </w:pPr>
      <w:r w:rsidRPr="00A94E42">
        <w:t xml:space="preserve">Following the introduction of the Bill the Commission would advise that it must be followed by training across the criminal justice system and awareness raising for the wider public. </w:t>
      </w:r>
    </w:p>
    <w:p w14:paraId="5C78EBF4" w14:textId="77777777" w:rsidR="007A061B" w:rsidRPr="007A061B" w:rsidRDefault="007A061B" w:rsidP="007A061B">
      <w:pPr>
        <w:pStyle w:val="ListParagraph"/>
        <w:rPr>
          <w:b/>
        </w:rPr>
      </w:pPr>
    </w:p>
    <w:p w14:paraId="2600E534" w14:textId="77777777" w:rsidR="007A061B" w:rsidRDefault="007A061B" w:rsidP="00653375">
      <w:pPr>
        <w:pStyle w:val="ListParagraph"/>
        <w:numPr>
          <w:ilvl w:val="1"/>
          <w:numId w:val="26"/>
        </w:numPr>
      </w:pPr>
      <w:r>
        <w:t xml:space="preserve">The NIHRC </w:t>
      </w:r>
      <w:r w:rsidRPr="007A061B">
        <w:t>continues to recommend that the Department implement the recommendations of the Gillen Review.</w:t>
      </w:r>
      <w:r>
        <w:t xml:space="preserve"> Of particular relevance to the implementation of the Prevention of Stalking Bill would be </w:t>
      </w:r>
      <w:r w:rsidRPr="007A061B">
        <w:t xml:space="preserve">Recommendation </w:t>
      </w:r>
      <w:r>
        <w:t xml:space="preserve">13 of the Gillen Review states that: </w:t>
      </w:r>
    </w:p>
    <w:p w14:paraId="0B65D582" w14:textId="77777777" w:rsidR="007A061B" w:rsidRDefault="007A061B" w:rsidP="007A061B">
      <w:pPr>
        <w:pStyle w:val="ListParagraph"/>
        <w:spacing w:before="24" w:after="24"/>
      </w:pPr>
    </w:p>
    <w:p w14:paraId="5CBC98FE" w14:textId="34FE241D" w:rsidR="00A94E42" w:rsidRDefault="007A061B" w:rsidP="00A94E42">
      <w:pPr>
        <w:pStyle w:val="Quote"/>
        <w:spacing w:before="24" w:after="24"/>
      </w:pPr>
      <w:r w:rsidRPr="007A061B">
        <w:t>The Judicial Studies Board, the Bar Council and the Law Society should afford a higher priority to training and awareness from outside agencies on such matters as the trauma suffered by victims including children, rape mythology, jury misconceptions and jury guidance. Training should also include topics such as under-reporting and the reasons around withdrawal of  complainants from the process of sexual offences, and how best to approach the cross-examination of children and vulnerable witnesses.</w:t>
      </w:r>
      <w:r>
        <w:rPr>
          <w:rStyle w:val="FootnoteReference"/>
        </w:rPr>
        <w:footnoteReference w:id="24"/>
      </w:r>
    </w:p>
    <w:p w14:paraId="14BC3884" w14:textId="77777777" w:rsidR="00235098" w:rsidRPr="00235098" w:rsidRDefault="00235098" w:rsidP="00B16782"/>
    <w:p w14:paraId="61D4A5FB" w14:textId="1AFDA5A0" w:rsidR="005D20BC" w:rsidRPr="005D20BC" w:rsidRDefault="005D20BC" w:rsidP="00653375">
      <w:pPr>
        <w:pStyle w:val="ListParagraph"/>
        <w:numPr>
          <w:ilvl w:val="1"/>
          <w:numId w:val="26"/>
        </w:numPr>
      </w:pPr>
      <w:r>
        <w:t>The Commission acknowledges the Minister of Justice’s recent reference to implementing the Gillen Review recommendations in her statement on Civil Justice Modernisation.</w:t>
      </w:r>
      <w:r w:rsidR="00235098">
        <w:rPr>
          <w:rStyle w:val="FootnoteReference"/>
        </w:rPr>
        <w:footnoteReference w:id="25"/>
      </w:r>
    </w:p>
    <w:p w14:paraId="4A462E07" w14:textId="77777777" w:rsidR="007A061B" w:rsidRPr="007A061B" w:rsidRDefault="007A061B" w:rsidP="007A061B">
      <w:pPr>
        <w:pStyle w:val="ListParagraph"/>
        <w:rPr>
          <w:b/>
        </w:rPr>
      </w:pPr>
    </w:p>
    <w:p w14:paraId="01608FA6" w14:textId="73FE3698" w:rsidR="00A94E42" w:rsidRDefault="00A94E42" w:rsidP="00653375">
      <w:pPr>
        <w:pStyle w:val="ListParagraph"/>
        <w:numPr>
          <w:ilvl w:val="1"/>
          <w:numId w:val="26"/>
        </w:numPr>
        <w:rPr>
          <w:b/>
        </w:rPr>
      </w:pPr>
      <w:r w:rsidRPr="00A94E42">
        <w:rPr>
          <w:b/>
        </w:rPr>
        <w:t>The NIHRC continues to cal</w:t>
      </w:r>
      <w:r>
        <w:rPr>
          <w:b/>
        </w:rPr>
        <w:t>l on the Department to</w:t>
      </w:r>
      <w:r w:rsidR="005D20BC">
        <w:rPr>
          <w:b/>
        </w:rPr>
        <w:t xml:space="preserve"> be effectively resourced in order to fully</w:t>
      </w:r>
      <w:r>
        <w:rPr>
          <w:b/>
        </w:rPr>
        <w:t xml:space="preserve"> </w:t>
      </w:r>
      <w:r w:rsidRPr="00A94E42">
        <w:rPr>
          <w:b/>
        </w:rPr>
        <w:t>implement the Gillen Report Recommendations</w:t>
      </w:r>
      <w:r>
        <w:rPr>
          <w:b/>
        </w:rPr>
        <w:t>.</w:t>
      </w:r>
    </w:p>
    <w:p w14:paraId="70738342" w14:textId="77777777" w:rsidR="00A94E42" w:rsidRPr="00A94E42" w:rsidRDefault="00A94E42" w:rsidP="00A94E42">
      <w:pPr>
        <w:pStyle w:val="ListParagraph"/>
        <w:rPr>
          <w:b/>
        </w:rPr>
      </w:pPr>
    </w:p>
    <w:p w14:paraId="1A7F5E69" w14:textId="567E8FA9" w:rsidR="00A94E42" w:rsidRDefault="00A94E42" w:rsidP="00653375">
      <w:pPr>
        <w:pStyle w:val="ListParagraph"/>
        <w:numPr>
          <w:ilvl w:val="1"/>
          <w:numId w:val="26"/>
        </w:numPr>
        <w:rPr>
          <w:b/>
        </w:rPr>
      </w:pPr>
      <w:r w:rsidRPr="00A94E42">
        <w:rPr>
          <w:b/>
        </w:rPr>
        <w:t>The NIHRC recommends the Department consider a public awareness campaign to raise awareness of what constitutes the offence</w:t>
      </w:r>
      <w:r w:rsidR="005D20BC">
        <w:rPr>
          <w:b/>
        </w:rPr>
        <w:t xml:space="preserve"> of</w:t>
      </w:r>
      <w:r w:rsidRPr="00A94E42">
        <w:rPr>
          <w:b/>
        </w:rPr>
        <w:t xml:space="preserve"> stalking and the consequences of committing the offence. </w:t>
      </w:r>
    </w:p>
    <w:p w14:paraId="2355A2A9" w14:textId="77777777" w:rsidR="00A94E42" w:rsidRPr="00A94E42" w:rsidRDefault="00A94E42" w:rsidP="00A94E42">
      <w:pPr>
        <w:pStyle w:val="ListParagraph"/>
        <w:spacing w:before="24" w:after="24"/>
        <w:rPr>
          <w:b/>
        </w:rPr>
      </w:pPr>
    </w:p>
    <w:p w14:paraId="274DEFEF" w14:textId="77777777" w:rsidR="00A94E42" w:rsidRPr="00A94E42" w:rsidRDefault="00A94E42" w:rsidP="00653375">
      <w:pPr>
        <w:pStyle w:val="ListParagraph"/>
        <w:numPr>
          <w:ilvl w:val="1"/>
          <w:numId w:val="26"/>
        </w:numPr>
        <w:spacing w:before="24" w:after="24"/>
      </w:pPr>
      <w:r w:rsidRPr="00A94E42">
        <w:t xml:space="preserve">Article 40 of the Istanbul Convention requires Parties to: </w:t>
      </w:r>
    </w:p>
    <w:p w14:paraId="73FA62B0" w14:textId="77777777" w:rsidR="00A94E42" w:rsidRPr="00A94E42" w:rsidRDefault="00A94E42" w:rsidP="00A94E42">
      <w:pPr>
        <w:pStyle w:val="ListParagraph"/>
        <w:spacing w:before="24" w:after="24"/>
      </w:pPr>
    </w:p>
    <w:p w14:paraId="67A8E2FC" w14:textId="77777777" w:rsidR="00A94E42" w:rsidRDefault="00A94E42" w:rsidP="00A94E42">
      <w:pPr>
        <w:pStyle w:val="Quote"/>
        <w:spacing w:before="24" w:after="24"/>
      </w:pPr>
      <w:r w:rsidRPr="00A94E42">
        <w:t>take the necessary legislative or other measures to ensure that any form of unwanted verbal, non-verbal or physical conduct of a sexual nature with the purpose or effect of violating the dignity of a person, in particular when creating an intimidating, hostile, degrading, humiliating or offensive environment, is subject to criminal or other legal sanction.</w:t>
      </w:r>
    </w:p>
    <w:p w14:paraId="5518D0DC" w14:textId="77777777" w:rsidR="00A94E42" w:rsidRPr="00A94E42" w:rsidRDefault="00A94E42" w:rsidP="00A94E42"/>
    <w:p w14:paraId="341176AB" w14:textId="3C1677DE" w:rsidR="00A94E42" w:rsidRPr="00A94E42" w:rsidRDefault="00A94E42" w:rsidP="00653375">
      <w:pPr>
        <w:pStyle w:val="Quote"/>
        <w:numPr>
          <w:ilvl w:val="1"/>
          <w:numId w:val="26"/>
        </w:numPr>
        <w:spacing w:before="24" w:after="24"/>
      </w:pPr>
      <w:r w:rsidRPr="00A94E42">
        <w:t xml:space="preserve">In England and Wales, the Voyeurism (Offences) Act 2019, which criminalises </w:t>
      </w:r>
      <w:proofErr w:type="spellStart"/>
      <w:r w:rsidRPr="00A94E42">
        <w:t>upskirting</w:t>
      </w:r>
      <w:proofErr w:type="spellEnd"/>
      <w:r w:rsidRPr="00A94E42">
        <w:t xml:space="preserve">, came into force on 12 April 2019. Similar legislative provision has been made in Scotland through the Sexual Offences (Scotland) Act 2009. There are no similar provisions that currently provide for the specific offence of </w:t>
      </w:r>
      <w:proofErr w:type="spellStart"/>
      <w:r w:rsidRPr="00A94E42">
        <w:t>upskirting</w:t>
      </w:r>
      <w:proofErr w:type="spellEnd"/>
      <w:r w:rsidRPr="00A94E42">
        <w:t xml:space="preserve"> in Northern Ireland</w:t>
      </w:r>
      <w:r w:rsidR="005D20BC">
        <w:t xml:space="preserve"> though it can be dealt with under other legislation which is not bespoke</w:t>
      </w:r>
      <w:r w:rsidRPr="00A94E42">
        <w:t>.</w:t>
      </w:r>
    </w:p>
    <w:p w14:paraId="1D02436F" w14:textId="77777777" w:rsidR="00A94E42" w:rsidRDefault="00A94E42" w:rsidP="00A94E42">
      <w:pPr>
        <w:pStyle w:val="ListParagraph"/>
      </w:pPr>
    </w:p>
    <w:p w14:paraId="7AE1AD79" w14:textId="77777777" w:rsidR="001F4559" w:rsidRDefault="007A061B" w:rsidP="00653375">
      <w:pPr>
        <w:pStyle w:val="ListParagraph"/>
        <w:numPr>
          <w:ilvl w:val="1"/>
          <w:numId w:val="26"/>
        </w:numPr>
        <w:rPr>
          <w:b/>
        </w:rPr>
      </w:pPr>
      <w:r w:rsidRPr="00A94E42">
        <w:rPr>
          <w:b/>
        </w:rPr>
        <w:t xml:space="preserve">The NIHRC also continues to recommend the Department introduces a specific criminal offence of </w:t>
      </w:r>
      <w:proofErr w:type="spellStart"/>
      <w:r w:rsidRPr="00A94E42">
        <w:rPr>
          <w:b/>
        </w:rPr>
        <w:t>upskirting</w:t>
      </w:r>
      <w:proofErr w:type="spellEnd"/>
      <w:r w:rsidRPr="00A94E42">
        <w:rPr>
          <w:b/>
        </w:rPr>
        <w:t xml:space="preserve"> in Northern Ireland and ensures effective protection of victims or potential victims without further delay.</w:t>
      </w:r>
    </w:p>
    <w:p w14:paraId="3EC8E4FB" w14:textId="77777777" w:rsidR="00A94E42" w:rsidRPr="00A94E42" w:rsidRDefault="00A94E42" w:rsidP="00A94E42">
      <w:pPr>
        <w:pStyle w:val="ListParagraph"/>
        <w:rPr>
          <w:b/>
        </w:rPr>
      </w:pPr>
    </w:p>
    <w:p w14:paraId="3C054BEC" w14:textId="77777777" w:rsidR="005B195F" w:rsidRDefault="00370547" w:rsidP="00653375">
      <w:pPr>
        <w:pStyle w:val="Heading1"/>
        <w:numPr>
          <w:ilvl w:val="0"/>
          <w:numId w:val="26"/>
        </w:numPr>
        <w:spacing w:before="24" w:after="24"/>
      </w:pPr>
      <w:bookmarkStart w:id="4" w:name="_Toc69458540"/>
      <w:r w:rsidRPr="008113D8">
        <w:t>Specific Clauses of the Bill</w:t>
      </w:r>
      <w:bookmarkEnd w:id="4"/>
      <w:r w:rsidR="00555C8D">
        <w:t xml:space="preserve"> </w:t>
      </w:r>
      <w:r w:rsidRPr="008113D8">
        <w:t xml:space="preserve"> </w:t>
      </w:r>
    </w:p>
    <w:p w14:paraId="323E754D" w14:textId="77777777" w:rsidR="005B195F" w:rsidRDefault="005B195F" w:rsidP="005B195F"/>
    <w:p w14:paraId="2126D946" w14:textId="77777777" w:rsidR="00E104D7" w:rsidRPr="005B195F" w:rsidRDefault="00080EC0" w:rsidP="00653375">
      <w:pPr>
        <w:pStyle w:val="ListParagraph"/>
        <w:numPr>
          <w:ilvl w:val="1"/>
          <w:numId w:val="26"/>
        </w:numPr>
        <w:rPr>
          <w:rFonts w:cstheme="majorBidi"/>
          <w:color w:val="77328A"/>
        </w:rPr>
      </w:pPr>
      <w:r w:rsidRPr="005B195F">
        <w:t>T</w:t>
      </w:r>
      <w:r w:rsidR="00453901" w:rsidRPr="005B195F">
        <w:t xml:space="preserve">he Commission wishes to highlight a number of </w:t>
      </w:r>
      <w:r w:rsidRPr="005B195F">
        <w:t xml:space="preserve">technical issues </w:t>
      </w:r>
      <w:r w:rsidR="00453901" w:rsidRPr="005B195F">
        <w:t>within the Bill that need further consideration to ensure compliance with human rights standards.</w:t>
      </w:r>
    </w:p>
    <w:p w14:paraId="6A6A2526" w14:textId="77777777" w:rsidR="008113D8" w:rsidRPr="008113D8" w:rsidRDefault="008113D8" w:rsidP="008113D8">
      <w:pPr>
        <w:pStyle w:val="Subtitle"/>
        <w:spacing w:before="24" w:after="24"/>
      </w:pPr>
    </w:p>
    <w:p w14:paraId="05201107" w14:textId="77777777" w:rsidR="006D4136" w:rsidRDefault="008113D8" w:rsidP="00E104D7">
      <w:pPr>
        <w:pStyle w:val="Heading2"/>
      </w:pPr>
      <w:bookmarkStart w:id="5" w:name="_Toc69458541"/>
      <w:r w:rsidRPr="008113D8">
        <w:t>Stalking Prevention Orders</w:t>
      </w:r>
      <w:bookmarkEnd w:id="5"/>
    </w:p>
    <w:p w14:paraId="3A39F470" w14:textId="77777777" w:rsidR="00080EC0" w:rsidRDefault="00080EC0" w:rsidP="00080EC0"/>
    <w:p w14:paraId="5C633DAF" w14:textId="21BD7B66" w:rsidR="00837880" w:rsidRDefault="00080EC0" w:rsidP="00653375">
      <w:pPr>
        <w:pStyle w:val="ListParagraph"/>
        <w:numPr>
          <w:ilvl w:val="1"/>
          <w:numId w:val="26"/>
        </w:numPr>
      </w:pPr>
      <w:r>
        <w:t xml:space="preserve">The Commission would highlight that the Stalking Prevention Orders do not </w:t>
      </w:r>
      <w:r w:rsidR="005D20BC">
        <w:t xml:space="preserve">explicitly </w:t>
      </w:r>
      <w:r>
        <w:t>include provision for</w:t>
      </w:r>
      <w:r w:rsidR="00653375">
        <w:t xml:space="preserve"> the potential use of intermediaries</w:t>
      </w:r>
      <w:r>
        <w:t xml:space="preserve"> in stalking. Considering stalking is a form of controlling behaviour it may be possible that </w:t>
      </w:r>
      <w:r w:rsidR="00837880">
        <w:t xml:space="preserve">the perpetrator may procure an individual to </w:t>
      </w:r>
      <w:r w:rsidR="001F4559">
        <w:t xml:space="preserve">carry out </w:t>
      </w:r>
      <w:r w:rsidR="00210D7D">
        <w:t xml:space="preserve">offences on their behalf. </w:t>
      </w:r>
    </w:p>
    <w:p w14:paraId="664249F9" w14:textId="77777777" w:rsidR="00837880" w:rsidRDefault="00837880" w:rsidP="00837880">
      <w:pPr>
        <w:pStyle w:val="ListParagraph"/>
      </w:pPr>
    </w:p>
    <w:p w14:paraId="181CC8C6" w14:textId="16A939BA" w:rsidR="00080EC0" w:rsidRDefault="00080EC0" w:rsidP="00653375">
      <w:pPr>
        <w:pStyle w:val="ListParagraph"/>
        <w:numPr>
          <w:ilvl w:val="1"/>
          <w:numId w:val="26"/>
        </w:numPr>
      </w:pPr>
      <w:r>
        <w:t>The C</w:t>
      </w:r>
      <w:r w:rsidR="00837880">
        <w:t xml:space="preserve">ommission would highlight that </w:t>
      </w:r>
      <w:r w:rsidR="00837880" w:rsidRPr="00837880">
        <w:t>The Protection from Harassment (Northern Ireland) Order 1997</w:t>
      </w:r>
      <w:r w:rsidR="001F4559">
        <w:t xml:space="preserve"> extends to third parties</w:t>
      </w:r>
      <w:r w:rsidR="00235098">
        <w:t xml:space="preserve"> in this regard</w:t>
      </w:r>
      <w:r w:rsidR="001F4559">
        <w:t xml:space="preserve">. </w:t>
      </w:r>
    </w:p>
    <w:p w14:paraId="234F1C50" w14:textId="77777777" w:rsidR="001F4559" w:rsidRDefault="001F4559" w:rsidP="001F4559">
      <w:pPr>
        <w:pStyle w:val="ListParagraph"/>
      </w:pPr>
    </w:p>
    <w:p w14:paraId="2CFDEE5F" w14:textId="77777777" w:rsidR="001F4559" w:rsidRPr="001F4559" w:rsidRDefault="001F4559" w:rsidP="00653375">
      <w:pPr>
        <w:pStyle w:val="ListParagraph"/>
        <w:numPr>
          <w:ilvl w:val="1"/>
          <w:numId w:val="26"/>
        </w:numPr>
        <w:rPr>
          <w:b/>
        </w:rPr>
      </w:pPr>
      <w:r w:rsidRPr="001F4559">
        <w:rPr>
          <w:b/>
        </w:rPr>
        <w:t xml:space="preserve">The NIHRC recommends that </w:t>
      </w:r>
      <w:r w:rsidR="00210D7D">
        <w:rPr>
          <w:b/>
        </w:rPr>
        <w:t xml:space="preserve">the Department consider amending the legislation to include provision for third parties carrying out </w:t>
      </w:r>
      <w:r w:rsidR="003215ED">
        <w:rPr>
          <w:b/>
        </w:rPr>
        <w:t>offenc</w:t>
      </w:r>
      <w:r w:rsidR="006E1587">
        <w:rPr>
          <w:b/>
        </w:rPr>
        <w:t>es on</w:t>
      </w:r>
      <w:r w:rsidR="00210D7D">
        <w:rPr>
          <w:b/>
        </w:rPr>
        <w:t xml:space="preserve"> behalf of the perpetrator. </w:t>
      </w:r>
    </w:p>
    <w:p w14:paraId="24AE8D07" w14:textId="77777777" w:rsidR="00E104D7" w:rsidRDefault="00E104D7" w:rsidP="00E104D7">
      <w:pPr>
        <w:pStyle w:val="ListParagraph"/>
      </w:pPr>
    </w:p>
    <w:p w14:paraId="57650934" w14:textId="6D5E50F9" w:rsidR="00E104D7" w:rsidRDefault="00E104D7" w:rsidP="00653375">
      <w:pPr>
        <w:pStyle w:val="ListParagraph"/>
        <w:numPr>
          <w:ilvl w:val="1"/>
          <w:numId w:val="26"/>
        </w:numPr>
        <w:spacing w:before="24" w:after="24"/>
      </w:pPr>
      <w:r>
        <w:t>Section 8 of the Bill concerns the p</w:t>
      </w:r>
      <w:r w:rsidRPr="00E104D7">
        <w:t>ower to make orders</w:t>
      </w:r>
      <w:r>
        <w:t xml:space="preserve"> and states that it  does not matter whether the acts were carried out in a part of the United Kingdom or elsewhere, or whether they were carried out before or after the coming into operation of this section. The Commission is concerned </w:t>
      </w:r>
      <w:r w:rsidR="005D20BC">
        <w:lastRenderedPageBreak/>
        <w:t>with</w:t>
      </w:r>
      <w:r w:rsidR="00653375">
        <w:t xml:space="preserve"> </w:t>
      </w:r>
      <w:r>
        <w:t>the</w:t>
      </w:r>
      <w:r w:rsidR="00210D7D">
        <w:t xml:space="preserve"> inclusion of offences</w:t>
      </w:r>
      <w:r>
        <w:t xml:space="preserve"> r</w:t>
      </w:r>
      <w:r w:rsidR="00210D7D">
        <w:t xml:space="preserve">etrospect to the enactment of the legislation. </w:t>
      </w:r>
    </w:p>
    <w:p w14:paraId="5A1EEA8D" w14:textId="77777777" w:rsidR="00E104D7" w:rsidRPr="008113D8" w:rsidRDefault="00E104D7" w:rsidP="00E104D7">
      <w:pPr>
        <w:pStyle w:val="ListParagraph"/>
        <w:spacing w:before="24" w:after="24"/>
      </w:pPr>
    </w:p>
    <w:p w14:paraId="6F191B2E" w14:textId="77777777" w:rsidR="003215ED" w:rsidRDefault="003215ED" w:rsidP="00653375">
      <w:pPr>
        <w:pStyle w:val="ListParagraph"/>
        <w:numPr>
          <w:ilvl w:val="1"/>
          <w:numId w:val="26"/>
        </w:numPr>
        <w:spacing w:before="24" w:after="24"/>
      </w:pPr>
      <w:r>
        <w:t xml:space="preserve">The NIHRC would highlight that this engages Article 7 ECHR which provides that: </w:t>
      </w:r>
    </w:p>
    <w:p w14:paraId="3134AC7F" w14:textId="77777777" w:rsidR="003215ED" w:rsidRDefault="003215ED" w:rsidP="003215ED">
      <w:pPr>
        <w:pStyle w:val="ListParagraph"/>
        <w:spacing w:before="24" w:after="24"/>
        <w:ind w:left="0"/>
      </w:pPr>
    </w:p>
    <w:p w14:paraId="4CCA567C" w14:textId="77777777" w:rsidR="003215ED" w:rsidRDefault="003215ED" w:rsidP="003215ED">
      <w:pPr>
        <w:pStyle w:val="Quote"/>
        <w:spacing w:before="24" w:after="24"/>
      </w:pPr>
      <w:r>
        <w:t>No one shall be held guilty of any criminal offence on account of any act or omission which did not constitute a criminal offence under national law at the time when it was committed. Nor shall a heavier penalty be imposed than the one that was applicable at the time the criminal offence was committed.</w:t>
      </w:r>
    </w:p>
    <w:p w14:paraId="09649E6E" w14:textId="77777777" w:rsidR="003215ED" w:rsidRDefault="003215ED" w:rsidP="003215ED">
      <w:pPr>
        <w:pStyle w:val="ListParagraph"/>
      </w:pPr>
    </w:p>
    <w:p w14:paraId="741E8B18" w14:textId="77777777" w:rsidR="00987496" w:rsidRPr="008113D8" w:rsidRDefault="003215ED" w:rsidP="00653375">
      <w:pPr>
        <w:pStyle w:val="ListParagraph"/>
        <w:numPr>
          <w:ilvl w:val="1"/>
          <w:numId w:val="26"/>
        </w:numPr>
        <w:spacing w:before="24" w:after="24"/>
      </w:pPr>
      <w:r>
        <w:t xml:space="preserve">In this regard </w:t>
      </w:r>
      <w:r w:rsidR="00F3412C" w:rsidRPr="008113D8">
        <w:t>Article 7 ECHR unconditionally prohibits the retrospective application of the criminal law where it is to an accused’s disadvantage.</w:t>
      </w:r>
      <w:r>
        <w:rPr>
          <w:rStyle w:val="FootnoteReference"/>
        </w:rPr>
        <w:footnoteReference w:id="26"/>
      </w:r>
      <w:r w:rsidR="00971EF6">
        <w:t xml:space="preserve">  </w:t>
      </w:r>
      <w:r w:rsidR="00F3412C" w:rsidRPr="008113D8">
        <w:t xml:space="preserve">The principle of non-retroactivity of criminal law applies both to the provisions defining the offence and to those setting the penalties incurred. </w:t>
      </w:r>
    </w:p>
    <w:p w14:paraId="52CB0D35" w14:textId="77777777" w:rsidR="00987496" w:rsidRPr="008113D8" w:rsidRDefault="00987496" w:rsidP="008113D8">
      <w:pPr>
        <w:pStyle w:val="ListParagraph"/>
        <w:spacing w:before="24" w:after="24"/>
      </w:pPr>
    </w:p>
    <w:p w14:paraId="52C67CE6" w14:textId="77777777" w:rsidR="00F3412C" w:rsidRDefault="00F3412C" w:rsidP="00653375">
      <w:pPr>
        <w:pStyle w:val="ListParagraph"/>
        <w:numPr>
          <w:ilvl w:val="1"/>
          <w:numId w:val="26"/>
        </w:numPr>
        <w:spacing w:before="24" w:after="24"/>
      </w:pPr>
      <w:r w:rsidRPr="008113D8">
        <w:t xml:space="preserve">The principle of non-retroactivity is infringed in cases of retroactive application of legislative provisions to offences committed before those provisions came into force. </w:t>
      </w:r>
      <w:r w:rsidR="00210D7D">
        <w:t>Therefore, i</w:t>
      </w:r>
      <w:r w:rsidRPr="008113D8">
        <w:t xml:space="preserve">t is prohibited to extend the scope of offences to acts which previously were not criminal offences. </w:t>
      </w:r>
    </w:p>
    <w:p w14:paraId="23B26ACF" w14:textId="77777777" w:rsidR="00E104D7" w:rsidRDefault="00E104D7" w:rsidP="00E104D7">
      <w:pPr>
        <w:pStyle w:val="ListParagraph"/>
      </w:pPr>
    </w:p>
    <w:p w14:paraId="0EB84638" w14:textId="7AF98989" w:rsidR="00E104D7" w:rsidRDefault="005D20BC" w:rsidP="00653375">
      <w:pPr>
        <w:pStyle w:val="ListParagraph"/>
        <w:numPr>
          <w:ilvl w:val="1"/>
          <w:numId w:val="26"/>
        </w:numPr>
        <w:spacing w:before="24" w:after="24"/>
      </w:pPr>
      <w:r>
        <w:t>T</w:t>
      </w:r>
      <w:r w:rsidR="006E1587">
        <w:t>he NIHRC</w:t>
      </w:r>
      <w:r w:rsidR="00210D7D">
        <w:t xml:space="preserve"> is </w:t>
      </w:r>
      <w:r w:rsidR="00E104D7">
        <w:t xml:space="preserve">concerned that </w:t>
      </w:r>
      <w:r w:rsidR="007F07EC">
        <w:t xml:space="preserve">the Bill currently provides that </w:t>
      </w:r>
      <w:r w:rsidR="00E104D7">
        <w:t xml:space="preserve">a Stalking Prevention Order can be sought </w:t>
      </w:r>
      <w:r w:rsidR="00210D7D">
        <w:t>for</w:t>
      </w:r>
      <w:r w:rsidR="00E104D7">
        <w:t xml:space="preserve"> behaviour before the commencement of legislation even if there is no evidence of it having continued after the change in law. </w:t>
      </w:r>
    </w:p>
    <w:p w14:paraId="4E6A7C9A" w14:textId="77777777" w:rsidR="00E104D7" w:rsidRDefault="00E104D7" w:rsidP="00E104D7">
      <w:pPr>
        <w:pStyle w:val="ListParagraph"/>
      </w:pPr>
    </w:p>
    <w:p w14:paraId="663B0ADE" w14:textId="08B26704" w:rsidR="006E1587" w:rsidRDefault="00E104D7" w:rsidP="00653375">
      <w:pPr>
        <w:pStyle w:val="ListParagraph"/>
        <w:numPr>
          <w:ilvl w:val="1"/>
          <w:numId w:val="26"/>
        </w:numPr>
        <w:spacing w:before="24" w:after="24"/>
      </w:pPr>
      <w:r>
        <w:t>The Commission would propose that the law must be satisfied after commencement of the legislation</w:t>
      </w:r>
      <w:r w:rsidR="007F07EC">
        <w:t xml:space="preserve"> to ensure compliance with Article 7 ECHR</w:t>
      </w:r>
      <w:r>
        <w:t>.</w:t>
      </w:r>
      <w:r w:rsidR="00210D7D">
        <w:t xml:space="preserve"> However, on meeting this requirement </w:t>
      </w:r>
      <w:r w:rsidR="007F07EC">
        <w:t>the Commission suggest</w:t>
      </w:r>
      <w:r w:rsidR="00712493">
        <w:t>s</w:t>
      </w:r>
      <w:r w:rsidR="007F07EC">
        <w:t xml:space="preserve"> </w:t>
      </w:r>
      <w:r w:rsidR="00712493">
        <w:t xml:space="preserve">that </w:t>
      </w:r>
      <w:r>
        <w:t xml:space="preserve">consideration of </w:t>
      </w:r>
      <w:r w:rsidR="005D20BC">
        <w:t xml:space="preserve">a </w:t>
      </w:r>
      <w:r>
        <w:t>course of conduct</w:t>
      </w:r>
      <w:r w:rsidR="00210D7D">
        <w:t xml:space="preserve"> prior to the </w:t>
      </w:r>
      <w:r w:rsidR="007F07EC">
        <w:t xml:space="preserve">change in </w:t>
      </w:r>
      <w:proofErr w:type="spellStart"/>
      <w:r w:rsidR="007F07EC">
        <w:t>legislation</w:t>
      </w:r>
      <w:r w:rsidR="005D20BC">
        <w:t>can</w:t>
      </w:r>
      <w:proofErr w:type="spellEnd"/>
      <w:r w:rsidR="005D20BC">
        <w:t xml:space="preserve"> then be taken into account.</w:t>
      </w:r>
      <w:r w:rsidR="00210D7D">
        <w:t>.</w:t>
      </w:r>
    </w:p>
    <w:p w14:paraId="021CC836" w14:textId="77777777" w:rsidR="00210D7D" w:rsidRPr="00210D7D" w:rsidRDefault="00210D7D" w:rsidP="00210D7D">
      <w:pPr>
        <w:pStyle w:val="ListParagraph"/>
        <w:rPr>
          <w:b/>
        </w:rPr>
      </w:pPr>
    </w:p>
    <w:p w14:paraId="25395FC3" w14:textId="77777777" w:rsidR="00210D7D" w:rsidRPr="00210D7D" w:rsidRDefault="00210D7D" w:rsidP="00653375">
      <w:pPr>
        <w:pStyle w:val="ListParagraph"/>
        <w:numPr>
          <w:ilvl w:val="1"/>
          <w:numId w:val="26"/>
        </w:numPr>
        <w:spacing w:before="24" w:after="24"/>
        <w:rPr>
          <w:b/>
        </w:rPr>
      </w:pPr>
      <w:r w:rsidRPr="00210D7D">
        <w:rPr>
          <w:b/>
        </w:rPr>
        <w:t xml:space="preserve">The NIHRC recommends the Department consider </w:t>
      </w:r>
      <w:r w:rsidR="006E1587">
        <w:rPr>
          <w:b/>
        </w:rPr>
        <w:t xml:space="preserve">amending </w:t>
      </w:r>
      <w:r w:rsidR="00797A5D">
        <w:rPr>
          <w:b/>
        </w:rPr>
        <w:t xml:space="preserve">the Bill to clarify that behaviour amounting to stalking offences must be satisfied after the change in legislation for the application for a Stalking Prevention Order. Only then can previous behaviour be considered retrospective of the change in law. </w:t>
      </w:r>
    </w:p>
    <w:p w14:paraId="251B92C3" w14:textId="77777777" w:rsidR="00210D7D" w:rsidRDefault="00210D7D" w:rsidP="00210D7D">
      <w:pPr>
        <w:pStyle w:val="ListParagraph"/>
        <w:spacing w:before="24" w:after="24"/>
      </w:pPr>
    </w:p>
    <w:p w14:paraId="2DDA01EE" w14:textId="77777777" w:rsidR="00E104D7" w:rsidRPr="008113D8" w:rsidRDefault="00E104D7" w:rsidP="00E104D7">
      <w:pPr>
        <w:pStyle w:val="Heading2"/>
      </w:pPr>
      <w:bookmarkStart w:id="6" w:name="_Toc69458542"/>
      <w:r>
        <w:t>Rehabilitation of Offenders</w:t>
      </w:r>
      <w:bookmarkEnd w:id="6"/>
      <w:r>
        <w:t xml:space="preserve"> </w:t>
      </w:r>
    </w:p>
    <w:p w14:paraId="1F88DF0E" w14:textId="77777777" w:rsidR="00370547" w:rsidRPr="00370547" w:rsidRDefault="00370547" w:rsidP="00370547"/>
    <w:p w14:paraId="60E1DC86" w14:textId="735F5777" w:rsidR="00555C8D" w:rsidRDefault="00E104D7" w:rsidP="00653375">
      <w:pPr>
        <w:pStyle w:val="BasicParagraph"/>
        <w:numPr>
          <w:ilvl w:val="1"/>
          <w:numId w:val="26"/>
        </w:numPr>
        <w:suppressAutoHyphens/>
        <w:rPr>
          <w:rFonts w:ascii="Verdana" w:hAnsi="Verdana" w:cs="Arial"/>
          <w:color w:val="232120"/>
        </w:rPr>
      </w:pPr>
      <w:r>
        <w:rPr>
          <w:rFonts w:ascii="Verdana" w:hAnsi="Verdana" w:cs="Arial"/>
          <w:color w:val="232120"/>
        </w:rPr>
        <w:t xml:space="preserve">The Commission is concerned </w:t>
      </w:r>
      <w:r w:rsidR="005D20BC">
        <w:rPr>
          <w:rFonts w:ascii="Verdana" w:hAnsi="Verdana" w:cs="Arial"/>
          <w:color w:val="232120"/>
        </w:rPr>
        <w:t>with</w:t>
      </w:r>
      <w:r w:rsidR="00653375">
        <w:rPr>
          <w:rFonts w:ascii="Verdana" w:hAnsi="Verdana" w:cs="Arial"/>
          <w:color w:val="232120"/>
        </w:rPr>
        <w:t xml:space="preserve"> the</w:t>
      </w:r>
      <w:r w:rsidR="005564D9">
        <w:rPr>
          <w:rFonts w:ascii="Verdana" w:hAnsi="Verdana" w:cs="Arial"/>
          <w:color w:val="232120"/>
        </w:rPr>
        <w:t xml:space="preserve"> </w:t>
      </w:r>
      <w:r w:rsidR="00861B94">
        <w:rPr>
          <w:rFonts w:ascii="Verdana" w:hAnsi="Verdana" w:cs="Arial"/>
          <w:color w:val="232120"/>
        </w:rPr>
        <w:t>lack of clarit</w:t>
      </w:r>
      <w:r w:rsidR="007F07EC">
        <w:rPr>
          <w:rFonts w:ascii="Verdana" w:hAnsi="Verdana" w:cs="Arial"/>
          <w:color w:val="232120"/>
        </w:rPr>
        <w:t>y regardi</w:t>
      </w:r>
      <w:r w:rsidR="00712493">
        <w:rPr>
          <w:rFonts w:ascii="Verdana" w:hAnsi="Verdana" w:cs="Arial"/>
          <w:color w:val="232120"/>
        </w:rPr>
        <w:t xml:space="preserve">ng </w:t>
      </w:r>
      <w:r w:rsidR="001E4962">
        <w:rPr>
          <w:rFonts w:ascii="Verdana" w:hAnsi="Verdana" w:cs="Arial"/>
          <w:color w:val="232120"/>
        </w:rPr>
        <w:t xml:space="preserve">the </w:t>
      </w:r>
      <w:r w:rsidR="00712493">
        <w:rPr>
          <w:rFonts w:ascii="Verdana" w:hAnsi="Verdana" w:cs="Arial"/>
          <w:color w:val="232120"/>
        </w:rPr>
        <w:t xml:space="preserve">rehabilitation for offenders who have </w:t>
      </w:r>
      <w:r w:rsidR="007F07EC">
        <w:rPr>
          <w:rFonts w:ascii="Verdana" w:hAnsi="Verdana" w:cs="Arial"/>
          <w:color w:val="232120"/>
        </w:rPr>
        <w:t>committed stalking offences.</w:t>
      </w:r>
      <w:r w:rsidR="00712493">
        <w:rPr>
          <w:rFonts w:ascii="Verdana" w:hAnsi="Verdana" w:cs="Arial"/>
          <w:color w:val="232120"/>
        </w:rPr>
        <w:t xml:space="preserve"> </w:t>
      </w:r>
      <w:r w:rsidR="007F07EC">
        <w:rPr>
          <w:rFonts w:ascii="Verdana" w:hAnsi="Verdana" w:cs="Arial"/>
          <w:color w:val="232120"/>
        </w:rPr>
        <w:t xml:space="preserve"> </w:t>
      </w:r>
      <w:r w:rsidR="00861B94">
        <w:rPr>
          <w:rFonts w:ascii="Verdana" w:hAnsi="Verdana" w:cs="Arial"/>
          <w:color w:val="232120"/>
        </w:rPr>
        <w:t xml:space="preserve"> </w:t>
      </w:r>
    </w:p>
    <w:p w14:paraId="53D5E29C" w14:textId="77777777" w:rsidR="001F4559" w:rsidRDefault="001F4559" w:rsidP="001F4559">
      <w:pPr>
        <w:pStyle w:val="BasicParagraph"/>
        <w:suppressAutoHyphens/>
        <w:ind w:left="720"/>
        <w:rPr>
          <w:rFonts w:ascii="Verdana" w:hAnsi="Verdana" w:cs="Arial"/>
          <w:color w:val="232120"/>
        </w:rPr>
      </w:pPr>
    </w:p>
    <w:p w14:paraId="4F636405" w14:textId="24EC9D93" w:rsidR="005564D9" w:rsidRDefault="001F4559" w:rsidP="00653375">
      <w:pPr>
        <w:pStyle w:val="BasicParagraph"/>
        <w:numPr>
          <w:ilvl w:val="1"/>
          <w:numId w:val="26"/>
        </w:numPr>
        <w:suppressAutoHyphens/>
        <w:rPr>
          <w:rFonts w:ascii="Verdana" w:hAnsi="Verdana" w:cs="Arial"/>
          <w:color w:val="232120"/>
        </w:rPr>
      </w:pPr>
      <w:r>
        <w:rPr>
          <w:rFonts w:ascii="Verdana" w:hAnsi="Verdana" w:cs="Arial"/>
          <w:color w:val="232120"/>
        </w:rPr>
        <w:t>The NI</w:t>
      </w:r>
      <w:r w:rsidR="00712493">
        <w:rPr>
          <w:rFonts w:ascii="Verdana" w:hAnsi="Verdana" w:cs="Arial"/>
          <w:color w:val="232120"/>
        </w:rPr>
        <w:t xml:space="preserve">HRC </w:t>
      </w:r>
      <w:r w:rsidR="005564D9">
        <w:rPr>
          <w:rFonts w:ascii="Verdana" w:hAnsi="Verdana" w:cs="Arial"/>
          <w:color w:val="232120"/>
        </w:rPr>
        <w:t>would advise the Department provides whether</w:t>
      </w:r>
      <w:r>
        <w:rPr>
          <w:rFonts w:ascii="Verdana" w:hAnsi="Verdana" w:cs="Arial"/>
          <w:color w:val="232120"/>
        </w:rPr>
        <w:t xml:space="preserve"> </w:t>
      </w:r>
      <w:r w:rsidR="00712493">
        <w:rPr>
          <w:rFonts w:ascii="Verdana" w:hAnsi="Verdana" w:cs="Arial"/>
          <w:color w:val="232120"/>
        </w:rPr>
        <w:t xml:space="preserve">stalking </w:t>
      </w:r>
      <w:r w:rsidR="00712493">
        <w:rPr>
          <w:rFonts w:ascii="Verdana" w:hAnsi="Verdana" w:cs="Arial"/>
          <w:color w:val="232120"/>
        </w:rPr>
        <w:lastRenderedPageBreak/>
        <w:t xml:space="preserve">offences will be classified as a general offence under the </w:t>
      </w:r>
      <w:r w:rsidR="005564D9" w:rsidRPr="005564D9">
        <w:rPr>
          <w:rFonts w:ascii="Verdana" w:hAnsi="Verdana" w:cs="Arial"/>
          <w:color w:val="232120"/>
        </w:rPr>
        <w:t>Rehabilitation of Offenders (Northern Ireland) Order 1978</w:t>
      </w:r>
      <w:r w:rsidR="005564D9">
        <w:rPr>
          <w:rFonts w:ascii="Verdana" w:hAnsi="Verdana" w:cs="Arial"/>
          <w:color w:val="232120"/>
        </w:rPr>
        <w:t>. As well as whether having a Stalking Prevention Order will be a spent conviction</w:t>
      </w:r>
      <w:r w:rsidR="005D20BC">
        <w:rPr>
          <w:rFonts w:ascii="Verdana" w:hAnsi="Verdana" w:cs="Arial"/>
          <w:color w:val="232120"/>
        </w:rPr>
        <w:t xml:space="preserve"> or require disclosure for specific employment.</w:t>
      </w:r>
      <w:r w:rsidR="005564D9">
        <w:rPr>
          <w:rFonts w:ascii="Verdana" w:hAnsi="Verdana" w:cs="Arial"/>
          <w:color w:val="232120"/>
        </w:rPr>
        <w:t xml:space="preserve"> </w:t>
      </w:r>
    </w:p>
    <w:p w14:paraId="3300FC7E" w14:textId="77777777" w:rsidR="005564D9" w:rsidRDefault="005564D9" w:rsidP="005564D9">
      <w:pPr>
        <w:pStyle w:val="ListParagraph"/>
        <w:rPr>
          <w:rFonts w:cs="Arial"/>
          <w:color w:val="232120"/>
        </w:rPr>
      </w:pPr>
    </w:p>
    <w:p w14:paraId="47E33E19" w14:textId="13C57991" w:rsidR="001F4559" w:rsidRDefault="00712493" w:rsidP="00653375">
      <w:pPr>
        <w:pStyle w:val="BasicParagraph"/>
        <w:numPr>
          <w:ilvl w:val="1"/>
          <w:numId w:val="26"/>
        </w:numPr>
        <w:suppressAutoHyphens/>
        <w:rPr>
          <w:rFonts w:ascii="Verdana" w:hAnsi="Verdana" w:cs="Arial"/>
          <w:color w:val="232120"/>
        </w:rPr>
      </w:pPr>
      <w:r>
        <w:rPr>
          <w:rFonts w:ascii="Verdana" w:hAnsi="Verdana" w:cs="Arial"/>
          <w:color w:val="232120"/>
        </w:rPr>
        <w:t xml:space="preserve">This would provide clarity </w:t>
      </w:r>
      <w:r w:rsidR="005D20BC">
        <w:rPr>
          <w:rFonts w:ascii="Verdana" w:hAnsi="Verdana" w:cs="Arial"/>
          <w:color w:val="232120"/>
        </w:rPr>
        <w:t>on</w:t>
      </w:r>
      <w:r w:rsidR="00653375">
        <w:rPr>
          <w:rFonts w:ascii="Verdana" w:hAnsi="Verdana" w:cs="Arial"/>
          <w:color w:val="232120"/>
        </w:rPr>
        <w:t xml:space="preserve"> </w:t>
      </w:r>
      <w:r>
        <w:rPr>
          <w:rFonts w:ascii="Verdana" w:hAnsi="Verdana" w:cs="Arial"/>
          <w:color w:val="232120"/>
        </w:rPr>
        <w:t>disclosure</w:t>
      </w:r>
      <w:r w:rsidR="001E4962">
        <w:rPr>
          <w:rFonts w:ascii="Verdana" w:hAnsi="Verdana" w:cs="Arial"/>
          <w:color w:val="232120"/>
        </w:rPr>
        <w:t xml:space="preserve"> processes for </w:t>
      </w:r>
      <w:r w:rsidR="005564D9">
        <w:rPr>
          <w:rFonts w:ascii="Verdana" w:hAnsi="Verdana" w:cs="Arial"/>
          <w:color w:val="232120"/>
        </w:rPr>
        <w:t xml:space="preserve">offenders and employees. If an employer conducts vetting procedures on an employee with a Stalking Prevention Order what detail would be provided and </w:t>
      </w:r>
      <w:proofErr w:type="spellStart"/>
      <w:r w:rsidR="00AB4089">
        <w:rPr>
          <w:rFonts w:ascii="Verdana" w:hAnsi="Verdana" w:cs="Arial"/>
          <w:color w:val="232120"/>
        </w:rPr>
        <w:t>where</w:t>
      </w:r>
      <w:r w:rsidR="005564D9">
        <w:rPr>
          <w:rFonts w:ascii="Verdana" w:hAnsi="Verdana" w:cs="Arial"/>
          <w:color w:val="232120"/>
        </w:rPr>
        <w:t>an</w:t>
      </w:r>
      <w:proofErr w:type="spellEnd"/>
      <w:r w:rsidR="005564D9">
        <w:rPr>
          <w:rFonts w:ascii="Verdana" w:hAnsi="Verdana" w:cs="Arial"/>
          <w:color w:val="232120"/>
        </w:rPr>
        <w:t xml:space="preserve"> individual has several Orders would this require enhanced vetting procedures to identify. </w:t>
      </w:r>
      <w:r>
        <w:rPr>
          <w:rFonts w:ascii="Verdana" w:hAnsi="Verdana" w:cs="Arial"/>
          <w:color w:val="232120"/>
        </w:rPr>
        <w:t xml:space="preserve"> </w:t>
      </w:r>
    </w:p>
    <w:p w14:paraId="73D21421" w14:textId="77777777" w:rsidR="005564D9" w:rsidRDefault="005564D9" w:rsidP="005564D9">
      <w:pPr>
        <w:pStyle w:val="ListParagraph"/>
        <w:rPr>
          <w:rFonts w:cs="Arial"/>
          <w:color w:val="232120"/>
        </w:rPr>
      </w:pPr>
    </w:p>
    <w:p w14:paraId="5D5B2807" w14:textId="70C3270C" w:rsidR="005564D9" w:rsidRPr="005564D9" w:rsidRDefault="005564D9" w:rsidP="00653375">
      <w:pPr>
        <w:pStyle w:val="BasicParagraph"/>
        <w:numPr>
          <w:ilvl w:val="1"/>
          <w:numId w:val="26"/>
        </w:numPr>
        <w:suppressAutoHyphens/>
        <w:rPr>
          <w:rFonts w:ascii="Verdana" w:hAnsi="Verdana" w:cs="Arial"/>
          <w:b/>
          <w:color w:val="232120"/>
        </w:rPr>
      </w:pPr>
      <w:r w:rsidRPr="005564D9">
        <w:rPr>
          <w:rFonts w:ascii="Verdana" w:hAnsi="Verdana" w:cs="Arial"/>
          <w:b/>
          <w:color w:val="232120"/>
        </w:rPr>
        <w:t xml:space="preserve">The NIHRC recommends the Department </w:t>
      </w:r>
      <w:r w:rsidR="00797A5D">
        <w:rPr>
          <w:rFonts w:ascii="Verdana" w:hAnsi="Verdana" w:cs="Arial"/>
          <w:b/>
          <w:color w:val="232120"/>
        </w:rPr>
        <w:t xml:space="preserve">provide </w:t>
      </w:r>
      <w:r w:rsidR="00610E78">
        <w:rPr>
          <w:rFonts w:ascii="Verdana" w:hAnsi="Verdana" w:cs="Arial"/>
          <w:b/>
          <w:color w:val="232120"/>
        </w:rPr>
        <w:t>clarity</w:t>
      </w:r>
      <w:r w:rsidRPr="005564D9">
        <w:rPr>
          <w:rFonts w:ascii="Verdana" w:hAnsi="Verdana" w:cs="Arial"/>
          <w:b/>
          <w:color w:val="232120"/>
        </w:rPr>
        <w:t xml:space="preserve"> </w:t>
      </w:r>
      <w:r w:rsidR="00AB4089">
        <w:rPr>
          <w:rFonts w:ascii="Verdana" w:hAnsi="Verdana" w:cs="Arial"/>
          <w:b/>
          <w:color w:val="232120"/>
        </w:rPr>
        <w:t xml:space="preserve">around </w:t>
      </w:r>
      <w:proofErr w:type="spellStart"/>
      <w:r w:rsidR="00AB4089">
        <w:rPr>
          <w:rFonts w:ascii="Verdana" w:hAnsi="Verdana" w:cs="Arial"/>
          <w:b/>
          <w:color w:val="232120"/>
        </w:rPr>
        <w:t>how</w:t>
      </w:r>
      <w:r w:rsidR="00797A5D">
        <w:rPr>
          <w:rFonts w:ascii="Verdana" w:hAnsi="Verdana" w:cs="Arial"/>
          <w:b/>
          <w:color w:val="232120"/>
        </w:rPr>
        <w:t>re</w:t>
      </w:r>
      <w:r w:rsidR="003A7070">
        <w:rPr>
          <w:rFonts w:ascii="Verdana" w:hAnsi="Verdana" w:cs="Arial"/>
          <w:b/>
          <w:color w:val="232120"/>
        </w:rPr>
        <w:t>habilitation</w:t>
      </w:r>
      <w:proofErr w:type="spellEnd"/>
      <w:r w:rsidR="003A7070">
        <w:rPr>
          <w:rFonts w:ascii="Verdana" w:hAnsi="Verdana" w:cs="Arial"/>
          <w:b/>
          <w:color w:val="232120"/>
        </w:rPr>
        <w:t xml:space="preserve"> of offender</w:t>
      </w:r>
      <w:r w:rsidR="00AB4089">
        <w:rPr>
          <w:rFonts w:ascii="Verdana" w:hAnsi="Verdana" w:cs="Arial"/>
          <w:b/>
          <w:color w:val="232120"/>
        </w:rPr>
        <w:t xml:space="preserve"> legislation will apply to</w:t>
      </w:r>
      <w:r w:rsidR="00653375">
        <w:rPr>
          <w:rFonts w:ascii="Verdana" w:hAnsi="Verdana" w:cs="Arial"/>
          <w:b/>
          <w:color w:val="232120"/>
        </w:rPr>
        <w:t xml:space="preserve"> all</w:t>
      </w:r>
      <w:r w:rsidR="003A7070">
        <w:rPr>
          <w:rFonts w:ascii="Verdana" w:hAnsi="Verdana" w:cs="Arial"/>
          <w:b/>
          <w:color w:val="232120"/>
        </w:rPr>
        <w:t xml:space="preserve"> st</w:t>
      </w:r>
      <w:r w:rsidR="00797A5D">
        <w:rPr>
          <w:rFonts w:ascii="Verdana" w:hAnsi="Verdana" w:cs="Arial"/>
          <w:b/>
          <w:color w:val="232120"/>
        </w:rPr>
        <w:t>a</w:t>
      </w:r>
      <w:r w:rsidR="003A7070">
        <w:rPr>
          <w:rFonts w:ascii="Verdana" w:hAnsi="Verdana" w:cs="Arial"/>
          <w:b/>
          <w:color w:val="232120"/>
        </w:rPr>
        <w:t>l</w:t>
      </w:r>
      <w:r w:rsidR="00797A5D">
        <w:rPr>
          <w:rFonts w:ascii="Verdana" w:hAnsi="Verdana" w:cs="Arial"/>
          <w:b/>
          <w:color w:val="232120"/>
        </w:rPr>
        <w:t xml:space="preserve">king </w:t>
      </w:r>
      <w:r w:rsidR="003A7070">
        <w:rPr>
          <w:rFonts w:ascii="Verdana" w:hAnsi="Verdana" w:cs="Arial"/>
          <w:b/>
          <w:color w:val="232120"/>
        </w:rPr>
        <w:t xml:space="preserve">offenders. </w:t>
      </w:r>
    </w:p>
    <w:p w14:paraId="0D1B8012" w14:textId="77777777" w:rsidR="00555C8D" w:rsidRDefault="00555C8D" w:rsidP="00555C8D">
      <w:pPr>
        <w:pStyle w:val="BasicParagraph"/>
        <w:suppressAutoHyphens/>
        <w:ind w:left="720"/>
        <w:rPr>
          <w:rFonts w:ascii="Verdana" w:hAnsi="Verdana" w:cs="Arial"/>
          <w:color w:val="232120"/>
        </w:rPr>
      </w:pPr>
    </w:p>
    <w:p w14:paraId="730CD8C0" w14:textId="77777777" w:rsidR="005B195F" w:rsidRDefault="00555C8D" w:rsidP="00653375">
      <w:pPr>
        <w:pStyle w:val="Heading1"/>
        <w:numPr>
          <w:ilvl w:val="0"/>
          <w:numId w:val="26"/>
        </w:numPr>
      </w:pPr>
      <w:bookmarkStart w:id="7" w:name="_Toc69458543"/>
      <w:proofErr w:type="spellStart"/>
      <w:r>
        <w:t>Disagregated</w:t>
      </w:r>
      <w:proofErr w:type="spellEnd"/>
      <w:r>
        <w:t xml:space="preserve"> Data</w:t>
      </w:r>
      <w:bookmarkEnd w:id="7"/>
      <w:r>
        <w:t xml:space="preserve"> </w:t>
      </w:r>
    </w:p>
    <w:p w14:paraId="4EE43004" w14:textId="77777777" w:rsidR="005B195F" w:rsidRPr="005B195F" w:rsidRDefault="005B195F" w:rsidP="005B195F"/>
    <w:p w14:paraId="2312E372" w14:textId="77777777" w:rsidR="003A7070" w:rsidRPr="003A7070" w:rsidRDefault="003A7070" w:rsidP="003A7070">
      <w:pPr>
        <w:pStyle w:val="ListParagraph"/>
        <w:numPr>
          <w:ilvl w:val="1"/>
          <w:numId w:val="21"/>
        </w:numPr>
        <w:rPr>
          <w:rFonts w:cstheme="majorBidi"/>
        </w:rPr>
      </w:pPr>
      <w:r w:rsidRPr="003A7070">
        <w:rPr>
          <w:rFonts w:cstheme="majorBidi"/>
        </w:rPr>
        <w:t xml:space="preserve">The NIHRC is concerned that currently very little data on stalking exists in Northern Ireland. </w:t>
      </w:r>
    </w:p>
    <w:p w14:paraId="26AC45A9" w14:textId="77777777" w:rsidR="003A7070" w:rsidRPr="003A7070" w:rsidRDefault="003A7070" w:rsidP="003A7070">
      <w:pPr>
        <w:pStyle w:val="ListParagraph"/>
        <w:rPr>
          <w:rFonts w:cstheme="majorBidi"/>
          <w:color w:val="77328A"/>
        </w:rPr>
      </w:pPr>
    </w:p>
    <w:p w14:paraId="39F9358B" w14:textId="77777777" w:rsidR="00555C8D" w:rsidRPr="001F4559" w:rsidRDefault="00555C8D" w:rsidP="005B195F">
      <w:pPr>
        <w:pStyle w:val="ListParagraph"/>
        <w:numPr>
          <w:ilvl w:val="1"/>
          <w:numId w:val="21"/>
        </w:numPr>
        <w:rPr>
          <w:rFonts w:cstheme="majorBidi"/>
          <w:color w:val="77328A"/>
        </w:rPr>
      </w:pPr>
      <w:r w:rsidRPr="005B195F">
        <w:t>The UN CEDAW Committee in its 2019 concluding observations on the UK recommended that the UK Government and NI Executive “systematically collect and publish data, disaggregated by sex, gender, ethnicity, disability and age, throughout the whole of its territory to inform policymaking and assess the impact of measures taken”.</w:t>
      </w:r>
      <w:r w:rsidR="001F4559">
        <w:rPr>
          <w:rStyle w:val="FootnoteReference"/>
        </w:rPr>
        <w:footnoteReference w:id="27"/>
      </w:r>
    </w:p>
    <w:p w14:paraId="2887E479" w14:textId="77777777" w:rsidR="005B195F" w:rsidRDefault="005B195F" w:rsidP="005B195F">
      <w:pPr>
        <w:pStyle w:val="ListParagraph"/>
        <w:rPr>
          <w:rFonts w:cs="Arial"/>
          <w:color w:val="232120"/>
        </w:rPr>
      </w:pPr>
    </w:p>
    <w:p w14:paraId="0054BAAC" w14:textId="4BC85C00" w:rsidR="00555C8D" w:rsidRPr="001F4559" w:rsidRDefault="00555C8D" w:rsidP="005B195F">
      <w:pPr>
        <w:pStyle w:val="BasicParagraph"/>
        <w:numPr>
          <w:ilvl w:val="1"/>
          <w:numId w:val="21"/>
        </w:numPr>
        <w:suppressAutoHyphens/>
        <w:rPr>
          <w:rFonts w:ascii="Verdana" w:hAnsi="Verdana" w:cs="Arial"/>
          <w:b/>
          <w:color w:val="232120"/>
        </w:rPr>
      </w:pPr>
      <w:r w:rsidRPr="001F4559">
        <w:rPr>
          <w:rFonts w:ascii="Verdana" w:hAnsi="Verdana" w:cs="Arial"/>
          <w:b/>
          <w:color w:val="232120"/>
        </w:rPr>
        <w:t xml:space="preserve">The NIHRC recommends that the Department works with the relevant public authorities and civil society organisations to systematically collect and publish data on </w:t>
      </w:r>
      <w:r w:rsidR="001F4559" w:rsidRPr="001F4559">
        <w:rPr>
          <w:rFonts w:ascii="Verdana" w:hAnsi="Verdana" w:cs="Arial"/>
          <w:b/>
          <w:color w:val="232120"/>
        </w:rPr>
        <w:t xml:space="preserve">stalking </w:t>
      </w:r>
      <w:r w:rsidRPr="001F4559">
        <w:rPr>
          <w:rFonts w:ascii="Verdana" w:hAnsi="Verdana" w:cs="Arial"/>
          <w:b/>
          <w:color w:val="232120"/>
        </w:rPr>
        <w:t xml:space="preserve">that is disaggregated by sex, gender, ethnicity, disability and age. It should also record the journey of </w:t>
      </w:r>
      <w:r w:rsidR="00712493">
        <w:rPr>
          <w:rFonts w:ascii="Verdana" w:hAnsi="Verdana" w:cs="Arial"/>
          <w:b/>
          <w:color w:val="232120"/>
        </w:rPr>
        <w:t xml:space="preserve">stalking </w:t>
      </w:r>
      <w:r w:rsidRPr="001F4559">
        <w:rPr>
          <w:rFonts w:ascii="Verdana" w:hAnsi="Verdana" w:cs="Arial"/>
          <w:b/>
          <w:color w:val="232120"/>
        </w:rPr>
        <w:t>investigations through the criminal justice system, including</w:t>
      </w:r>
      <w:r w:rsidR="00AB4089">
        <w:rPr>
          <w:rFonts w:ascii="Verdana" w:hAnsi="Verdana" w:cs="Arial"/>
          <w:b/>
          <w:color w:val="232120"/>
        </w:rPr>
        <w:t xml:space="preserve"> the</w:t>
      </w:r>
      <w:r w:rsidRPr="001F4559">
        <w:rPr>
          <w:rFonts w:ascii="Verdana" w:hAnsi="Verdana" w:cs="Arial"/>
          <w:b/>
          <w:color w:val="232120"/>
        </w:rPr>
        <w:t xml:space="preserve"> number of initial reports, number of referrals to the Public Prosecution Service, how many reach different stages of the court process, how many</w:t>
      </w:r>
      <w:r w:rsidR="00AB4089">
        <w:rPr>
          <w:rFonts w:ascii="Verdana" w:hAnsi="Verdana" w:cs="Arial"/>
          <w:b/>
          <w:color w:val="232120"/>
        </w:rPr>
        <w:t xml:space="preserve"> result in</w:t>
      </w:r>
      <w:r w:rsidRPr="001F4559">
        <w:rPr>
          <w:rFonts w:ascii="Verdana" w:hAnsi="Verdana" w:cs="Arial"/>
          <w:b/>
          <w:color w:val="232120"/>
        </w:rPr>
        <w:t xml:space="preserve"> prosecutions, what is the resulting remedy and how many repeat offences</w:t>
      </w:r>
      <w:r w:rsidR="00AB4089">
        <w:rPr>
          <w:rFonts w:ascii="Verdana" w:hAnsi="Verdana" w:cs="Arial"/>
          <w:b/>
          <w:color w:val="232120"/>
        </w:rPr>
        <w:t xml:space="preserve"> occur</w:t>
      </w:r>
      <w:r w:rsidRPr="001F4559">
        <w:rPr>
          <w:rFonts w:ascii="Verdana" w:hAnsi="Verdana" w:cs="Arial"/>
          <w:b/>
          <w:color w:val="232120"/>
        </w:rPr>
        <w:t>.</w:t>
      </w:r>
    </w:p>
    <w:p w14:paraId="4D89FB40" w14:textId="77777777" w:rsidR="004672AC" w:rsidRPr="00331C61" w:rsidRDefault="004672AC" w:rsidP="00331C61">
      <w:pPr>
        <w:pStyle w:val="BasicParagraph"/>
        <w:suppressAutoHyphens/>
        <w:spacing w:line="240" w:lineRule="auto"/>
        <w:rPr>
          <w:rFonts w:ascii="Verdana" w:hAnsi="Verdana" w:cs="Arial"/>
          <w:color w:val="232120"/>
          <w:sz w:val="20"/>
          <w:szCs w:val="20"/>
        </w:rPr>
      </w:pPr>
    </w:p>
    <w:p w14:paraId="4178AAE1" w14:textId="77777777" w:rsidR="003B7D0E" w:rsidRPr="00331C61" w:rsidRDefault="003B7D0E" w:rsidP="00331C61">
      <w:pPr>
        <w:pStyle w:val="BasicParagraph"/>
        <w:suppressAutoHyphens/>
        <w:rPr>
          <w:rFonts w:ascii="Verdana" w:hAnsi="Verdana" w:cs="Arial"/>
          <w:color w:val="232120"/>
          <w:sz w:val="20"/>
          <w:szCs w:val="20"/>
        </w:rPr>
      </w:pPr>
    </w:p>
    <w:p w14:paraId="4D405FCA" w14:textId="77777777" w:rsidR="003B7D0E" w:rsidRPr="00331C61" w:rsidRDefault="003B7D0E" w:rsidP="00331C61">
      <w:pPr>
        <w:pStyle w:val="BasicParagraph"/>
        <w:suppressAutoHyphens/>
        <w:rPr>
          <w:rFonts w:ascii="Verdana" w:hAnsi="Verdana" w:cs="Arial"/>
          <w:color w:val="232120"/>
          <w:sz w:val="20"/>
          <w:szCs w:val="20"/>
        </w:rPr>
      </w:pPr>
    </w:p>
    <w:p w14:paraId="39A7B15C" w14:textId="77777777" w:rsidR="003B7D0E" w:rsidRDefault="003B7D0E" w:rsidP="003B7D0E">
      <w:pPr>
        <w:pStyle w:val="BasicParagraph"/>
        <w:suppressAutoHyphens/>
        <w:jc w:val="center"/>
        <w:rPr>
          <w:rFonts w:ascii="Verdana" w:hAnsi="Verdana" w:cs="Arial"/>
          <w:color w:val="3C3C3B"/>
          <w:sz w:val="20"/>
          <w:szCs w:val="20"/>
        </w:rPr>
      </w:pPr>
    </w:p>
    <w:p w14:paraId="714BDC41" w14:textId="77777777" w:rsidR="003B7D0E" w:rsidRDefault="003B7D0E" w:rsidP="003B7D0E">
      <w:pPr>
        <w:pStyle w:val="BasicParagraph"/>
        <w:suppressAutoHyphens/>
        <w:jc w:val="center"/>
        <w:rPr>
          <w:rFonts w:ascii="Verdana" w:hAnsi="Verdana" w:cs="Arial"/>
          <w:color w:val="3C3C3B"/>
          <w:sz w:val="20"/>
          <w:szCs w:val="20"/>
        </w:rPr>
      </w:pPr>
    </w:p>
    <w:p w14:paraId="064D8E8C" w14:textId="77777777" w:rsidR="003B7D0E" w:rsidRDefault="003B7D0E" w:rsidP="003B7D0E">
      <w:pPr>
        <w:pStyle w:val="BasicParagraph"/>
        <w:suppressAutoHyphens/>
        <w:jc w:val="center"/>
        <w:rPr>
          <w:rFonts w:ascii="Verdana" w:hAnsi="Verdana" w:cs="Arial"/>
          <w:color w:val="3C3C3B"/>
          <w:sz w:val="20"/>
          <w:szCs w:val="20"/>
        </w:rPr>
      </w:pPr>
    </w:p>
    <w:p w14:paraId="686237BF" w14:textId="77777777" w:rsidR="003B7D0E" w:rsidRDefault="003B7D0E" w:rsidP="003B7D0E">
      <w:pPr>
        <w:pStyle w:val="BasicParagraph"/>
        <w:suppressAutoHyphens/>
        <w:jc w:val="center"/>
        <w:rPr>
          <w:rFonts w:ascii="Verdana" w:hAnsi="Verdana" w:cs="Arial"/>
          <w:color w:val="3C3C3B"/>
          <w:sz w:val="20"/>
          <w:szCs w:val="20"/>
        </w:rPr>
      </w:pPr>
    </w:p>
    <w:p w14:paraId="1B017EA5" w14:textId="77777777" w:rsidR="003B7D0E" w:rsidRDefault="003B7D0E" w:rsidP="003B7D0E">
      <w:pPr>
        <w:pStyle w:val="BasicParagraph"/>
        <w:suppressAutoHyphens/>
        <w:jc w:val="center"/>
        <w:rPr>
          <w:rFonts w:ascii="Verdana" w:hAnsi="Verdana" w:cs="Arial"/>
          <w:color w:val="3C3C3B"/>
          <w:sz w:val="20"/>
          <w:szCs w:val="20"/>
        </w:rPr>
      </w:pPr>
    </w:p>
    <w:p w14:paraId="236434C5" w14:textId="77777777" w:rsidR="003B7D0E" w:rsidRDefault="003B7D0E" w:rsidP="003B7D0E">
      <w:pPr>
        <w:pStyle w:val="BasicParagraph"/>
        <w:suppressAutoHyphens/>
        <w:jc w:val="center"/>
        <w:rPr>
          <w:rFonts w:ascii="Verdana" w:hAnsi="Verdana" w:cs="Arial"/>
          <w:color w:val="3C3C3B"/>
          <w:sz w:val="20"/>
          <w:szCs w:val="20"/>
        </w:rPr>
      </w:pPr>
    </w:p>
    <w:p w14:paraId="56491F37" w14:textId="77777777" w:rsidR="003B7D0E" w:rsidRDefault="003B7D0E" w:rsidP="003B7D0E">
      <w:pPr>
        <w:pStyle w:val="BasicParagraph"/>
        <w:suppressAutoHyphens/>
        <w:jc w:val="center"/>
        <w:rPr>
          <w:rFonts w:ascii="Verdana" w:hAnsi="Verdana" w:cs="Arial"/>
          <w:color w:val="3C3C3B"/>
          <w:sz w:val="20"/>
          <w:szCs w:val="20"/>
        </w:rPr>
      </w:pPr>
    </w:p>
    <w:p w14:paraId="4E3F5CEB" w14:textId="77777777" w:rsidR="003B7D0E" w:rsidRDefault="003B7D0E" w:rsidP="003B7D0E">
      <w:pPr>
        <w:pStyle w:val="BasicParagraph"/>
        <w:suppressAutoHyphens/>
        <w:jc w:val="center"/>
        <w:rPr>
          <w:rFonts w:ascii="Verdana" w:hAnsi="Verdana" w:cs="Arial"/>
          <w:color w:val="3C3C3B"/>
          <w:sz w:val="20"/>
          <w:szCs w:val="20"/>
        </w:rPr>
      </w:pPr>
    </w:p>
    <w:p w14:paraId="6FDC7856" w14:textId="77777777" w:rsidR="001F4559" w:rsidRDefault="001F4559" w:rsidP="003B7D0E">
      <w:pPr>
        <w:pStyle w:val="BasicParagraph"/>
        <w:suppressAutoHyphens/>
        <w:jc w:val="center"/>
        <w:rPr>
          <w:rFonts w:ascii="Verdana" w:hAnsi="Verdana" w:cs="Arial"/>
          <w:color w:val="3C3C3B"/>
          <w:sz w:val="20"/>
          <w:szCs w:val="20"/>
        </w:rPr>
      </w:pPr>
    </w:p>
    <w:p w14:paraId="78017AB1" w14:textId="77777777" w:rsidR="001F4559" w:rsidRDefault="001F4559" w:rsidP="003B7D0E">
      <w:pPr>
        <w:pStyle w:val="BasicParagraph"/>
        <w:suppressAutoHyphens/>
        <w:jc w:val="center"/>
        <w:rPr>
          <w:rFonts w:ascii="Verdana" w:hAnsi="Verdana" w:cs="Arial"/>
          <w:color w:val="3C3C3B"/>
          <w:sz w:val="20"/>
          <w:szCs w:val="20"/>
        </w:rPr>
      </w:pPr>
    </w:p>
    <w:p w14:paraId="6BCCD774" w14:textId="77777777" w:rsidR="001F4559" w:rsidRDefault="001F4559" w:rsidP="003B7D0E">
      <w:pPr>
        <w:pStyle w:val="BasicParagraph"/>
        <w:suppressAutoHyphens/>
        <w:jc w:val="center"/>
        <w:rPr>
          <w:rFonts w:ascii="Verdana" w:hAnsi="Verdana" w:cs="Arial"/>
          <w:color w:val="3C3C3B"/>
          <w:sz w:val="20"/>
          <w:szCs w:val="20"/>
        </w:rPr>
      </w:pPr>
    </w:p>
    <w:p w14:paraId="312F58CD" w14:textId="681E756E" w:rsidR="003B7D0E" w:rsidRDefault="003B7D0E" w:rsidP="003B7D0E">
      <w:pPr>
        <w:pStyle w:val="BasicParagraph"/>
        <w:suppressAutoHyphens/>
        <w:jc w:val="center"/>
        <w:rPr>
          <w:rFonts w:ascii="Verdana" w:hAnsi="Verdana" w:cs="Arial"/>
          <w:color w:val="3C3C3B"/>
          <w:sz w:val="20"/>
          <w:szCs w:val="20"/>
        </w:rPr>
      </w:pPr>
    </w:p>
    <w:p w14:paraId="738BF4D8" w14:textId="77777777" w:rsidR="00542C0B" w:rsidRDefault="00542C0B" w:rsidP="003B7D0E">
      <w:pPr>
        <w:pStyle w:val="BasicParagraph"/>
        <w:suppressAutoHyphens/>
        <w:jc w:val="center"/>
        <w:rPr>
          <w:rFonts w:ascii="Verdana" w:hAnsi="Verdana" w:cs="Arial"/>
          <w:color w:val="3C3C3B"/>
          <w:sz w:val="20"/>
          <w:szCs w:val="20"/>
        </w:rPr>
      </w:pPr>
    </w:p>
    <w:p w14:paraId="006E7AF5" w14:textId="77777777"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296FAB3F" w14:textId="77777777" w:rsidR="00331C61" w:rsidRPr="00331C61" w:rsidRDefault="00331C61" w:rsidP="00331C61">
      <w:pPr>
        <w:pStyle w:val="BasicParagraph"/>
        <w:suppressAutoHyphens/>
        <w:jc w:val="center"/>
        <w:rPr>
          <w:rFonts w:ascii="Verdana" w:hAnsi="Verdana" w:cs="Arial"/>
          <w:b/>
          <w:color w:val="77328A"/>
          <w:sz w:val="36"/>
          <w:szCs w:val="36"/>
        </w:rPr>
      </w:pPr>
    </w:p>
    <w:p w14:paraId="3C096A1A" w14:textId="77777777" w:rsidR="00331C61" w:rsidRDefault="0027001C" w:rsidP="003B7D0E">
      <w:pPr>
        <w:spacing w:line="288" w:lineRule="auto"/>
        <w:jc w:val="center"/>
        <w:rPr>
          <w:rFonts w:cs="Arial"/>
          <w:b/>
          <w:color w:val="232120"/>
          <w:sz w:val="30"/>
          <w:szCs w:val="30"/>
        </w:rPr>
      </w:pPr>
      <w:r>
        <w:rPr>
          <w:rFonts w:cs="Arial"/>
          <w:b/>
          <w:color w:val="232120"/>
          <w:sz w:val="30"/>
          <w:szCs w:val="30"/>
        </w:rPr>
        <w:t xml:space="preserve">Rhyannon Blyth </w:t>
      </w:r>
    </w:p>
    <w:p w14:paraId="50384119" w14:textId="77777777" w:rsidR="007F74A9" w:rsidRPr="00331C61" w:rsidRDefault="007F74A9" w:rsidP="003B7D0E">
      <w:pPr>
        <w:spacing w:line="288" w:lineRule="auto"/>
        <w:jc w:val="center"/>
        <w:rPr>
          <w:rFonts w:cs="Arial"/>
          <w:b/>
          <w:color w:val="232120"/>
          <w:sz w:val="30"/>
          <w:szCs w:val="30"/>
        </w:rPr>
      </w:pPr>
      <w:r>
        <w:rPr>
          <w:rFonts w:cs="Arial"/>
          <w:b/>
          <w:color w:val="232120"/>
          <w:sz w:val="30"/>
          <w:szCs w:val="30"/>
        </w:rPr>
        <w:t>Director of Legal, Policy and Investigations</w:t>
      </w:r>
    </w:p>
    <w:p w14:paraId="19262F8E" w14:textId="77777777" w:rsidR="00331C61" w:rsidRPr="00331C61" w:rsidRDefault="00331C61" w:rsidP="003B7D0E">
      <w:pPr>
        <w:spacing w:line="288" w:lineRule="auto"/>
        <w:jc w:val="center"/>
        <w:rPr>
          <w:rFonts w:cs="Arial"/>
          <w:b/>
          <w:color w:val="232120"/>
          <w:sz w:val="30"/>
          <w:szCs w:val="30"/>
        </w:rPr>
      </w:pPr>
    </w:p>
    <w:p w14:paraId="68FB1B66" w14:textId="77777777" w:rsidR="00331C61" w:rsidRPr="00331C61" w:rsidRDefault="00653375" w:rsidP="00331C61">
      <w:pPr>
        <w:spacing w:line="288" w:lineRule="auto"/>
        <w:jc w:val="center"/>
        <w:rPr>
          <w:rFonts w:cs="Arial"/>
          <w:color w:val="232120"/>
          <w:sz w:val="28"/>
          <w:szCs w:val="28"/>
        </w:rPr>
      </w:pPr>
      <w:hyperlink r:id="rId9"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0"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0456F678" w14:textId="77777777" w:rsidR="00F56C78" w:rsidRPr="00331C61" w:rsidRDefault="00D16532" w:rsidP="00331C61">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73A07FA" w14:textId="77777777" w:rsidR="00F56C78" w:rsidRPr="00331C61" w:rsidRDefault="00F56C78" w:rsidP="003B7D0E">
      <w:pPr>
        <w:spacing w:line="288" w:lineRule="auto"/>
        <w:jc w:val="center"/>
        <w:rPr>
          <w:rFonts w:cs="Arial"/>
          <w:b/>
          <w:color w:val="232120"/>
          <w:sz w:val="28"/>
          <w:szCs w:val="28"/>
        </w:rPr>
      </w:pPr>
    </w:p>
    <w:p w14:paraId="2850C602" w14:textId="77777777" w:rsidR="00F56C78" w:rsidRPr="00331C61" w:rsidRDefault="00F56C78" w:rsidP="003B7D0E">
      <w:pPr>
        <w:spacing w:line="288" w:lineRule="auto"/>
        <w:jc w:val="center"/>
        <w:rPr>
          <w:rFonts w:cs="Arial"/>
          <w:color w:val="232120"/>
          <w:sz w:val="20"/>
          <w:szCs w:val="20"/>
        </w:rPr>
      </w:pPr>
    </w:p>
    <w:p w14:paraId="3DC8F971"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38C58108" wp14:editId="0BF3E481">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486DD" w14:textId="77777777" w:rsidR="00C437F8" w:rsidRDefault="00C437F8" w:rsidP="00962B2B">
      <w:r>
        <w:separator/>
      </w:r>
    </w:p>
  </w:endnote>
  <w:endnote w:type="continuationSeparator" w:id="0">
    <w:p w14:paraId="6CFAB87C" w14:textId="77777777" w:rsidR="00C437F8" w:rsidRDefault="00C437F8"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urichBT-LightCondense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712D" w14:textId="77777777" w:rsidR="00D2770F" w:rsidRDefault="00D2770F" w:rsidP="00656ECD">
    <w:pPr>
      <w:pStyle w:val="Footer"/>
      <w:jc w:val="right"/>
      <w:rPr>
        <w:rStyle w:val="PageNumber"/>
        <w:rFonts w:ascii="Arial" w:hAnsi="Arial" w:cs="Arial"/>
        <w:b/>
        <w:sz w:val="16"/>
        <w:szCs w:val="16"/>
      </w:rPr>
    </w:pPr>
  </w:p>
  <w:p w14:paraId="5A08B0B9" w14:textId="6BDF7BEC"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653375">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62B9" w14:textId="77777777" w:rsidR="00D2770F" w:rsidRDefault="00D2770F" w:rsidP="00046705">
    <w:pPr>
      <w:pStyle w:val="Footer"/>
      <w:jc w:val="right"/>
      <w:rPr>
        <w:rStyle w:val="PageNumber"/>
        <w:rFonts w:ascii="Arial" w:hAnsi="Arial" w:cs="Arial"/>
        <w:b/>
        <w:sz w:val="16"/>
        <w:szCs w:val="16"/>
      </w:rPr>
    </w:pPr>
  </w:p>
  <w:p w14:paraId="3BDE34C4"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355B8" w14:textId="77777777" w:rsidR="00C437F8" w:rsidRDefault="00C437F8" w:rsidP="00B96D34">
      <w:r>
        <w:continuationSeparator/>
      </w:r>
    </w:p>
    <w:p w14:paraId="77CC5B51" w14:textId="77777777" w:rsidR="00C437F8" w:rsidRPr="00B96D34" w:rsidRDefault="00C437F8" w:rsidP="00B96D34">
      <w:pPr>
        <w:pStyle w:val="Footer"/>
      </w:pPr>
    </w:p>
  </w:footnote>
  <w:footnote w:type="continuationSeparator" w:id="0">
    <w:p w14:paraId="01380662" w14:textId="77777777" w:rsidR="00C437F8" w:rsidRDefault="00C437F8" w:rsidP="00962B2B">
      <w:r>
        <w:continuationSeparator/>
      </w:r>
    </w:p>
  </w:footnote>
  <w:footnote w:type="continuationNotice" w:id="1">
    <w:p w14:paraId="4D1D2099" w14:textId="77777777" w:rsidR="00C437F8" w:rsidRDefault="00C437F8"/>
  </w:footnote>
  <w:footnote w:id="2">
    <w:p w14:paraId="75DA957F" w14:textId="77777777" w:rsidR="008D01F4" w:rsidRPr="00F779A6" w:rsidRDefault="008D01F4" w:rsidP="008D01F4">
      <w:pPr>
        <w:pStyle w:val="FootnoteText"/>
        <w:rPr>
          <w:color w:val="77328A"/>
          <w:sz w:val="16"/>
          <w:szCs w:val="16"/>
        </w:rPr>
      </w:pPr>
      <w:r w:rsidRPr="00F779A6">
        <w:rPr>
          <w:rStyle w:val="FootnoteReference"/>
          <w:color w:val="77328A"/>
          <w:sz w:val="16"/>
          <w:szCs w:val="16"/>
        </w:rPr>
        <w:footnoteRef/>
      </w:r>
      <w:r w:rsidRPr="00F779A6">
        <w:rPr>
          <w:color w:val="77328A"/>
          <w:sz w:val="16"/>
          <w:szCs w:val="16"/>
        </w:rPr>
        <w:t xml:space="preserve"> Ratified by the UK in 1951.</w:t>
      </w:r>
    </w:p>
  </w:footnote>
  <w:footnote w:id="3">
    <w:p w14:paraId="5DA630E8" w14:textId="77777777" w:rsidR="008D01F4" w:rsidRPr="00F779A6" w:rsidRDefault="008D01F4" w:rsidP="008D01F4">
      <w:pPr>
        <w:pStyle w:val="NIHRCFootnotes"/>
      </w:pPr>
      <w:r w:rsidRPr="00F779A6">
        <w:rPr>
          <w:rStyle w:val="FootnoteReference"/>
          <w:rFonts w:cs="Times New Roman"/>
        </w:rPr>
        <w:footnoteRef/>
      </w:r>
      <w:r w:rsidRPr="00F779A6">
        <w:t xml:space="preserve"> Ratified by the UK in 1976.</w:t>
      </w:r>
    </w:p>
  </w:footnote>
  <w:footnote w:id="4">
    <w:p w14:paraId="4BAF1337" w14:textId="77777777" w:rsidR="008D01F4" w:rsidRPr="00F779A6" w:rsidRDefault="008D01F4" w:rsidP="008D01F4">
      <w:pPr>
        <w:pStyle w:val="NIHRCFootnotes"/>
      </w:pPr>
      <w:r w:rsidRPr="00F779A6">
        <w:rPr>
          <w:rStyle w:val="FootnoteReference"/>
          <w:rFonts w:cs="Times New Roman"/>
        </w:rPr>
        <w:footnoteRef/>
      </w:r>
      <w:r w:rsidRPr="00F779A6">
        <w:t xml:space="preserve"> Ratified by the UK in 1976.</w:t>
      </w:r>
    </w:p>
  </w:footnote>
  <w:footnote w:id="5">
    <w:p w14:paraId="16810424" w14:textId="77777777" w:rsidR="008D01F4" w:rsidRPr="00F779A6" w:rsidRDefault="008D01F4" w:rsidP="008D01F4">
      <w:pPr>
        <w:pStyle w:val="NIHRCFootnotes"/>
      </w:pPr>
      <w:r w:rsidRPr="00F779A6">
        <w:rPr>
          <w:rStyle w:val="FootnoteReference"/>
          <w:rFonts w:cs="Times New Roman"/>
        </w:rPr>
        <w:footnoteRef/>
      </w:r>
      <w:r w:rsidRPr="00F779A6">
        <w:t xml:space="preserve"> Ratified by the UK in 1981.</w:t>
      </w:r>
    </w:p>
  </w:footnote>
  <w:footnote w:id="6">
    <w:p w14:paraId="6E88A6C7" w14:textId="77777777" w:rsidR="008D01F4" w:rsidRPr="00F779A6" w:rsidRDefault="008D01F4" w:rsidP="008D01F4">
      <w:pPr>
        <w:pStyle w:val="NIHRCFootnotes"/>
      </w:pPr>
      <w:r w:rsidRPr="00F779A6">
        <w:rPr>
          <w:rStyle w:val="FootnoteReference"/>
        </w:rPr>
        <w:footnoteRef/>
      </w:r>
      <w:r w:rsidRPr="00F779A6">
        <w:t xml:space="preserve"> Ratified by the UK in 1990.</w:t>
      </w:r>
    </w:p>
  </w:footnote>
  <w:footnote w:id="7">
    <w:p w14:paraId="0B7307FF" w14:textId="77777777" w:rsidR="008D01F4" w:rsidRPr="00F779A6" w:rsidRDefault="008D01F4" w:rsidP="008D01F4">
      <w:pPr>
        <w:pStyle w:val="NIHRCFootnotes"/>
      </w:pPr>
      <w:r w:rsidRPr="00F779A6">
        <w:rPr>
          <w:rStyle w:val="FootnoteReference"/>
          <w:rFonts w:cs="Times New Roman"/>
        </w:rPr>
        <w:footnoteRef/>
      </w:r>
      <w:r w:rsidRPr="00F779A6">
        <w:t xml:space="preserve"> Ratified by the UK in 1988.</w:t>
      </w:r>
    </w:p>
  </w:footnote>
  <w:footnote w:id="8">
    <w:p w14:paraId="57068419" w14:textId="77777777" w:rsidR="008D01F4" w:rsidRPr="00F779A6" w:rsidRDefault="008D01F4" w:rsidP="008D01F4">
      <w:pPr>
        <w:pStyle w:val="NIHRCFootnotes"/>
      </w:pPr>
      <w:r w:rsidRPr="00F779A6">
        <w:rPr>
          <w:rStyle w:val="FootnoteReference"/>
        </w:rPr>
        <w:footnoteRef/>
      </w:r>
      <w:r w:rsidRPr="00F779A6">
        <w:t xml:space="preserve"> Ratified by the UK in 1988 (as amended by Protocols No. 1 and No.2 1993). </w:t>
      </w:r>
    </w:p>
  </w:footnote>
  <w:footnote w:id="9">
    <w:p w14:paraId="30069158" w14:textId="77777777" w:rsidR="008D01F4" w:rsidRPr="00F779A6" w:rsidRDefault="008D01F4" w:rsidP="008D01F4">
      <w:pPr>
        <w:pStyle w:val="NIHRCFootnotes"/>
      </w:pPr>
      <w:r w:rsidRPr="00F779A6">
        <w:rPr>
          <w:rStyle w:val="FootnoteReference"/>
          <w:rFonts w:cs="Times New Roman"/>
        </w:rPr>
        <w:footnoteRef/>
      </w:r>
      <w:r w:rsidRPr="00F779A6">
        <w:t xml:space="preserve"> Ratified by the UK in 1991.</w:t>
      </w:r>
    </w:p>
  </w:footnote>
  <w:footnote w:id="10">
    <w:p w14:paraId="0702A3C8" w14:textId="77777777" w:rsidR="008D01F4" w:rsidRPr="00F779A6" w:rsidRDefault="008D01F4" w:rsidP="008D01F4">
      <w:pPr>
        <w:pStyle w:val="NIHRCFootnotes"/>
      </w:pPr>
      <w:r w:rsidRPr="00F779A6">
        <w:rPr>
          <w:rStyle w:val="FootnoteReference"/>
        </w:rPr>
        <w:footnoteRef/>
      </w:r>
      <w:r w:rsidRPr="00F779A6">
        <w:t xml:space="preserve"> Ratified by the UK in 2000. </w:t>
      </w:r>
    </w:p>
  </w:footnote>
  <w:footnote w:id="11">
    <w:p w14:paraId="0B51D5B9" w14:textId="77777777" w:rsidR="008D01F4" w:rsidRPr="00F779A6" w:rsidRDefault="008D01F4" w:rsidP="008D01F4">
      <w:pPr>
        <w:pStyle w:val="NIHRCFootnotes"/>
      </w:pPr>
      <w:r w:rsidRPr="00F779A6">
        <w:rPr>
          <w:rStyle w:val="FootnoteReference"/>
        </w:rPr>
        <w:footnoteRef/>
      </w:r>
      <w:r w:rsidRPr="00F779A6">
        <w:t xml:space="preserve"> Ratified by the UK in 2009.</w:t>
      </w:r>
    </w:p>
  </w:footnote>
  <w:footnote w:id="12">
    <w:p w14:paraId="5D80D82C" w14:textId="77777777" w:rsidR="008D01F4" w:rsidRPr="005B195F" w:rsidRDefault="008D01F4" w:rsidP="008D01F4">
      <w:pPr>
        <w:pStyle w:val="NIHRCFootnotes"/>
      </w:pPr>
      <w:r w:rsidRPr="005B195F">
        <w:rPr>
          <w:rStyle w:val="FootnoteReference"/>
        </w:rPr>
        <w:footnoteRef/>
      </w:r>
      <w:r w:rsidRPr="005B195F">
        <w:t xml:space="preserve"> Signed by the UK in 2012. The UK has not yet ratified this Convention but has committed to do so with the enactment of the Preventing and Combating Violence against Women and Domestic Violence (Ratification of Convention) Act 2017. The UK Mission at Geneva has also stated, “the UK’s approach to signing international treaties is that we only give our signature where we are fully prepared to follow-up with ratification in a short time thereafter”. </w:t>
      </w:r>
      <w:r w:rsidRPr="005B195F">
        <w:rPr>
          <w:i/>
        </w:rPr>
        <w:t>See</w:t>
      </w:r>
      <w:r w:rsidRPr="005B195F">
        <w:t xml:space="preserve"> UK Mission at Geneva, ‘Universal Periodic Review Mid-term Progress Update by the United Kingdom on its Implementation of Recommendations Agreed in June 2008’ (UKMIS), at recommendation 22 (France). </w:t>
      </w:r>
    </w:p>
  </w:footnote>
  <w:footnote w:id="13">
    <w:p w14:paraId="32F1F224" w14:textId="77777777" w:rsidR="008D01F4" w:rsidRPr="005B195F" w:rsidRDefault="008D01F4" w:rsidP="008D01F4">
      <w:pPr>
        <w:pStyle w:val="NIHRCFootnotes"/>
      </w:pPr>
      <w:r w:rsidRPr="005B195F">
        <w:rPr>
          <w:rStyle w:val="FootnoteReference"/>
        </w:rPr>
        <w:footnoteRef/>
      </w:r>
      <w:r w:rsidRPr="005B195F">
        <w:t xml:space="preserve"> Directive 2012/29/EU of the European Parliament and of the Council of 25 October 2012 establishing minimum standards on the rights, support and protection of victims of crime.</w:t>
      </w:r>
    </w:p>
  </w:footnote>
  <w:footnote w:id="14">
    <w:p w14:paraId="06E326F9" w14:textId="77777777" w:rsidR="008D01F4" w:rsidRPr="005B195F" w:rsidRDefault="008D01F4" w:rsidP="008D01F4">
      <w:pPr>
        <w:pStyle w:val="NIHRCFootnotes"/>
      </w:pPr>
      <w:r w:rsidRPr="005B195F">
        <w:rPr>
          <w:rStyle w:val="FootnoteReference"/>
        </w:rPr>
        <w:footnoteRef/>
      </w:r>
      <w:r w:rsidRPr="005B195F">
        <w:t xml:space="preserve"> A/RES/40/34, ‘UN General Assembly Principles of Justice for Victims of Crime and Abuse of Power,’ 29 November 1985 </w:t>
      </w:r>
    </w:p>
  </w:footnote>
  <w:footnote w:id="15">
    <w:p w14:paraId="535AD468" w14:textId="77777777" w:rsidR="008D01F4" w:rsidRPr="005B195F" w:rsidRDefault="008D01F4" w:rsidP="008D01F4">
      <w:pPr>
        <w:pStyle w:val="NIHRCFootnotes"/>
      </w:pPr>
      <w:r w:rsidRPr="005B195F">
        <w:rPr>
          <w:rStyle w:val="FootnoteReference"/>
        </w:rPr>
        <w:footnoteRef/>
      </w:r>
      <w:r w:rsidRPr="005B195F">
        <w:t xml:space="preserve"> A/RES/48/104, ‘UN General Assembly Declaration on the Elimination of Violence against Women,’ </w:t>
      </w:r>
      <w:r w:rsidRPr="005B195F">
        <w:rPr>
          <w:rFonts w:cs="Courier"/>
        </w:rPr>
        <w:t>23 February 1994</w:t>
      </w:r>
    </w:p>
  </w:footnote>
  <w:footnote w:id="16">
    <w:p w14:paraId="5E936B3A" w14:textId="77777777" w:rsidR="008D01F4" w:rsidRPr="005B195F" w:rsidRDefault="008D01F4" w:rsidP="008D01F4">
      <w:pPr>
        <w:pStyle w:val="NIHRCFootnotes"/>
      </w:pPr>
      <w:r w:rsidRPr="005B195F">
        <w:rPr>
          <w:rStyle w:val="FootnoteReference"/>
        </w:rPr>
        <w:footnoteRef/>
      </w:r>
      <w:r w:rsidRPr="005B195F">
        <w:t xml:space="preserve"> UN Beijing Declaration and Platform for Action adopted by the UN 4th World Conference on Women, 4-15 September 1995.</w:t>
      </w:r>
    </w:p>
  </w:footnote>
  <w:footnote w:id="17">
    <w:p w14:paraId="58857AEB" w14:textId="77777777" w:rsidR="008D01F4" w:rsidRPr="005B195F" w:rsidRDefault="008D01F4" w:rsidP="008D01F4">
      <w:pPr>
        <w:pStyle w:val="NIHRCFootnotes"/>
      </w:pPr>
      <w:r w:rsidRPr="005B195F">
        <w:rPr>
          <w:rStyle w:val="FootnoteReference"/>
        </w:rPr>
        <w:footnoteRef/>
      </w:r>
      <w:r w:rsidRPr="005B195F">
        <w:t xml:space="preserve"> Recommendation Rec(2002)5 of the Committee of Ministers to Member States on the protection of women against violence, 30 April 2002</w:t>
      </w:r>
    </w:p>
  </w:footnote>
  <w:footnote w:id="18">
    <w:p w14:paraId="13C963F6" w14:textId="77777777" w:rsidR="008D01F4" w:rsidRPr="005B195F" w:rsidRDefault="008D01F4" w:rsidP="008D01F4">
      <w:pPr>
        <w:pStyle w:val="NIHRCFootnotes"/>
      </w:pPr>
      <w:r w:rsidRPr="005B195F">
        <w:rPr>
          <w:rStyle w:val="FootnoteReference"/>
        </w:rPr>
        <w:footnoteRef/>
      </w:r>
      <w:r w:rsidRPr="005B195F">
        <w:t xml:space="preserve"> A/RES/61/143, ‘UN General Assembly Resolution on Intensification of efforts to eliminate all forms of violence against women,’ 30 January 2007; A/RES/67/144, ‘UN General Assembly Resolution on Intensification of efforts to eliminate all forms of violence against women,’ 20 December 2012 </w:t>
      </w:r>
    </w:p>
  </w:footnote>
  <w:footnote w:id="19">
    <w:p w14:paraId="300C9EFF" w14:textId="77777777" w:rsidR="008D01F4" w:rsidRPr="00F779A6" w:rsidRDefault="008D01F4" w:rsidP="008D01F4">
      <w:pPr>
        <w:pStyle w:val="NIHRCFootnotes"/>
      </w:pPr>
      <w:r w:rsidRPr="005B195F">
        <w:rPr>
          <w:rStyle w:val="FootnoteReference"/>
        </w:rPr>
        <w:footnoteRef/>
      </w:r>
      <w:r w:rsidRPr="005B195F">
        <w:t xml:space="preserve"> A/RES/65/208, ‘UN General Assembly Resolution on Extrajudicial, Summary or Arbitrary Executions,’ 21 December 2010.</w:t>
      </w:r>
    </w:p>
  </w:footnote>
  <w:footnote w:id="20">
    <w:p w14:paraId="6F3C732D" w14:textId="77777777" w:rsidR="008D01F4" w:rsidRPr="00F779A6" w:rsidRDefault="008D01F4" w:rsidP="008D01F4">
      <w:pPr>
        <w:pStyle w:val="NIHRCFootnotes"/>
      </w:pPr>
      <w:r w:rsidRPr="00F779A6">
        <w:rPr>
          <w:rStyle w:val="FootnoteReference"/>
        </w:rPr>
        <w:footnoteRef/>
      </w:r>
      <w:r>
        <w:t xml:space="preserve"> A/RES</w:t>
      </w:r>
      <w:r w:rsidRPr="00F779A6">
        <w:t>/65/228</w:t>
      </w:r>
      <w:r>
        <w:t>, ‘UN General Assembly Resolution on strengthening crime prevention and criminal justice responses to violence against women,’ 21 December 2010.</w:t>
      </w:r>
    </w:p>
  </w:footnote>
  <w:footnote w:id="21">
    <w:p w14:paraId="7D1B7DAE" w14:textId="77777777" w:rsidR="008D01F4" w:rsidRPr="00F779A6" w:rsidRDefault="008D01F4" w:rsidP="008D01F4">
      <w:pPr>
        <w:pStyle w:val="NIHRCFootnotes"/>
      </w:pPr>
      <w:r w:rsidRPr="00F779A6">
        <w:rPr>
          <w:rStyle w:val="FootnoteReference"/>
        </w:rPr>
        <w:footnoteRef/>
      </w:r>
      <w:r w:rsidRPr="00F779A6">
        <w:t xml:space="preserve"> </w:t>
      </w:r>
      <w:r>
        <w:t>E/2013/27, ‘Commission on the Status of Women report on the fifty-seventh session’, 4 – 15 March 2013</w:t>
      </w:r>
    </w:p>
  </w:footnote>
  <w:footnote w:id="22">
    <w:p w14:paraId="22B171A0" w14:textId="77777777" w:rsidR="008D01F4" w:rsidRPr="005564D9" w:rsidRDefault="008D01F4" w:rsidP="008D01F4">
      <w:pPr>
        <w:pStyle w:val="NIHRCFootnotes"/>
      </w:pPr>
      <w:r w:rsidRPr="00F779A6">
        <w:rPr>
          <w:rStyle w:val="FootnoteReference"/>
        </w:rPr>
        <w:footnoteRef/>
      </w:r>
      <w:r w:rsidRPr="00F779A6">
        <w:t xml:space="preserve"> CEDAW/C/GC/35</w:t>
      </w:r>
      <w:r>
        <w:t xml:space="preserve">, ‘UN Committee on the Elimination of Discrimination against Women, General recommendation No.35 </w:t>
      </w:r>
      <w:r w:rsidRPr="005564D9">
        <w:t>on gender-based violence against women’, 14 July 2017.</w:t>
      </w:r>
    </w:p>
  </w:footnote>
  <w:footnote w:id="23">
    <w:p w14:paraId="0C60D2E2" w14:textId="77777777" w:rsidR="005B195F" w:rsidRPr="007F07EC" w:rsidRDefault="005B195F">
      <w:pPr>
        <w:pStyle w:val="FootnoteText"/>
        <w:rPr>
          <w:sz w:val="18"/>
          <w:szCs w:val="18"/>
        </w:rPr>
      </w:pPr>
      <w:r w:rsidRPr="005564D9">
        <w:rPr>
          <w:rStyle w:val="FootnoteReference"/>
          <w:color w:val="77328A"/>
          <w:sz w:val="16"/>
          <w:szCs w:val="16"/>
        </w:rPr>
        <w:footnoteRef/>
      </w:r>
      <w:r w:rsidRPr="005564D9">
        <w:rPr>
          <w:color w:val="77328A"/>
          <w:sz w:val="16"/>
          <w:szCs w:val="16"/>
        </w:rPr>
        <w:t xml:space="preserve"> </w:t>
      </w:r>
      <w:r w:rsidR="00A94E42" w:rsidRPr="005564D9">
        <w:rPr>
          <w:color w:val="77328A"/>
          <w:sz w:val="16"/>
          <w:szCs w:val="16"/>
        </w:rPr>
        <w:t>NI Human Rights Commission, ‘Submission to DOJ’s Consultation on Creating a New Offence of Stalking in Northern Ireland</w:t>
      </w:r>
      <w:r w:rsidR="005564D9" w:rsidRPr="005564D9">
        <w:rPr>
          <w:color w:val="77328A"/>
          <w:sz w:val="16"/>
          <w:szCs w:val="16"/>
        </w:rPr>
        <w:t>’, 25 February 2019.</w:t>
      </w:r>
      <w:r w:rsidR="005564D9">
        <w:rPr>
          <w:color w:val="77328A"/>
          <w:sz w:val="18"/>
          <w:szCs w:val="18"/>
        </w:rPr>
        <w:t xml:space="preserve"> </w:t>
      </w:r>
    </w:p>
  </w:footnote>
  <w:footnote w:id="24">
    <w:p w14:paraId="7986CDB6" w14:textId="77777777" w:rsidR="007A061B" w:rsidRPr="00B16782" w:rsidRDefault="007A061B" w:rsidP="007A061B">
      <w:pPr>
        <w:pStyle w:val="FootnoteText"/>
        <w:rPr>
          <w:color w:val="77328A"/>
          <w:sz w:val="16"/>
          <w:szCs w:val="16"/>
        </w:rPr>
      </w:pPr>
      <w:r w:rsidRPr="00B16782">
        <w:rPr>
          <w:rStyle w:val="FootnoteReference"/>
          <w:color w:val="77328A"/>
          <w:sz w:val="16"/>
          <w:szCs w:val="16"/>
        </w:rPr>
        <w:footnoteRef/>
      </w:r>
      <w:r w:rsidRPr="00B16782">
        <w:rPr>
          <w:color w:val="77328A"/>
          <w:sz w:val="16"/>
          <w:szCs w:val="16"/>
        </w:rPr>
        <w:t xml:space="preserve"> John Gillen, ‘Gillen Review Report into the Law and Procedures in Serious Sexual Offences in Northern Ireland Recommendations’ (</w:t>
      </w:r>
      <w:proofErr w:type="spellStart"/>
      <w:r w:rsidRPr="00B16782">
        <w:rPr>
          <w:color w:val="77328A"/>
          <w:sz w:val="16"/>
          <w:szCs w:val="16"/>
        </w:rPr>
        <w:t>DoJ</w:t>
      </w:r>
      <w:proofErr w:type="spellEnd"/>
      <w:r w:rsidRPr="00B16782">
        <w:rPr>
          <w:color w:val="77328A"/>
          <w:sz w:val="16"/>
          <w:szCs w:val="16"/>
        </w:rPr>
        <w:t>, 2019).</w:t>
      </w:r>
    </w:p>
  </w:footnote>
  <w:footnote w:id="25">
    <w:p w14:paraId="23A06DCD" w14:textId="7EED9127" w:rsidR="00235098" w:rsidRPr="00B16782" w:rsidRDefault="00235098">
      <w:pPr>
        <w:pStyle w:val="FootnoteText"/>
        <w:rPr>
          <w:sz w:val="16"/>
          <w:szCs w:val="16"/>
        </w:rPr>
      </w:pPr>
      <w:r w:rsidRPr="00B16782">
        <w:rPr>
          <w:rStyle w:val="FootnoteReference"/>
          <w:color w:val="77328A"/>
          <w:sz w:val="16"/>
          <w:szCs w:val="16"/>
        </w:rPr>
        <w:footnoteRef/>
      </w:r>
      <w:r w:rsidRPr="00B16782">
        <w:rPr>
          <w:color w:val="77328A"/>
          <w:sz w:val="16"/>
          <w:szCs w:val="16"/>
        </w:rPr>
        <w:t xml:space="preserve"> </w:t>
      </w:r>
      <w:r w:rsidR="00B16782" w:rsidRPr="00B16782">
        <w:rPr>
          <w:color w:val="77328A"/>
          <w:sz w:val="16"/>
          <w:szCs w:val="16"/>
        </w:rPr>
        <w:t xml:space="preserve">NI Assembly Hansard, ‘Ministerial Statement: Civil Justice Modernisation – Minister for Justice </w:t>
      </w:r>
      <w:proofErr w:type="spellStart"/>
      <w:r w:rsidR="00B16782" w:rsidRPr="00B16782">
        <w:rPr>
          <w:color w:val="77328A"/>
          <w:sz w:val="16"/>
          <w:szCs w:val="16"/>
        </w:rPr>
        <w:t>Niaomi</w:t>
      </w:r>
      <w:proofErr w:type="spellEnd"/>
      <w:r w:rsidR="00B16782" w:rsidRPr="00B16782">
        <w:rPr>
          <w:color w:val="77328A"/>
          <w:sz w:val="16"/>
          <w:szCs w:val="16"/>
        </w:rPr>
        <w:t xml:space="preserve"> Long MLA’, 23 March 2021.</w:t>
      </w:r>
    </w:p>
  </w:footnote>
  <w:footnote w:id="26">
    <w:p w14:paraId="438EC65D" w14:textId="77777777" w:rsidR="003215ED" w:rsidRPr="005564D9" w:rsidRDefault="003215ED">
      <w:pPr>
        <w:pStyle w:val="FootnoteText"/>
        <w:rPr>
          <w:sz w:val="16"/>
          <w:szCs w:val="16"/>
        </w:rPr>
      </w:pPr>
      <w:r w:rsidRPr="005564D9">
        <w:rPr>
          <w:rStyle w:val="FootnoteReference"/>
          <w:color w:val="77328A"/>
          <w:sz w:val="16"/>
          <w:szCs w:val="16"/>
        </w:rPr>
        <w:footnoteRef/>
      </w:r>
      <w:r w:rsidRPr="005564D9">
        <w:rPr>
          <w:color w:val="77328A"/>
          <w:sz w:val="16"/>
          <w:szCs w:val="16"/>
        </w:rPr>
        <w:t xml:space="preserve"> </w:t>
      </w:r>
      <w:r w:rsidR="00971EF6" w:rsidRPr="005564D9">
        <w:rPr>
          <w:i/>
          <w:color w:val="77328A"/>
          <w:sz w:val="16"/>
          <w:szCs w:val="16"/>
        </w:rPr>
        <w:t>Del Rio Prada v Spain</w:t>
      </w:r>
      <w:r w:rsidR="00971EF6" w:rsidRPr="005564D9">
        <w:rPr>
          <w:color w:val="77328A"/>
          <w:sz w:val="16"/>
          <w:szCs w:val="16"/>
        </w:rPr>
        <w:t xml:space="preserve"> (2013) ECHR 1004; </w:t>
      </w:r>
      <w:proofErr w:type="spellStart"/>
      <w:r w:rsidR="00971EF6" w:rsidRPr="005564D9">
        <w:rPr>
          <w:i/>
          <w:color w:val="77328A"/>
          <w:sz w:val="16"/>
          <w:szCs w:val="16"/>
        </w:rPr>
        <w:t>Kokkinakis</w:t>
      </w:r>
      <w:proofErr w:type="spellEnd"/>
      <w:r w:rsidR="00971EF6" w:rsidRPr="005564D9">
        <w:rPr>
          <w:i/>
          <w:color w:val="77328A"/>
          <w:sz w:val="16"/>
          <w:szCs w:val="16"/>
        </w:rPr>
        <w:t xml:space="preserve"> v Greece</w:t>
      </w:r>
      <w:r w:rsidR="00971EF6" w:rsidRPr="005564D9">
        <w:rPr>
          <w:color w:val="77328A"/>
          <w:sz w:val="16"/>
          <w:szCs w:val="16"/>
        </w:rPr>
        <w:t xml:space="preserve"> (1993) ECHR 397. </w:t>
      </w:r>
    </w:p>
  </w:footnote>
  <w:footnote w:id="27">
    <w:p w14:paraId="575CB261" w14:textId="77777777" w:rsidR="001F4559" w:rsidRPr="007A061B" w:rsidRDefault="001F4559" w:rsidP="007A061B">
      <w:pPr>
        <w:pStyle w:val="FootnoteText"/>
        <w:rPr>
          <w:sz w:val="18"/>
          <w:szCs w:val="18"/>
        </w:rPr>
      </w:pPr>
      <w:r w:rsidRPr="005564D9">
        <w:rPr>
          <w:rStyle w:val="FootnoteReference"/>
          <w:color w:val="77328A"/>
          <w:sz w:val="16"/>
          <w:szCs w:val="18"/>
        </w:rPr>
        <w:footnoteRef/>
      </w:r>
      <w:r w:rsidRPr="005564D9">
        <w:rPr>
          <w:color w:val="77328A"/>
          <w:sz w:val="16"/>
          <w:szCs w:val="18"/>
        </w:rPr>
        <w:t xml:space="preserve"> </w:t>
      </w:r>
      <w:r w:rsidR="007A061B" w:rsidRPr="005564D9">
        <w:rPr>
          <w:color w:val="77328A"/>
          <w:sz w:val="16"/>
          <w:szCs w:val="18"/>
        </w:rPr>
        <w:t>CEDAW/C/GBR/CO/8, ‘UN CEDAW Committee Concluding Observations on the Eighth Periodic Report of the UK of Great Britain and NI’, 14 March 2019, at para 26(d).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D2D"/>
    <w:multiLevelType w:val="multilevel"/>
    <w:tmpl w:val="FD52B8B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59E2D9A"/>
    <w:multiLevelType w:val="multilevel"/>
    <w:tmpl w:val="5E36B93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0EBE347E"/>
    <w:multiLevelType w:val="multilevel"/>
    <w:tmpl w:val="D5780AD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B322F6"/>
    <w:multiLevelType w:val="multilevel"/>
    <w:tmpl w:val="DBA020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20650B35"/>
    <w:multiLevelType w:val="hybridMultilevel"/>
    <w:tmpl w:val="34B436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F1392C"/>
    <w:multiLevelType w:val="multilevel"/>
    <w:tmpl w:val="07885952"/>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8"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D83FF0"/>
    <w:multiLevelType w:val="hybridMultilevel"/>
    <w:tmpl w:val="55C49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586DFB"/>
    <w:multiLevelType w:val="multilevel"/>
    <w:tmpl w:val="07885952"/>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2" w15:restartNumberingAfterBreak="0">
    <w:nsid w:val="46C95F85"/>
    <w:multiLevelType w:val="multilevel"/>
    <w:tmpl w:val="07885952"/>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3"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6E7CF3"/>
    <w:multiLevelType w:val="multilevel"/>
    <w:tmpl w:val="D5780AD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38433B5"/>
    <w:multiLevelType w:val="hybridMultilevel"/>
    <w:tmpl w:val="E8CC82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7D4270B"/>
    <w:multiLevelType w:val="hybridMultilevel"/>
    <w:tmpl w:val="02D4B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A0280"/>
    <w:multiLevelType w:val="multilevel"/>
    <w:tmpl w:val="07885952"/>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8" w15:restartNumberingAfterBreak="0">
    <w:nsid w:val="630C7D97"/>
    <w:multiLevelType w:val="multilevel"/>
    <w:tmpl w:val="07885952"/>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9" w15:restartNumberingAfterBreak="0">
    <w:nsid w:val="686A6CB1"/>
    <w:multiLevelType w:val="multilevel"/>
    <w:tmpl w:val="9C4EDE5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b w:val="0"/>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8F60202"/>
    <w:multiLevelType w:val="hybridMultilevel"/>
    <w:tmpl w:val="481CE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4299A"/>
    <w:multiLevelType w:val="hybridMultilevel"/>
    <w:tmpl w:val="542ED382"/>
    <w:lvl w:ilvl="0" w:tplc="0809000F">
      <w:start w:val="1"/>
      <w:numFmt w:val="decimal"/>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2" w15:restartNumberingAfterBreak="0">
    <w:nsid w:val="6C501791"/>
    <w:multiLevelType w:val="multilevel"/>
    <w:tmpl w:val="9AA405B2"/>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0193877"/>
    <w:multiLevelType w:val="multilevel"/>
    <w:tmpl w:val="DBA0209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4"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2C2BCF"/>
    <w:multiLevelType w:val="hybridMultilevel"/>
    <w:tmpl w:val="DF404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810409"/>
    <w:multiLevelType w:val="multilevel"/>
    <w:tmpl w:val="07885952"/>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7"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7"/>
  </w:num>
  <w:num w:numId="3">
    <w:abstractNumId w:val="3"/>
  </w:num>
  <w:num w:numId="4">
    <w:abstractNumId w:val="8"/>
  </w:num>
  <w:num w:numId="5">
    <w:abstractNumId w:val="24"/>
  </w:num>
  <w:num w:numId="6">
    <w:abstractNumId w:val="6"/>
  </w:num>
  <w:num w:numId="7">
    <w:abstractNumId w:val="10"/>
  </w:num>
  <w:num w:numId="8">
    <w:abstractNumId w:val="16"/>
  </w:num>
  <w:num w:numId="9">
    <w:abstractNumId w:val="12"/>
  </w:num>
  <w:num w:numId="10">
    <w:abstractNumId w:val="15"/>
  </w:num>
  <w:num w:numId="11">
    <w:abstractNumId w:val="5"/>
  </w:num>
  <w:num w:numId="12">
    <w:abstractNumId w:val="19"/>
  </w:num>
  <w:num w:numId="13">
    <w:abstractNumId w:val="20"/>
  </w:num>
  <w:num w:numId="14">
    <w:abstractNumId w:val="7"/>
  </w:num>
  <w:num w:numId="15">
    <w:abstractNumId w:val="25"/>
  </w:num>
  <w:num w:numId="16">
    <w:abstractNumId w:val="11"/>
  </w:num>
  <w:num w:numId="17">
    <w:abstractNumId w:val="18"/>
  </w:num>
  <w:num w:numId="18">
    <w:abstractNumId w:val="26"/>
  </w:num>
  <w:num w:numId="19">
    <w:abstractNumId w:val="17"/>
  </w:num>
  <w:num w:numId="20">
    <w:abstractNumId w:val="1"/>
  </w:num>
  <w:num w:numId="21">
    <w:abstractNumId w:val="2"/>
  </w:num>
  <w:num w:numId="22">
    <w:abstractNumId w:val="0"/>
  </w:num>
  <w:num w:numId="23">
    <w:abstractNumId w:val="14"/>
  </w:num>
  <w:num w:numId="24">
    <w:abstractNumId w:val="21"/>
  </w:num>
  <w:num w:numId="25">
    <w:abstractNumId w:val="9"/>
  </w:num>
  <w:num w:numId="26">
    <w:abstractNumId w:val="23"/>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46705"/>
    <w:rsid w:val="0005379E"/>
    <w:rsid w:val="00080EC0"/>
    <w:rsid w:val="000E1F61"/>
    <w:rsid w:val="000E7F0C"/>
    <w:rsid w:val="001E4962"/>
    <w:rsid w:val="001E79A9"/>
    <w:rsid w:val="001F4559"/>
    <w:rsid w:val="00210D7D"/>
    <w:rsid w:val="00213B8A"/>
    <w:rsid w:val="00224140"/>
    <w:rsid w:val="00235098"/>
    <w:rsid w:val="002351CB"/>
    <w:rsid w:val="002428EC"/>
    <w:rsid w:val="0027001C"/>
    <w:rsid w:val="002B1272"/>
    <w:rsid w:val="00306317"/>
    <w:rsid w:val="003215ED"/>
    <w:rsid w:val="00331C61"/>
    <w:rsid w:val="00341BFE"/>
    <w:rsid w:val="00367CCA"/>
    <w:rsid w:val="00370547"/>
    <w:rsid w:val="003A7070"/>
    <w:rsid w:val="003B7D0E"/>
    <w:rsid w:val="003D09D2"/>
    <w:rsid w:val="00413EA9"/>
    <w:rsid w:val="00453901"/>
    <w:rsid w:val="00463D6B"/>
    <w:rsid w:val="00466A2E"/>
    <w:rsid w:val="004672AC"/>
    <w:rsid w:val="004B5E12"/>
    <w:rsid w:val="00542C0B"/>
    <w:rsid w:val="00552293"/>
    <w:rsid w:val="00555C8D"/>
    <w:rsid w:val="005564D9"/>
    <w:rsid w:val="005651FC"/>
    <w:rsid w:val="00566574"/>
    <w:rsid w:val="005B195F"/>
    <w:rsid w:val="005B723E"/>
    <w:rsid w:val="005D20BC"/>
    <w:rsid w:val="00610E78"/>
    <w:rsid w:val="00653375"/>
    <w:rsid w:val="00656ECD"/>
    <w:rsid w:val="006A35B3"/>
    <w:rsid w:val="006D4136"/>
    <w:rsid w:val="006E1587"/>
    <w:rsid w:val="00705833"/>
    <w:rsid w:val="00712493"/>
    <w:rsid w:val="00742632"/>
    <w:rsid w:val="00755C2F"/>
    <w:rsid w:val="007569C1"/>
    <w:rsid w:val="00797A5D"/>
    <w:rsid w:val="007A061B"/>
    <w:rsid w:val="007E48BA"/>
    <w:rsid w:val="007F07EC"/>
    <w:rsid w:val="007F266D"/>
    <w:rsid w:val="007F74A9"/>
    <w:rsid w:val="008113D8"/>
    <w:rsid w:val="00812D47"/>
    <w:rsid w:val="008159E8"/>
    <w:rsid w:val="00837880"/>
    <w:rsid w:val="00861B94"/>
    <w:rsid w:val="0087161B"/>
    <w:rsid w:val="00872187"/>
    <w:rsid w:val="00875E68"/>
    <w:rsid w:val="008D01F4"/>
    <w:rsid w:val="008D7C32"/>
    <w:rsid w:val="00947E8B"/>
    <w:rsid w:val="00962B2B"/>
    <w:rsid w:val="0096459E"/>
    <w:rsid w:val="00971EF6"/>
    <w:rsid w:val="00987496"/>
    <w:rsid w:val="00991F97"/>
    <w:rsid w:val="009C5403"/>
    <w:rsid w:val="00A33337"/>
    <w:rsid w:val="00A349F7"/>
    <w:rsid w:val="00A877AC"/>
    <w:rsid w:val="00A94E42"/>
    <w:rsid w:val="00AB4089"/>
    <w:rsid w:val="00B16782"/>
    <w:rsid w:val="00B96D34"/>
    <w:rsid w:val="00BE5849"/>
    <w:rsid w:val="00C2725D"/>
    <w:rsid w:val="00C437F8"/>
    <w:rsid w:val="00C76E49"/>
    <w:rsid w:val="00CE3039"/>
    <w:rsid w:val="00CE5A41"/>
    <w:rsid w:val="00CF0261"/>
    <w:rsid w:val="00D12EF8"/>
    <w:rsid w:val="00D16532"/>
    <w:rsid w:val="00D2770F"/>
    <w:rsid w:val="00D42675"/>
    <w:rsid w:val="00DD068C"/>
    <w:rsid w:val="00E104D7"/>
    <w:rsid w:val="00E10B0F"/>
    <w:rsid w:val="00EA12CE"/>
    <w:rsid w:val="00EA2EB7"/>
    <w:rsid w:val="00F24633"/>
    <w:rsid w:val="00F31387"/>
    <w:rsid w:val="00F3412C"/>
    <w:rsid w:val="00F43CE4"/>
    <w:rsid w:val="00F56C78"/>
    <w:rsid w:val="00FF3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EA97C"/>
  <w14:defaultImageDpi w14:val="300"/>
  <w15:docId w15:val="{255AA6F3-674F-47B0-8263-D0F6DBA8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12C"/>
    <w:rPr>
      <w:rFonts w:ascii="Verdana" w:hAnsi="Verdana"/>
    </w:rPr>
  </w:style>
  <w:style w:type="paragraph" w:styleId="Heading1">
    <w:name w:val="heading 1"/>
    <w:basedOn w:val="Normal"/>
    <w:next w:val="Normal"/>
    <w:link w:val="Heading1Char"/>
    <w:uiPriority w:val="9"/>
    <w:qFormat/>
    <w:rsid w:val="005B195F"/>
    <w:pPr>
      <w:keepNext/>
      <w:keepLines/>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E104D7"/>
    <w:pPr>
      <w:keepNext/>
      <w:keepLines/>
      <w:spacing w:before="40"/>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Black,Nota"/>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27001C"/>
    <w:pPr>
      <w:ind w:left="720"/>
      <w:contextualSpacing/>
    </w:p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8D01F4"/>
    <w:pPr>
      <w:spacing w:after="160" w:line="240" w:lineRule="exact"/>
      <w:jc w:val="both"/>
    </w:pPr>
    <w:rPr>
      <w:vertAlign w:val="superscript"/>
    </w:rPr>
  </w:style>
  <w:style w:type="paragraph" w:styleId="Subtitle">
    <w:name w:val="Subtitle"/>
    <w:basedOn w:val="Normal"/>
    <w:next w:val="Normal"/>
    <w:link w:val="SubtitleChar"/>
    <w:uiPriority w:val="11"/>
    <w:qFormat/>
    <w:rsid w:val="008113D8"/>
    <w:pPr>
      <w:numPr>
        <w:ilvl w:val="1"/>
      </w:numPr>
      <w:spacing w:after="160"/>
    </w:pPr>
    <w:rPr>
      <w:b/>
      <w:spacing w:val="15"/>
      <w:szCs w:val="22"/>
    </w:rPr>
  </w:style>
  <w:style w:type="character" w:customStyle="1" w:styleId="SubtitleChar">
    <w:name w:val="Subtitle Char"/>
    <w:basedOn w:val="DefaultParagraphFont"/>
    <w:link w:val="Subtitle"/>
    <w:uiPriority w:val="11"/>
    <w:rsid w:val="008113D8"/>
    <w:rPr>
      <w:rFonts w:ascii="Verdana" w:hAnsi="Verdana"/>
      <w:b/>
      <w:spacing w:val="15"/>
      <w:szCs w:val="22"/>
    </w:rPr>
  </w:style>
  <w:style w:type="character" w:styleId="CommentReference">
    <w:name w:val="annotation reference"/>
    <w:basedOn w:val="DefaultParagraphFont"/>
    <w:uiPriority w:val="99"/>
    <w:semiHidden/>
    <w:unhideWhenUsed/>
    <w:rsid w:val="009C5403"/>
    <w:rPr>
      <w:sz w:val="16"/>
      <w:szCs w:val="16"/>
    </w:rPr>
  </w:style>
  <w:style w:type="paragraph" w:styleId="CommentText">
    <w:name w:val="annotation text"/>
    <w:basedOn w:val="Normal"/>
    <w:link w:val="CommentTextChar"/>
    <w:uiPriority w:val="99"/>
    <w:semiHidden/>
    <w:unhideWhenUsed/>
    <w:rsid w:val="009C5403"/>
    <w:rPr>
      <w:sz w:val="20"/>
      <w:szCs w:val="20"/>
    </w:rPr>
  </w:style>
  <w:style w:type="character" w:customStyle="1" w:styleId="CommentTextChar">
    <w:name w:val="Comment Text Char"/>
    <w:basedOn w:val="DefaultParagraphFont"/>
    <w:link w:val="CommentText"/>
    <w:uiPriority w:val="99"/>
    <w:semiHidden/>
    <w:rsid w:val="009C540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C5403"/>
    <w:rPr>
      <w:b/>
      <w:bCs/>
    </w:rPr>
  </w:style>
  <w:style w:type="character" w:customStyle="1" w:styleId="CommentSubjectChar">
    <w:name w:val="Comment Subject Char"/>
    <w:basedOn w:val="CommentTextChar"/>
    <w:link w:val="CommentSubject"/>
    <w:uiPriority w:val="99"/>
    <w:semiHidden/>
    <w:rsid w:val="009C5403"/>
    <w:rPr>
      <w:rFonts w:ascii="Verdana" w:hAnsi="Verdana"/>
      <w:b/>
      <w:bCs/>
      <w:sz w:val="20"/>
      <w:szCs w:val="20"/>
    </w:rPr>
  </w:style>
  <w:style w:type="character" w:customStyle="1" w:styleId="Heading2Char">
    <w:name w:val="Heading 2 Char"/>
    <w:basedOn w:val="DefaultParagraphFont"/>
    <w:link w:val="Heading2"/>
    <w:uiPriority w:val="9"/>
    <w:rsid w:val="00E104D7"/>
    <w:rPr>
      <w:rFonts w:ascii="Verdana" w:eastAsiaTheme="majorEastAsia" w:hAnsi="Verdana" w:cstheme="majorBidi"/>
      <w:b/>
      <w:szCs w:val="26"/>
    </w:rPr>
  </w:style>
  <w:style w:type="character" w:customStyle="1" w:styleId="Heading1Char">
    <w:name w:val="Heading 1 Char"/>
    <w:basedOn w:val="DefaultParagraphFont"/>
    <w:link w:val="Heading1"/>
    <w:uiPriority w:val="9"/>
    <w:rsid w:val="005B195F"/>
    <w:rPr>
      <w:rFonts w:ascii="Verdana" w:eastAsiaTheme="majorEastAsia" w:hAnsi="Verdana" w:cstheme="majorBidi"/>
      <w:b/>
      <w:color w:val="77328A"/>
      <w:sz w:val="30"/>
      <w:szCs w:val="32"/>
    </w:rPr>
  </w:style>
  <w:style w:type="paragraph" w:styleId="Quote">
    <w:name w:val="Quote"/>
    <w:basedOn w:val="Normal"/>
    <w:next w:val="Normal"/>
    <w:link w:val="QuoteChar"/>
    <w:uiPriority w:val="29"/>
    <w:qFormat/>
    <w:rsid w:val="00947E8B"/>
    <w:pPr>
      <w:spacing w:before="200" w:after="160"/>
      <w:ind w:left="864" w:right="864"/>
    </w:pPr>
    <w:rPr>
      <w:iCs/>
    </w:rPr>
  </w:style>
  <w:style w:type="character" w:customStyle="1" w:styleId="QuoteChar">
    <w:name w:val="Quote Char"/>
    <w:basedOn w:val="DefaultParagraphFont"/>
    <w:link w:val="Quote"/>
    <w:uiPriority w:val="29"/>
    <w:rsid w:val="00947E8B"/>
    <w:rPr>
      <w:rFonts w:ascii="Verdana" w:hAnsi="Verdana"/>
      <w:iCs/>
    </w:rPr>
  </w:style>
  <w:style w:type="paragraph" w:styleId="TOCHeading">
    <w:name w:val="TOC Heading"/>
    <w:basedOn w:val="Heading1"/>
    <w:next w:val="Normal"/>
    <w:uiPriority w:val="39"/>
    <w:unhideWhenUsed/>
    <w:qFormat/>
    <w:rsid w:val="007F07EC"/>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7F07EC"/>
    <w:pPr>
      <w:tabs>
        <w:tab w:val="left" w:pos="660"/>
        <w:tab w:val="right" w:leader="dot" w:pos="9848"/>
      </w:tabs>
      <w:spacing w:after="100"/>
    </w:pPr>
    <w:rPr>
      <w:b/>
      <w:noProof/>
    </w:rPr>
  </w:style>
  <w:style w:type="paragraph" w:styleId="TOC2">
    <w:name w:val="toc 2"/>
    <w:basedOn w:val="Normal"/>
    <w:next w:val="Normal"/>
    <w:autoRedefine/>
    <w:uiPriority w:val="39"/>
    <w:unhideWhenUsed/>
    <w:rsid w:val="007F07E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B7D2D-BFC1-40C5-88D1-5D0A9737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Sarah Simms</cp:lastModifiedBy>
  <cp:revision>2</cp:revision>
  <cp:lastPrinted>2018-04-20T11:30:00Z</cp:lastPrinted>
  <dcterms:created xsi:type="dcterms:W3CDTF">2021-04-16T08:42:00Z</dcterms:created>
  <dcterms:modified xsi:type="dcterms:W3CDTF">2021-04-16T08:42:00Z</dcterms:modified>
</cp:coreProperties>
</file>