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F5B" w:rsidRPr="00052714" w:rsidRDefault="00B96F5B" w:rsidP="00B96F5B">
      <w:pPr>
        <w:jc w:val="center"/>
        <w:rPr>
          <w:sz w:val="22"/>
        </w:rPr>
      </w:pPr>
      <w:r w:rsidRPr="00052714">
        <w:rPr>
          <w:noProof/>
          <w:sz w:val="22"/>
          <w:lang w:eastAsia="en-GB"/>
        </w:rPr>
        <w:drawing>
          <wp:inline distT="0" distB="0" distL="0" distR="0" wp14:anchorId="57C0A3F7" wp14:editId="145F214F">
            <wp:extent cx="1470581" cy="1895699"/>
            <wp:effectExtent l="0" t="0" r="0" b="0"/>
            <wp:docPr id="2" name="Picture 2" descr="C:\Users\Lorraine.Hamill\AppData\Local\Microsoft\Windows\Temporary Internet Files\Content.Outlook\7CPNRB1X\NIHRC_Portrait_Purple (CMYK)_bckgrn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orraine.Hamill\AppData\Local\Microsoft\Windows\Temporary Internet Files\Content.Outlook\7CPNRB1X\NIHRC_Portrait_Purple (CMYK)_bckgrnd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0633" cy="1895766"/>
                    </a:xfrm>
                    <a:prstGeom prst="rect">
                      <a:avLst/>
                    </a:prstGeom>
                    <a:noFill/>
                    <a:ln>
                      <a:noFill/>
                    </a:ln>
                  </pic:spPr>
                </pic:pic>
              </a:graphicData>
            </a:graphic>
          </wp:inline>
        </w:drawing>
      </w:r>
    </w:p>
    <w:p w:rsidR="00A81211" w:rsidRPr="00052714" w:rsidRDefault="00306B81" w:rsidP="00A81211">
      <w:pPr>
        <w:jc w:val="center"/>
        <w:rPr>
          <w:b/>
          <w:sz w:val="22"/>
        </w:rPr>
      </w:pPr>
      <w:r w:rsidRPr="00052714">
        <w:rPr>
          <w:b/>
          <w:sz w:val="22"/>
        </w:rPr>
        <w:t xml:space="preserve">Children and Young People’s Strategy 2017-2027 </w:t>
      </w:r>
    </w:p>
    <w:p w:rsidR="00B867D0" w:rsidRPr="00052714" w:rsidRDefault="0078297C" w:rsidP="00B867D0">
      <w:pPr>
        <w:pStyle w:val="NoSpacing"/>
        <w:rPr>
          <w:sz w:val="22"/>
        </w:rPr>
      </w:pPr>
      <w:r w:rsidRPr="00052714">
        <w:rPr>
          <w:noProof/>
          <w:sz w:val="22"/>
          <w:lang w:eastAsia="en-GB"/>
        </w:rPr>
        <mc:AlternateContent>
          <mc:Choice Requires="wps">
            <w:drawing>
              <wp:anchor distT="0" distB="0" distL="114300" distR="114300" simplePos="0" relativeHeight="251659264" behindDoc="0" locked="0" layoutInCell="1" allowOverlap="1" wp14:anchorId="208DA0BA" wp14:editId="745BCEEB">
                <wp:simplePos x="0" y="0"/>
                <wp:positionH relativeFrom="column">
                  <wp:posOffset>-276225</wp:posOffset>
                </wp:positionH>
                <wp:positionV relativeFrom="paragraph">
                  <wp:posOffset>76835</wp:posOffset>
                </wp:positionV>
                <wp:extent cx="6219825" cy="65722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6219825" cy="65722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margin-left:-21.75pt;margin-top:6.05pt;width:489.75pt;height:5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" filled="f" strokecolor="black [3213]" strokeweight=".25pt"/>
            </w:pict>
          </mc:Fallback>
        </mc:AlternateContent>
      </w:r>
    </w:p>
    <w:p w:rsidR="00A81211" w:rsidRPr="00052714" w:rsidRDefault="00A81211" w:rsidP="00B867D0">
      <w:pPr>
        <w:pStyle w:val="NoSpacing"/>
        <w:rPr>
          <w:b/>
          <w:sz w:val="22"/>
        </w:rPr>
      </w:pPr>
      <w:r w:rsidRPr="00052714">
        <w:rPr>
          <w:b/>
          <w:sz w:val="22"/>
        </w:rPr>
        <w:t>Summary</w:t>
      </w:r>
    </w:p>
    <w:p w:rsidR="00B867D0" w:rsidRPr="00052714" w:rsidRDefault="00B867D0" w:rsidP="00B867D0">
      <w:pPr>
        <w:pStyle w:val="NoSpacing"/>
        <w:rPr>
          <w:sz w:val="22"/>
        </w:rPr>
      </w:pPr>
    </w:p>
    <w:p w:rsidR="006630FF" w:rsidRPr="00052714" w:rsidRDefault="006630FF" w:rsidP="0078297C">
      <w:pPr>
        <w:rPr>
          <w:b/>
          <w:sz w:val="22"/>
        </w:rPr>
      </w:pPr>
      <w:r w:rsidRPr="00052714">
        <w:rPr>
          <w:b/>
          <w:sz w:val="22"/>
        </w:rPr>
        <w:t>The Northern Ireland Human Right</w:t>
      </w:r>
      <w:r w:rsidR="009D40D8" w:rsidRPr="00052714">
        <w:rPr>
          <w:b/>
          <w:sz w:val="22"/>
        </w:rPr>
        <w:t>s Commission (‘the Commission’);</w:t>
      </w:r>
    </w:p>
    <w:p w:rsidR="00B867D0" w:rsidRPr="00052714" w:rsidRDefault="009D40D8" w:rsidP="00B867D0">
      <w:pPr>
        <w:pStyle w:val="ListParagraph"/>
        <w:rPr>
          <w:b/>
          <w:sz w:val="22"/>
        </w:rPr>
      </w:pPr>
      <w:proofErr w:type="gramStart"/>
      <w:r w:rsidRPr="00052714">
        <w:rPr>
          <w:b/>
          <w:sz w:val="22"/>
        </w:rPr>
        <w:t>welcomes</w:t>
      </w:r>
      <w:proofErr w:type="gramEnd"/>
      <w:r w:rsidR="00567F3A">
        <w:rPr>
          <w:b/>
          <w:sz w:val="22"/>
        </w:rPr>
        <w:t xml:space="preserve"> the alignment of the draft s</w:t>
      </w:r>
      <w:r w:rsidRPr="00052714">
        <w:rPr>
          <w:b/>
          <w:sz w:val="22"/>
        </w:rPr>
        <w:t>trategy’s outcomes and implementation with international human rights standards. The Commission further welcomes the commitment to a rights-</w:t>
      </w:r>
      <w:r w:rsidR="00B25009">
        <w:rPr>
          <w:b/>
          <w:sz w:val="22"/>
        </w:rPr>
        <w:t>based approach under the draft s</w:t>
      </w:r>
      <w:r w:rsidRPr="00052714">
        <w:rPr>
          <w:b/>
          <w:sz w:val="22"/>
        </w:rPr>
        <w:t>trategy aimed at improving human rights awareness and educa</w:t>
      </w:r>
      <w:r w:rsidR="00052714" w:rsidRPr="00052714">
        <w:rPr>
          <w:b/>
          <w:sz w:val="22"/>
        </w:rPr>
        <w:t>tion in children and adults (2.2</w:t>
      </w:r>
      <w:r w:rsidRPr="00052714">
        <w:rPr>
          <w:b/>
          <w:sz w:val="22"/>
        </w:rPr>
        <w:t>);</w:t>
      </w:r>
    </w:p>
    <w:p w:rsidR="009D40D8" w:rsidRPr="00052714" w:rsidRDefault="009D40D8" w:rsidP="00B867D0">
      <w:pPr>
        <w:pStyle w:val="ListParagraph"/>
        <w:rPr>
          <w:b/>
          <w:sz w:val="22"/>
        </w:rPr>
      </w:pPr>
    </w:p>
    <w:p w:rsidR="009D40D8" w:rsidRPr="00052714" w:rsidRDefault="009D40D8" w:rsidP="00B867D0">
      <w:pPr>
        <w:pStyle w:val="ListParagraph"/>
        <w:rPr>
          <w:rFonts w:eastAsia="Calibri" w:cs="Tahoma"/>
          <w:b/>
          <w:sz w:val="22"/>
        </w:rPr>
      </w:pPr>
      <w:proofErr w:type="gramStart"/>
      <w:r w:rsidRPr="00052714">
        <w:rPr>
          <w:rFonts w:eastAsia="Calibri" w:cs="Tahoma"/>
          <w:b/>
          <w:sz w:val="22"/>
        </w:rPr>
        <w:t>advises</w:t>
      </w:r>
      <w:proofErr w:type="gramEnd"/>
      <w:r w:rsidRPr="00052714">
        <w:rPr>
          <w:rFonts w:eastAsia="Calibri" w:cs="Tahoma"/>
          <w:b/>
          <w:sz w:val="22"/>
        </w:rPr>
        <w:t xml:space="preserve"> that t</w:t>
      </w:r>
      <w:r w:rsidR="00567F3A">
        <w:rPr>
          <w:rFonts w:eastAsia="Calibri" w:cs="Tahoma"/>
          <w:b/>
          <w:sz w:val="22"/>
        </w:rPr>
        <w:t>he Children and Young People’s s</w:t>
      </w:r>
      <w:r w:rsidRPr="00052714">
        <w:rPr>
          <w:rFonts w:eastAsia="Calibri" w:cs="Tahoma"/>
          <w:b/>
          <w:sz w:val="22"/>
        </w:rPr>
        <w:t>trategy should seek to address the recommendations of the UN CRC Committee in its 2016 report and should be framed in line with the articles of the UNCRC</w:t>
      </w:r>
      <w:r w:rsidR="00052714" w:rsidRPr="00052714">
        <w:rPr>
          <w:rFonts w:eastAsia="Calibri" w:cs="Tahoma"/>
          <w:b/>
          <w:sz w:val="22"/>
        </w:rPr>
        <w:t xml:space="preserve"> (2.5</w:t>
      </w:r>
      <w:r w:rsidRPr="00052714">
        <w:rPr>
          <w:rFonts w:eastAsia="Calibri" w:cs="Tahoma"/>
          <w:b/>
          <w:sz w:val="22"/>
        </w:rPr>
        <w:t>);</w:t>
      </w:r>
    </w:p>
    <w:p w:rsidR="009D40D8" w:rsidRPr="00052714" w:rsidRDefault="009D40D8" w:rsidP="00B867D0">
      <w:pPr>
        <w:pStyle w:val="ListParagraph"/>
        <w:rPr>
          <w:rFonts w:eastAsia="Calibri" w:cs="Tahoma"/>
          <w:b/>
          <w:sz w:val="22"/>
        </w:rPr>
      </w:pPr>
    </w:p>
    <w:p w:rsidR="009D40D8" w:rsidRPr="00052714" w:rsidRDefault="009D40D8" w:rsidP="00B867D0">
      <w:pPr>
        <w:pStyle w:val="ListParagraph"/>
        <w:rPr>
          <w:rFonts w:eastAsia="Calibri" w:cs="Tahoma"/>
          <w:b/>
          <w:sz w:val="22"/>
        </w:rPr>
      </w:pPr>
      <w:r w:rsidRPr="00052714">
        <w:rPr>
          <w:rFonts w:eastAsia="Calibri" w:cs="Tahoma"/>
          <w:b/>
          <w:sz w:val="22"/>
        </w:rPr>
        <w:t xml:space="preserve">welcomes the recognition that in </w:t>
      </w:r>
      <w:r w:rsidR="00567F3A">
        <w:rPr>
          <w:rFonts w:eastAsia="Calibri" w:cs="Tahoma"/>
          <w:b/>
          <w:sz w:val="22"/>
        </w:rPr>
        <w:t>accordance with the UN CRC the s</w:t>
      </w:r>
      <w:r w:rsidRPr="00052714">
        <w:rPr>
          <w:rFonts w:eastAsia="Calibri" w:cs="Tahoma"/>
          <w:b/>
          <w:sz w:val="22"/>
        </w:rPr>
        <w:t>trategy should ensure continuous engagement with children and young people through a formal mechanism</w:t>
      </w:r>
      <w:r w:rsidR="00420548" w:rsidRPr="00052714">
        <w:rPr>
          <w:rFonts w:eastAsia="Calibri" w:cs="Tahoma"/>
          <w:b/>
          <w:sz w:val="22"/>
        </w:rPr>
        <w:t xml:space="preserve"> to ensure the voice of the child is heard</w:t>
      </w:r>
      <w:r w:rsidRPr="00052714">
        <w:rPr>
          <w:rFonts w:eastAsia="Calibri" w:cs="Tahoma"/>
          <w:b/>
          <w:sz w:val="22"/>
        </w:rPr>
        <w:t xml:space="preserve">, the strategy should set out clearly how existing fora will be utilised to ensure accountability </w:t>
      </w:r>
      <w:r w:rsidR="00052714" w:rsidRPr="00052714">
        <w:rPr>
          <w:rFonts w:eastAsia="Calibri" w:cs="Tahoma"/>
          <w:b/>
          <w:sz w:val="22"/>
        </w:rPr>
        <w:t>for the strategy (2.9</w:t>
      </w:r>
      <w:r w:rsidRPr="00052714">
        <w:rPr>
          <w:rFonts w:eastAsia="Calibri" w:cs="Tahoma"/>
          <w:b/>
          <w:sz w:val="22"/>
        </w:rPr>
        <w:t>);</w:t>
      </w:r>
    </w:p>
    <w:p w:rsidR="009D40D8" w:rsidRPr="00052714" w:rsidRDefault="009D40D8" w:rsidP="00B867D0">
      <w:pPr>
        <w:pStyle w:val="ListParagraph"/>
        <w:rPr>
          <w:b/>
          <w:sz w:val="22"/>
        </w:rPr>
      </w:pPr>
    </w:p>
    <w:p w:rsidR="00306B81" w:rsidRPr="00052714" w:rsidRDefault="009D40D8" w:rsidP="00B867D0">
      <w:pPr>
        <w:pStyle w:val="ListParagraph"/>
        <w:rPr>
          <w:b/>
          <w:sz w:val="22"/>
        </w:rPr>
      </w:pPr>
      <w:r w:rsidRPr="00052714">
        <w:rPr>
          <w:b/>
          <w:sz w:val="22"/>
        </w:rPr>
        <w:t>advises th</w:t>
      </w:r>
      <w:r w:rsidR="00567F3A">
        <w:rPr>
          <w:b/>
          <w:sz w:val="22"/>
        </w:rPr>
        <w:t>at the actions outlined in the s</w:t>
      </w:r>
      <w:r w:rsidRPr="00052714">
        <w:rPr>
          <w:b/>
          <w:sz w:val="22"/>
        </w:rPr>
        <w:t>trategy should be specific, measurable, time-bound and assigned to a responsible public authority or government department as recommended in the OHCHR guidance</w:t>
      </w:r>
      <w:r w:rsidR="00052714" w:rsidRPr="00052714">
        <w:rPr>
          <w:b/>
          <w:sz w:val="22"/>
        </w:rPr>
        <w:t xml:space="preserve"> (2.12</w:t>
      </w:r>
      <w:r w:rsidRPr="00052714">
        <w:rPr>
          <w:b/>
          <w:sz w:val="22"/>
        </w:rPr>
        <w:t xml:space="preserve">); </w:t>
      </w:r>
    </w:p>
    <w:p w:rsidR="009D40D8" w:rsidRPr="00052714" w:rsidRDefault="009D40D8" w:rsidP="00B867D0">
      <w:pPr>
        <w:pStyle w:val="ListParagraph"/>
        <w:rPr>
          <w:b/>
          <w:sz w:val="22"/>
        </w:rPr>
      </w:pPr>
    </w:p>
    <w:p w:rsidR="009D40D8" w:rsidRPr="00052714" w:rsidRDefault="009D40D8" w:rsidP="00B867D0">
      <w:pPr>
        <w:pStyle w:val="ListParagraph"/>
        <w:rPr>
          <w:rFonts w:eastAsia="Calibri" w:cs="Tahoma"/>
          <w:b/>
          <w:sz w:val="22"/>
        </w:rPr>
      </w:pPr>
      <w:proofErr w:type="gramStart"/>
      <w:r w:rsidRPr="00052714">
        <w:rPr>
          <w:b/>
          <w:sz w:val="22"/>
        </w:rPr>
        <w:t>advises</w:t>
      </w:r>
      <w:proofErr w:type="gramEnd"/>
      <w:r w:rsidRPr="00052714">
        <w:rPr>
          <w:b/>
          <w:sz w:val="22"/>
        </w:rPr>
        <w:t xml:space="preserve"> the Department to seek to ensure the strategy addresses the recommendation of the UN CRC Committee and the guidance of the OHCHR for the development of a Child Rights Indicator Framework. The strategy should also provide an </w:t>
      </w:r>
      <w:r w:rsidRPr="00052714">
        <w:rPr>
          <w:rFonts w:eastAsia="Calibri" w:cs="Tahoma"/>
          <w:b/>
          <w:sz w:val="22"/>
        </w:rPr>
        <w:t>obligation to conduct a child rights impact assessment when developing laws and policies affecting children</w:t>
      </w:r>
      <w:r w:rsidR="00052714" w:rsidRPr="00052714">
        <w:rPr>
          <w:rFonts w:eastAsia="Calibri" w:cs="Tahoma"/>
          <w:b/>
          <w:sz w:val="22"/>
        </w:rPr>
        <w:t xml:space="preserve"> (2.17</w:t>
      </w:r>
      <w:r w:rsidRPr="00052714">
        <w:rPr>
          <w:rFonts w:eastAsia="Calibri" w:cs="Tahoma"/>
          <w:b/>
          <w:sz w:val="22"/>
        </w:rPr>
        <w:t>);</w:t>
      </w:r>
    </w:p>
    <w:p w:rsidR="009D40D8" w:rsidRPr="00052714" w:rsidRDefault="00B25009" w:rsidP="00B867D0">
      <w:pPr>
        <w:pStyle w:val="ListParagraph"/>
        <w:rPr>
          <w:rFonts w:eastAsia="Calibri" w:cs="Tahoma"/>
          <w:b/>
          <w:sz w:val="22"/>
        </w:rPr>
      </w:pPr>
      <w:proofErr w:type="gramStart"/>
      <w:r>
        <w:rPr>
          <w:rFonts w:eastAsia="Calibri" w:cs="Tahoma"/>
          <w:b/>
          <w:sz w:val="22"/>
        </w:rPr>
        <w:t>recommends</w:t>
      </w:r>
      <w:proofErr w:type="gramEnd"/>
      <w:r>
        <w:rPr>
          <w:rFonts w:eastAsia="Calibri" w:cs="Tahoma"/>
          <w:b/>
          <w:sz w:val="22"/>
        </w:rPr>
        <w:t xml:space="preserve"> that the s</w:t>
      </w:r>
      <w:r w:rsidR="009D40D8" w:rsidRPr="00052714">
        <w:rPr>
          <w:rFonts w:eastAsia="Calibri" w:cs="Tahoma"/>
          <w:b/>
          <w:sz w:val="22"/>
        </w:rPr>
        <w:t>trategy should include robust mechanisms for the collection and monitoring of comprehensive data required to adequately address issues affecting children and young people</w:t>
      </w:r>
      <w:r w:rsidR="00052714" w:rsidRPr="00052714">
        <w:rPr>
          <w:rFonts w:eastAsia="Calibri" w:cs="Tahoma"/>
          <w:b/>
          <w:sz w:val="22"/>
        </w:rPr>
        <w:t xml:space="preserve"> (2.19</w:t>
      </w:r>
      <w:r w:rsidR="009D40D8" w:rsidRPr="00052714">
        <w:rPr>
          <w:rFonts w:eastAsia="Calibri" w:cs="Tahoma"/>
          <w:b/>
          <w:sz w:val="22"/>
        </w:rPr>
        <w:t xml:space="preserve">); </w:t>
      </w:r>
    </w:p>
    <w:p w:rsidR="009D40D8" w:rsidRPr="00052714" w:rsidRDefault="009D40D8" w:rsidP="00B867D0">
      <w:pPr>
        <w:pStyle w:val="ListParagraph"/>
        <w:rPr>
          <w:rFonts w:eastAsia="Calibri" w:cs="Tahoma"/>
          <w:b/>
          <w:sz w:val="22"/>
        </w:rPr>
      </w:pPr>
    </w:p>
    <w:p w:rsidR="009D40D8" w:rsidRPr="00052714" w:rsidRDefault="00B25009" w:rsidP="00B867D0">
      <w:pPr>
        <w:pStyle w:val="ListParagraph"/>
        <w:rPr>
          <w:rFonts w:eastAsia="Calibri" w:cs="Tahoma"/>
          <w:b/>
          <w:sz w:val="22"/>
        </w:rPr>
      </w:pPr>
      <w:proofErr w:type="gramStart"/>
      <w:r>
        <w:rPr>
          <w:rFonts w:eastAsia="Calibri" w:cs="Tahoma"/>
          <w:b/>
          <w:sz w:val="22"/>
        </w:rPr>
        <w:t>requests</w:t>
      </w:r>
      <w:proofErr w:type="gramEnd"/>
      <w:r>
        <w:rPr>
          <w:rFonts w:eastAsia="Calibri" w:cs="Tahoma"/>
          <w:b/>
          <w:sz w:val="22"/>
        </w:rPr>
        <w:t xml:space="preserve"> that the s</w:t>
      </w:r>
      <w:r w:rsidR="009D40D8" w:rsidRPr="00052714">
        <w:rPr>
          <w:rFonts w:eastAsia="Calibri" w:cs="Tahoma"/>
          <w:b/>
          <w:sz w:val="22"/>
        </w:rPr>
        <w:t>trategy provide an analysis of the actual financial expenditure needed to achieve meaningful and permanent collaboration between departments and between departments and children’s authorities. The Commission recommends that the NI Executive provide details as to how maximum available resources are to be allocated to ensure the strategic outcomes are achieved</w:t>
      </w:r>
      <w:r w:rsidR="00052714" w:rsidRPr="00052714">
        <w:rPr>
          <w:rFonts w:eastAsia="Calibri" w:cs="Tahoma"/>
          <w:b/>
          <w:sz w:val="22"/>
        </w:rPr>
        <w:t xml:space="preserve"> (3.4</w:t>
      </w:r>
      <w:r w:rsidR="009D40D8" w:rsidRPr="00052714">
        <w:rPr>
          <w:rFonts w:eastAsia="Calibri" w:cs="Tahoma"/>
          <w:b/>
          <w:sz w:val="22"/>
        </w:rPr>
        <w:t xml:space="preserve">); </w:t>
      </w:r>
    </w:p>
    <w:p w:rsidR="009D40D8" w:rsidRPr="00052714" w:rsidRDefault="009D40D8" w:rsidP="00B867D0">
      <w:pPr>
        <w:pStyle w:val="ListParagraph"/>
        <w:rPr>
          <w:rFonts w:eastAsia="Calibri" w:cs="Tahoma"/>
          <w:b/>
          <w:sz w:val="22"/>
        </w:rPr>
      </w:pPr>
    </w:p>
    <w:p w:rsidR="009D40D8" w:rsidRPr="00052714" w:rsidRDefault="009D40D8" w:rsidP="00B867D0">
      <w:pPr>
        <w:pStyle w:val="ListParagraph"/>
        <w:rPr>
          <w:rFonts w:eastAsia="Calibri" w:cs="Tahoma"/>
          <w:b/>
          <w:sz w:val="22"/>
        </w:rPr>
      </w:pPr>
      <w:proofErr w:type="gramStart"/>
      <w:r w:rsidRPr="00052714">
        <w:rPr>
          <w:rFonts w:eastAsia="Calibri" w:cs="Tahoma"/>
          <w:b/>
          <w:sz w:val="22"/>
        </w:rPr>
        <w:t>recomm</w:t>
      </w:r>
      <w:r w:rsidR="00B25009">
        <w:rPr>
          <w:rFonts w:eastAsia="Calibri" w:cs="Tahoma"/>
          <w:b/>
          <w:sz w:val="22"/>
        </w:rPr>
        <w:t>ends</w:t>
      </w:r>
      <w:proofErr w:type="gramEnd"/>
      <w:r w:rsidR="00B25009">
        <w:rPr>
          <w:rFonts w:eastAsia="Calibri" w:cs="Tahoma"/>
          <w:b/>
          <w:sz w:val="22"/>
        </w:rPr>
        <w:t xml:space="preserve"> that the s</w:t>
      </w:r>
      <w:r w:rsidRPr="00052714">
        <w:rPr>
          <w:rFonts w:eastAsia="Calibri" w:cs="Tahoma"/>
          <w:b/>
          <w:sz w:val="22"/>
        </w:rPr>
        <w:t xml:space="preserve">trategy commits to collecting comprehensive data on child </w:t>
      </w:r>
      <w:r w:rsidR="00420548" w:rsidRPr="00052714">
        <w:rPr>
          <w:rFonts w:eastAsia="Calibri" w:cs="Tahoma"/>
          <w:b/>
          <w:sz w:val="22"/>
        </w:rPr>
        <w:t xml:space="preserve">and adolescent </w:t>
      </w:r>
      <w:r w:rsidRPr="00052714">
        <w:rPr>
          <w:rFonts w:eastAsia="Calibri" w:cs="Tahoma"/>
          <w:b/>
          <w:sz w:val="22"/>
        </w:rPr>
        <w:t>mental health. The Strategy should also outline how it intends to tackle mental health issues among at risk children and young people in addition to those in contact with the criminal justice system, children and young people in poverty and looked after children</w:t>
      </w:r>
      <w:r w:rsidR="00052714" w:rsidRPr="00052714">
        <w:rPr>
          <w:rFonts w:eastAsia="Calibri" w:cs="Tahoma"/>
          <w:b/>
          <w:sz w:val="22"/>
        </w:rPr>
        <w:t xml:space="preserve"> (4.4</w:t>
      </w:r>
      <w:r w:rsidRPr="00052714">
        <w:rPr>
          <w:rFonts w:eastAsia="Calibri" w:cs="Tahoma"/>
          <w:b/>
          <w:sz w:val="22"/>
        </w:rPr>
        <w:t>);</w:t>
      </w:r>
    </w:p>
    <w:p w:rsidR="009D40D8" w:rsidRPr="00052714" w:rsidRDefault="009D40D8" w:rsidP="00B867D0">
      <w:pPr>
        <w:pStyle w:val="ListParagraph"/>
        <w:rPr>
          <w:rFonts w:eastAsia="Calibri" w:cs="Tahoma"/>
          <w:b/>
          <w:sz w:val="22"/>
        </w:rPr>
      </w:pPr>
    </w:p>
    <w:p w:rsidR="009D40D8" w:rsidRPr="00052714" w:rsidRDefault="00B25009" w:rsidP="00B867D0">
      <w:pPr>
        <w:pStyle w:val="ListParagraph"/>
        <w:rPr>
          <w:rFonts w:eastAsia="Calibri" w:cs="Tahoma"/>
          <w:b/>
          <w:sz w:val="22"/>
        </w:rPr>
      </w:pPr>
      <w:proofErr w:type="gramStart"/>
      <w:r>
        <w:rPr>
          <w:rFonts w:eastAsia="Calibri" w:cs="Tahoma"/>
          <w:b/>
          <w:sz w:val="22"/>
        </w:rPr>
        <w:t>recommends</w:t>
      </w:r>
      <w:proofErr w:type="gramEnd"/>
      <w:r>
        <w:rPr>
          <w:rFonts w:eastAsia="Calibri" w:cs="Tahoma"/>
          <w:b/>
          <w:sz w:val="22"/>
        </w:rPr>
        <w:t xml:space="preserve"> that the s</w:t>
      </w:r>
      <w:r w:rsidR="009D40D8" w:rsidRPr="00052714">
        <w:rPr>
          <w:rFonts w:eastAsia="Calibri" w:cs="Tahoma"/>
          <w:b/>
          <w:sz w:val="22"/>
        </w:rPr>
        <w:t>trategy should set out actions to eliminate healthcare inequalities amongst children and young people, covering both overall health outcomes and accessibility to health care services</w:t>
      </w:r>
      <w:r w:rsidR="00052714" w:rsidRPr="00052714">
        <w:rPr>
          <w:rFonts w:eastAsia="Calibri" w:cs="Tahoma"/>
          <w:b/>
          <w:sz w:val="22"/>
        </w:rPr>
        <w:t xml:space="preserve"> (4.7</w:t>
      </w:r>
      <w:r w:rsidR="009D40D8" w:rsidRPr="00052714">
        <w:rPr>
          <w:rFonts w:eastAsia="Calibri" w:cs="Tahoma"/>
          <w:b/>
          <w:sz w:val="22"/>
        </w:rPr>
        <w:t xml:space="preserve">); </w:t>
      </w:r>
    </w:p>
    <w:p w:rsidR="009D40D8" w:rsidRPr="00052714" w:rsidRDefault="009D40D8" w:rsidP="00B867D0">
      <w:pPr>
        <w:pStyle w:val="ListParagraph"/>
        <w:rPr>
          <w:rFonts w:eastAsia="Calibri" w:cs="Tahoma"/>
          <w:b/>
          <w:sz w:val="22"/>
        </w:rPr>
      </w:pPr>
    </w:p>
    <w:p w:rsidR="009D40D8" w:rsidRPr="00052714" w:rsidRDefault="009D40D8" w:rsidP="00B867D0">
      <w:pPr>
        <w:pStyle w:val="ListParagraph"/>
        <w:rPr>
          <w:rFonts w:eastAsia="Calibri" w:cs="Tahoma"/>
          <w:b/>
          <w:sz w:val="22"/>
        </w:rPr>
      </w:pPr>
      <w:r w:rsidRPr="00052714">
        <w:rPr>
          <w:rFonts w:eastAsia="Calibri" w:cs="Tahoma"/>
          <w:b/>
          <w:sz w:val="22"/>
        </w:rPr>
        <w:t>advises that the strategy should seek to address the recommendations of the UN CRC Committee relating to sexual and reproductive health and should include a plan to ensure the development of a strategy and action plan to promote sexual health among adolescents, which should include provision of sexual and reproductive health education and support for LGBTI children and young people in all schools</w:t>
      </w:r>
      <w:r w:rsidR="00052714" w:rsidRPr="00052714">
        <w:rPr>
          <w:rFonts w:eastAsia="Calibri" w:cs="Tahoma"/>
          <w:b/>
          <w:sz w:val="22"/>
        </w:rPr>
        <w:t xml:space="preserve"> (4.</w:t>
      </w:r>
      <w:r w:rsidR="00EF01BE">
        <w:rPr>
          <w:rFonts w:eastAsia="Calibri" w:cs="Tahoma"/>
          <w:b/>
          <w:sz w:val="22"/>
        </w:rPr>
        <w:t>10</w:t>
      </w:r>
      <w:r w:rsidRPr="00052714">
        <w:rPr>
          <w:rFonts w:eastAsia="Calibri" w:cs="Tahoma"/>
          <w:b/>
          <w:sz w:val="22"/>
        </w:rPr>
        <w:t>);</w:t>
      </w:r>
    </w:p>
    <w:p w:rsidR="009D40D8" w:rsidRPr="00052714" w:rsidRDefault="009D40D8" w:rsidP="00B867D0">
      <w:pPr>
        <w:pStyle w:val="ListParagraph"/>
        <w:rPr>
          <w:rFonts w:eastAsia="Calibri" w:cs="Tahoma"/>
          <w:b/>
          <w:sz w:val="22"/>
        </w:rPr>
      </w:pPr>
    </w:p>
    <w:p w:rsidR="00CF7E1D" w:rsidRPr="00CF7E1D" w:rsidRDefault="009D40D8" w:rsidP="00CF7E1D">
      <w:pPr>
        <w:pStyle w:val="ListParagraph"/>
        <w:rPr>
          <w:rFonts w:eastAsia="Calibri" w:cs="Times New Roman"/>
          <w:b/>
          <w:sz w:val="22"/>
          <w:lang w:eastAsia="ja-JP"/>
        </w:rPr>
      </w:pPr>
      <w:proofErr w:type="gramStart"/>
      <w:r w:rsidRPr="00052714">
        <w:rPr>
          <w:rFonts w:eastAsia="Calibri" w:cs="Tahoma"/>
          <w:b/>
          <w:sz w:val="22"/>
        </w:rPr>
        <w:t>recommends</w:t>
      </w:r>
      <w:proofErr w:type="gramEnd"/>
      <w:r w:rsidRPr="00052714">
        <w:rPr>
          <w:rFonts w:eastAsia="Calibri" w:cs="Tahoma"/>
          <w:b/>
          <w:sz w:val="22"/>
        </w:rPr>
        <w:t xml:space="preserve"> that the strategy include actions to address the UN CRC Committee recommendation to </w:t>
      </w:r>
      <w:r w:rsidRPr="00052714">
        <w:rPr>
          <w:rFonts w:eastAsia="Calibri" w:cs="Times New Roman"/>
          <w:b/>
          <w:sz w:val="22"/>
          <w:lang w:eastAsia="ja-JP"/>
        </w:rPr>
        <w:t>‘prohibit as a matter of priority all corporal punishment in the family, including through the repeal of all legal defences, such a</w:t>
      </w:r>
      <w:r w:rsidR="00052714" w:rsidRPr="00052714">
        <w:rPr>
          <w:rFonts w:eastAsia="Calibri" w:cs="Times New Roman"/>
          <w:b/>
          <w:sz w:val="22"/>
          <w:lang w:eastAsia="ja-JP"/>
        </w:rPr>
        <w:t>s “reasonable chastisement” (5.2</w:t>
      </w:r>
      <w:r w:rsidRPr="00052714">
        <w:rPr>
          <w:rFonts w:eastAsia="Calibri" w:cs="Times New Roman"/>
          <w:b/>
          <w:sz w:val="22"/>
          <w:lang w:eastAsia="ja-JP"/>
        </w:rPr>
        <w:t>);</w:t>
      </w:r>
    </w:p>
    <w:p w:rsidR="00CF7E1D" w:rsidRDefault="00CF7E1D" w:rsidP="00CF7E1D">
      <w:pPr>
        <w:spacing w:after="0" w:line="240" w:lineRule="auto"/>
        <w:ind w:left="720"/>
        <w:rPr>
          <w:rFonts w:eastAsia="Calibri" w:cs="Tahoma"/>
          <w:b/>
          <w:sz w:val="22"/>
        </w:rPr>
      </w:pPr>
      <w:proofErr w:type="gramStart"/>
      <w:r w:rsidRPr="00CF7E1D">
        <w:rPr>
          <w:rFonts w:eastAsia="Calibri" w:cs="Tahoma"/>
          <w:b/>
          <w:sz w:val="22"/>
        </w:rPr>
        <w:t>recommends</w:t>
      </w:r>
      <w:proofErr w:type="gramEnd"/>
      <w:r w:rsidRPr="00CF7E1D">
        <w:rPr>
          <w:rFonts w:eastAsia="Calibri" w:cs="Tahoma"/>
          <w:b/>
          <w:sz w:val="22"/>
        </w:rPr>
        <w:t xml:space="preserve"> t</w:t>
      </w:r>
      <w:r w:rsidR="00B5056D">
        <w:rPr>
          <w:rFonts w:eastAsia="Calibri" w:cs="Tahoma"/>
          <w:b/>
          <w:sz w:val="22"/>
        </w:rPr>
        <w:t>hat the strategy should include</w:t>
      </w:r>
      <w:r w:rsidRPr="00CF7E1D">
        <w:rPr>
          <w:rFonts w:eastAsia="Calibri" w:cs="Tahoma"/>
          <w:b/>
          <w:sz w:val="22"/>
        </w:rPr>
        <w:t xml:space="preserve"> actions to support the implementation of the recommendations of the Marshall Report and actions to ensure the protection of looked after children who are p</w:t>
      </w:r>
      <w:r>
        <w:rPr>
          <w:rFonts w:eastAsia="Calibri" w:cs="Tahoma"/>
          <w:b/>
          <w:sz w:val="22"/>
        </w:rPr>
        <w:t xml:space="preserve">articularly vulnerable to abuse (5.5); </w:t>
      </w:r>
    </w:p>
    <w:p w:rsidR="00CF7E1D" w:rsidRPr="0049632A" w:rsidRDefault="00CF7E1D" w:rsidP="0049632A">
      <w:pPr>
        <w:pStyle w:val="ListParagraph"/>
        <w:rPr>
          <w:rFonts w:eastAsia="Calibri" w:cs="Times New Roman"/>
          <w:b/>
          <w:sz w:val="22"/>
          <w:lang w:eastAsia="ja-JP"/>
        </w:rPr>
      </w:pPr>
    </w:p>
    <w:p w:rsidR="00052714" w:rsidRPr="00052714" w:rsidRDefault="00052714" w:rsidP="00B867D0">
      <w:pPr>
        <w:pStyle w:val="ListParagraph"/>
        <w:rPr>
          <w:rFonts w:eastAsia="Calibri" w:cs="Tahoma"/>
          <w:b/>
          <w:sz w:val="22"/>
        </w:rPr>
      </w:pPr>
    </w:p>
    <w:p w:rsidR="00052714" w:rsidRPr="00052714" w:rsidRDefault="00052714" w:rsidP="00B867D0">
      <w:pPr>
        <w:pStyle w:val="ListParagraph"/>
        <w:rPr>
          <w:rFonts w:eastAsia="Calibri" w:cs="Tahoma"/>
          <w:b/>
          <w:sz w:val="22"/>
        </w:rPr>
      </w:pPr>
      <w:r w:rsidRPr="00A252FA">
        <w:rPr>
          <w:b/>
          <w:sz w:val="22"/>
        </w:rPr>
        <w:t>recommends that the strategy consider what actions are required to address the risk presented by the internet to child safety and should include a specific indicators to ensure those responsible for the strategy are conscious of the need to address online risks, in line with the recommendation of the UN CRC Committee</w:t>
      </w:r>
      <w:r w:rsidRPr="00052714">
        <w:rPr>
          <w:b/>
          <w:sz w:val="22"/>
        </w:rPr>
        <w:t xml:space="preserve"> (5.8);</w:t>
      </w:r>
    </w:p>
    <w:p w:rsidR="009D40D8" w:rsidRPr="00052714" w:rsidRDefault="009D40D8" w:rsidP="00B867D0">
      <w:pPr>
        <w:pStyle w:val="ListParagraph"/>
        <w:rPr>
          <w:rFonts w:eastAsia="Calibri" w:cs="Tahoma"/>
          <w:b/>
          <w:sz w:val="22"/>
        </w:rPr>
      </w:pPr>
    </w:p>
    <w:p w:rsidR="0049632A" w:rsidRDefault="0049632A" w:rsidP="009D40D8">
      <w:pPr>
        <w:pStyle w:val="ListParagraph"/>
        <w:rPr>
          <w:rFonts w:eastAsia="Calibri" w:cs="Tahoma"/>
          <w:b/>
          <w:sz w:val="22"/>
        </w:rPr>
      </w:pPr>
      <w:proofErr w:type="gramStart"/>
      <w:r w:rsidRPr="0049632A">
        <w:rPr>
          <w:rFonts w:eastAsia="Calibri" w:cs="Tahoma"/>
          <w:b/>
          <w:sz w:val="22"/>
        </w:rPr>
        <w:t>recommends</w:t>
      </w:r>
      <w:proofErr w:type="gramEnd"/>
      <w:r w:rsidRPr="0049632A">
        <w:rPr>
          <w:rFonts w:eastAsia="Calibri" w:cs="Tahoma"/>
          <w:b/>
          <w:sz w:val="22"/>
        </w:rPr>
        <w:t xml:space="preserve"> that action should be taken to develop confidence within children and young people to enable and ensure their willingness to report to the police and other authorities. The police in turn must investigate incidents with a view to prosecution. In addition the key performance indicator around child victims of crime should be developed further to ensure it will record comprehensively the levels of paramilitary intimidation and violence directed against children and young people (5.12); </w:t>
      </w:r>
    </w:p>
    <w:p w:rsidR="0049632A" w:rsidRDefault="0049632A" w:rsidP="009D40D8">
      <w:pPr>
        <w:pStyle w:val="ListParagraph"/>
        <w:rPr>
          <w:rFonts w:eastAsia="Calibri" w:cs="Tahoma"/>
          <w:b/>
          <w:sz w:val="22"/>
        </w:rPr>
      </w:pPr>
    </w:p>
    <w:p w:rsidR="009D40D8" w:rsidRPr="00052714" w:rsidRDefault="00B25009" w:rsidP="009D40D8">
      <w:pPr>
        <w:pStyle w:val="ListParagraph"/>
        <w:rPr>
          <w:rFonts w:eastAsia="Calibri" w:cs="Tahoma"/>
          <w:b/>
          <w:sz w:val="22"/>
        </w:rPr>
      </w:pPr>
      <w:proofErr w:type="gramStart"/>
      <w:r>
        <w:rPr>
          <w:rFonts w:eastAsia="Calibri" w:cs="Tahoma"/>
          <w:b/>
          <w:sz w:val="22"/>
        </w:rPr>
        <w:t>recommends</w:t>
      </w:r>
      <w:proofErr w:type="gramEnd"/>
      <w:r>
        <w:rPr>
          <w:rFonts w:eastAsia="Calibri" w:cs="Tahoma"/>
          <w:b/>
          <w:sz w:val="22"/>
        </w:rPr>
        <w:t xml:space="preserve"> that the draft s</w:t>
      </w:r>
      <w:r w:rsidR="009D40D8" w:rsidRPr="00052714">
        <w:rPr>
          <w:rFonts w:eastAsia="Calibri" w:cs="Tahoma"/>
          <w:b/>
          <w:sz w:val="22"/>
        </w:rPr>
        <w:t xml:space="preserve">trategy should seek to address the challenges to vulnerable groups, in particular child carers, from </w:t>
      </w:r>
      <w:r w:rsidR="0049632A">
        <w:rPr>
          <w:rFonts w:eastAsia="Calibri" w:cs="Tahoma"/>
          <w:b/>
          <w:sz w:val="22"/>
        </w:rPr>
        <w:t>fully realising</w:t>
      </w:r>
      <w:r w:rsidR="009D40D8" w:rsidRPr="00052714">
        <w:rPr>
          <w:rFonts w:eastAsia="Calibri" w:cs="Tahoma"/>
          <w:b/>
          <w:sz w:val="22"/>
        </w:rPr>
        <w:t xml:space="preserve"> the right to education and the right to health. The proposed indicators regarding the objective, ‘A positive contribution to society’, should be further developed and include the number of children who avail of additional su</w:t>
      </w:r>
      <w:r w:rsidR="00B5056D">
        <w:rPr>
          <w:rFonts w:eastAsia="Calibri" w:cs="Tahoma"/>
          <w:b/>
          <w:sz w:val="22"/>
        </w:rPr>
        <w:t>pport such as that provided by health and social care t</w:t>
      </w:r>
      <w:r w:rsidR="009D40D8" w:rsidRPr="00052714">
        <w:rPr>
          <w:rFonts w:eastAsia="Calibri" w:cs="Tahoma"/>
          <w:b/>
          <w:sz w:val="22"/>
        </w:rPr>
        <w:t>rusts to child carers</w:t>
      </w:r>
      <w:r w:rsidR="00052714" w:rsidRPr="00052714">
        <w:rPr>
          <w:rFonts w:eastAsia="Calibri" w:cs="Tahoma"/>
          <w:b/>
          <w:sz w:val="22"/>
        </w:rPr>
        <w:t xml:space="preserve"> (6.2</w:t>
      </w:r>
      <w:r w:rsidR="009D40D8" w:rsidRPr="00052714">
        <w:rPr>
          <w:rFonts w:eastAsia="Calibri" w:cs="Tahoma"/>
          <w:b/>
          <w:sz w:val="22"/>
        </w:rPr>
        <w:t>); and</w:t>
      </w:r>
    </w:p>
    <w:p w:rsidR="009D40D8" w:rsidRPr="00052714" w:rsidRDefault="009D40D8" w:rsidP="009D40D8">
      <w:pPr>
        <w:pStyle w:val="ListParagraph"/>
        <w:rPr>
          <w:rFonts w:eastAsia="Calibri" w:cs="Tahoma"/>
          <w:b/>
          <w:sz w:val="22"/>
        </w:rPr>
      </w:pPr>
    </w:p>
    <w:p w:rsidR="009D40D8" w:rsidRPr="00052714" w:rsidRDefault="009D40D8" w:rsidP="00B867D0">
      <w:pPr>
        <w:pStyle w:val="ListParagraph"/>
        <w:rPr>
          <w:rFonts w:eastAsia="Calibri" w:cs="Tahoma"/>
          <w:b/>
          <w:sz w:val="22"/>
        </w:rPr>
      </w:pPr>
      <w:proofErr w:type="gramStart"/>
      <w:r w:rsidRPr="00052714">
        <w:rPr>
          <w:rFonts w:eastAsia="Calibri" w:cs="Tahoma"/>
          <w:b/>
          <w:sz w:val="22"/>
        </w:rPr>
        <w:t>rec</w:t>
      </w:r>
      <w:r w:rsidR="00B25009">
        <w:rPr>
          <w:rFonts w:eastAsia="Calibri" w:cs="Tahoma"/>
          <w:b/>
          <w:sz w:val="22"/>
        </w:rPr>
        <w:t>ommends</w:t>
      </w:r>
      <w:proofErr w:type="gramEnd"/>
      <w:r w:rsidR="00B25009">
        <w:rPr>
          <w:rFonts w:eastAsia="Calibri" w:cs="Tahoma"/>
          <w:b/>
          <w:sz w:val="22"/>
        </w:rPr>
        <w:t xml:space="preserve"> that the s</w:t>
      </w:r>
      <w:r w:rsidRPr="00052714">
        <w:rPr>
          <w:rFonts w:eastAsia="Calibri" w:cs="Tahoma"/>
          <w:b/>
          <w:sz w:val="22"/>
        </w:rPr>
        <w:t>trategy record how the rights of children held in custody are protected and how outcomes for children held in custody will be</w:t>
      </w:r>
      <w:r w:rsidR="00B25009">
        <w:rPr>
          <w:rFonts w:eastAsia="Calibri" w:cs="Tahoma"/>
          <w:b/>
          <w:sz w:val="22"/>
        </w:rPr>
        <w:t xml:space="preserve"> monitored. In particular, the s</w:t>
      </w:r>
      <w:r w:rsidRPr="00052714">
        <w:rPr>
          <w:rFonts w:eastAsia="Calibri" w:cs="Tahoma"/>
          <w:b/>
          <w:sz w:val="22"/>
        </w:rPr>
        <w:t>trategy should set out actions to significantly reduce with a view to abolishing the use of restraint against children in places of detention. In addition the relevant performance indicators should ensure the recording of all incidents in which a child is restrained in a place of detention and should record reoffending rates amongst child offenders</w:t>
      </w:r>
      <w:r w:rsidR="00052714" w:rsidRPr="00052714">
        <w:rPr>
          <w:rFonts w:eastAsia="Calibri" w:cs="Tahoma"/>
          <w:b/>
          <w:sz w:val="22"/>
        </w:rPr>
        <w:t xml:space="preserve"> (7.3</w:t>
      </w:r>
      <w:r w:rsidRPr="00052714">
        <w:rPr>
          <w:rFonts w:eastAsia="Calibri" w:cs="Tahoma"/>
          <w:b/>
          <w:sz w:val="22"/>
        </w:rPr>
        <w:t>).</w:t>
      </w:r>
    </w:p>
    <w:p w:rsidR="009D40D8" w:rsidRPr="00052714" w:rsidRDefault="009D40D8" w:rsidP="00B867D0">
      <w:pPr>
        <w:pStyle w:val="ListParagraph"/>
        <w:rPr>
          <w:rFonts w:eastAsia="Calibri" w:cs="Tahoma"/>
          <w:b/>
          <w:sz w:val="22"/>
        </w:rPr>
      </w:pPr>
    </w:p>
    <w:p w:rsidR="009D40D8" w:rsidRPr="00052714" w:rsidRDefault="009D40D8" w:rsidP="00B867D0">
      <w:pPr>
        <w:pStyle w:val="ListParagraph"/>
        <w:rPr>
          <w:rFonts w:eastAsia="Calibri" w:cs="Tahoma"/>
          <w:b/>
          <w:sz w:val="22"/>
        </w:rPr>
      </w:pPr>
    </w:p>
    <w:p w:rsidR="009D40D8" w:rsidRPr="00052714" w:rsidRDefault="009D40D8" w:rsidP="00B867D0">
      <w:pPr>
        <w:pStyle w:val="ListParagraph"/>
        <w:rPr>
          <w:rFonts w:eastAsia="Calibri" w:cs="Tahoma"/>
          <w:b/>
          <w:sz w:val="22"/>
        </w:rPr>
      </w:pPr>
    </w:p>
    <w:p w:rsidR="009D40D8" w:rsidRPr="00052714" w:rsidRDefault="009D40D8" w:rsidP="00B867D0">
      <w:pPr>
        <w:pStyle w:val="ListParagraph"/>
        <w:rPr>
          <w:rFonts w:eastAsia="Calibri" w:cs="Tahoma"/>
          <w:b/>
          <w:sz w:val="22"/>
        </w:rPr>
      </w:pPr>
    </w:p>
    <w:p w:rsidR="009D40D8" w:rsidRPr="00052714" w:rsidRDefault="009D40D8" w:rsidP="00B867D0">
      <w:pPr>
        <w:pStyle w:val="ListParagraph"/>
        <w:rPr>
          <w:rFonts w:eastAsia="Calibri" w:cs="Tahoma"/>
          <w:b/>
          <w:sz w:val="22"/>
        </w:rPr>
      </w:pPr>
    </w:p>
    <w:p w:rsidR="009D40D8" w:rsidRPr="00052714" w:rsidRDefault="009D40D8" w:rsidP="00B867D0">
      <w:pPr>
        <w:pStyle w:val="ListParagraph"/>
        <w:rPr>
          <w:rFonts w:eastAsia="Calibri" w:cs="Tahoma"/>
          <w:b/>
          <w:sz w:val="22"/>
        </w:rPr>
      </w:pPr>
    </w:p>
    <w:p w:rsidR="009D40D8" w:rsidRPr="00052714" w:rsidRDefault="009D40D8" w:rsidP="00B867D0">
      <w:pPr>
        <w:pStyle w:val="ListParagraph"/>
        <w:rPr>
          <w:rFonts w:eastAsia="Calibri" w:cs="Tahoma"/>
          <w:b/>
          <w:sz w:val="22"/>
        </w:rPr>
      </w:pPr>
    </w:p>
    <w:p w:rsidR="009D40D8" w:rsidRPr="00052714" w:rsidRDefault="009D40D8" w:rsidP="00B867D0">
      <w:pPr>
        <w:pStyle w:val="ListParagraph"/>
        <w:rPr>
          <w:b/>
          <w:sz w:val="22"/>
        </w:rPr>
      </w:pPr>
    </w:p>
    <w:p w:rsidR="009D40D8" w:rsidRPr="00052714" w:rsidRDefault="009D40D8" w:rsidP="00B867D0">
      <w:pPr>
        <w:pStyle w:val="ListParagraph"/>
        <w:rPr>
          <w:b/>
          <w:sz w:val="22"/>
        </w:rPr>
      </w:pPr>
    </w:p>
    <w:p w:rsidR="009D40D8" w:rsidRPr="00052714" w:rsidRDefault="009D40D8" w:rsidP="00B867D0">
      <w:pPr>
        <w:pStyle w:val="ListParagraph"/>
        <w:rPr>
          <w:b/>
          <w:sz w:val="22"/>
        </w:rPr>
      </w:pPr>
    </w:p>
    <w:p w:rsidR="00306B81" w:rsidRPr="00052714" w:rsidRDefault="00306B81" w:rsidP="00B867D0">
      <w:pPr>
        <w:pStyle w:val="ListParagraph"/>
        <w:rPr>
          <w:b/>
          <w:sz w:val="22"/>
        </w:rPr>
      </w:pPr>
    </w:p>
    <w:p w:rsidR="00306B81" w:rsidRPr="00052714" w:rsidRDefault="00306B81" w:rsidP="00B867D0">
      <w:pPr>
        <w:pStyle w:val="ListParagraph"/>
        <w:rPr>
          <w:b/>
          <w:sz w:val="22"/>
        </w:rPr>
      </w:pPr>
    </w:p>
    <w:p w:rsidR="00704BA3" w:rsidRPr="00052714" w:rsidRDefault="00704BA3" w:rsidP="006630FF">
      <w:pPr>
        <w:jc w:val="both"/>
        <w:rPr>
          <w:b/>
          <w:sz w:val="22"/>
        </w:rPr>
      </w:pPr>
    </w:p>
    <w:p w:rsidR="00A81211" w:rsidRPr="00052714" w:rsidRDefault="00A81211" w:rsidP="00A81211">
      <w:pPr>
        <w:rPr>
          <w:b/>
          <w:sz w:val="22"/>
        </w:rPr>
      </w:pPr>
      <w:r w:rsidRPr="00052714">
        <w:rPr>
          <w:sz w:val="22"/>
        </w:rPr>
        <w:t>Introduction</w:t>
      </w:r>
    </w:p>
    <w:p w:rsidR="00A81211" w:rsidRPr="00052714" w:rsidRDefault="00A81211" w:rsidP="00A81211">
      <w:pPr>
        <w:jc w:val="both"/>
        <w:rPr>
          <w:sz w:val="22"/>
        </w:rPr>
      </w:pPr>
      <w:r w:rsidRPr="00052714">
        <w:rPr>
          <w:sz w:val="22"/>
        </w:rPr>
        <w:t>1.1</w:t>
      </w:r>
      <w:r w:rsidRPr="00052714">
        <w:rPr>
          <w:sz w:val="22"/>
        </w:rPr>
        <w:tab/>
        <w:t>The Northern Ireland Human Rights Commission (</w:t>
      </w:r>
      <w:r w:rsidR="005250CF" w:rsidRPr="00052714">
        <w:rPr>
          <w:sz w:val="22"/>
        </w:rPr>
        <w:t>the Commission</w:t>
      </w:r>
      <w:r w:rsidRPr="00052714">
        <w:rPr>
          <w:sz w:val="22"/>
        </w:rPr>
        <w:t>) pursuant to section 69(1) of the Northern Ireland Act 1998, reviews the adequacy and effectiveness of law and practice relating to the protection of human rights.</w:t>
      </w:r>
      <w:r w:rsidRPr="00052714">
        <w:rPr>
          <w:rStyle w:val="FootnoteReference"/>
          <w:sz w:val="22"/>
        </w:rPr>
        <w:footnoteReference w:id="1"/>
      </w:r>
      <w:r w:rsidRPr="00052714">
        <w:rPr>
          <w:b/>
          <w:sz w:val="22"/>
        </w:rPr>
        <w:t xml:space="preserve"> </w:t>
      </w:r>
      <w:r w:rsidRPr="00052714">
        <w:rPr>
          <w:sz w:val="22"/>
        </w:rPr>
        <w:t xml:space="preserve">In accordance with this function the following statutory advice is submitted to the Department of </w:t>
      </w:r>
      <w:r w:rsidR="00306B81" w:rsidRPr="00052714">
        <w:rPr>
          <w:sz w:val="22"/>
        </w:rPr>
        <w:t>Education</w:t>
      </w:r>
      <w:r w:rsidRPr="00052714">
        <w:rPr>
          <w:sz w:val="22"/>
        </w:rPr>
        <w:t xml:space="preserve"> in response to the</w:t>
      </w:r>
      <w:r w:rsidR="00306B81" w:rsidRPr="00052714">
        <w:rPr>
          <w:sz w:val="22"/>
        </w:rPr>
        <w:t xml:space="preserve"> consultation on a Children and Young People’s Strategy 2017 - 2027</w:t>
      </w:r>
      <w:r w:rsidRPr="00052714">
        <w:rPr>
          <w:sz w:val="22"/>
        </w:rPr>
        <w:t>.</w:t>
      </w:r>
    </w:p>
    <w:p w:rsidR="009F1F96" w:rsidRPr="00052714" w:rsidRDefault="00A81211" w:rsidP="00306B81">
      <w:pPr>
        <w:jc w:val="both"/>
        <w:rPr>
          <w:sz w:val="22"/>
        </w:rPr>
      </w:pPr>
      <w:r w:rsidRPr="00052714">
        <w:rPr>
          <w:sz w:val="22"/>
        </w:rPr>
        <w:t>1.2</w:t>
      </w:r>
      <w:r w:rsidRPr="00052714">
        <w:rPr>
          <w:sz w:val="22"/>
        </w:rPr>
        <w:tab/>
        <w:t xml:space="preserve">The </w:t>
      </w:r>
      <w:r w:rsidR="005250CF" w:rsidRPr="00052714">
        <w:rPr>
          <w:sz w:val="22"/>
        </w:rPr>
        <w:t>Commission</w:t>
      </w:r>
      <w:r w:rsidRPr="00052714">
        <w:rPr>
          <w:sz w:val="22"/>
        </w:rPr>
        <w:t xml:space="preserve"> bases its advice on the full range of internationally accepted human rights standards, including the European Convention on Human Rights as incorporated by the Human Rights Act 1998 and the treaty obligations of the Council of Europe (</w:t>
      </w:r>
      <w:proofErr w:type="spellStart"/>
      <w:r w:rsidRPr="00052714">
        <w:rPr>
          <w:sz w:val="22"/>
        </w:rPr>
        <w:t>CoE</w:t>
      </w:r>
      <w:proofErr w:type="spellEnd"/>
      <w:r w:rsidRPr="00052714">
        <w:rPr>
          <w:sz w:val="22"/>
        </w:rPr>
        <w:t>) and United Nations (UN) systems.</w:t>
      </w:r>
      <w:r w:rsidR="00F42DFF" w:rsidRPr="00052714">
        <w:rPr>
          <w:rStyle w:val="FootnoteReference"/>
          <w:sz w:val="22"/>
        </w:rPr>
        <w:footnoteReference w:id="2"/>
      </w:r>
      <w:r w:rsidRPr="00052714">
        <w:rPr>
          <w:sz w:val="22"/>
        </w:rPr>
        <w:t xml:space="preserve"> The relevant international treat</w:t>
      </w:r>
      <w:r w:rsidR="00306B81" w:rsidRPr="00052714">
        <w:rPr>
          <w:sz w:val="22"/>
        </w:rPr>
        <w:t>y</w:t>
      </w:r>
      <w:r w:rsidRPr="00052714">
        <w:rPr>
          <w:sz w:val="22"/>
        </w:rPr>
        <w:t xml:space="preserve"> in this context </w:t>
      </w:r>
      <w:r w:rsidR="00306B81" w:rsidRPr="00052714">
        <w:rPr>
          <w:sz w:val="22"/>
        </w:rPr>
        <w:t xml:space="preserve">is principally the </w:t>
      </w:r>
      <w:r w:rsidRPr="00052714">
        <w:rPr>
          <w:sz w:val="22"/>
        </w:rPr>
        <w:t>Convention o</w:t>
      </w:r>
      <w:r w:rsidR="00306B81" w:rsidRPr="00052714">
        <w:rPr>
          <w:sz w:val="22"/>
        </w:rPr>
        <w:t>n the Rights of the Child (CRC)</w:t>
      </w:r>
      <w:r w:rsidRPr="00052714">
        <w:rPr>
          <w:rStyle w:val="FootnoteReference"/>
          <w:sz w:val="22"/>
        </w:rPr>
        <w:footnoteReference w:id="3"/>
      </w:r>
      <w:r w:rsidR="00306B81" w:rsidRPr="00052714">
        <w:rPr>
          <w:sz w:val="22"/>
        </w:rPr>
        <w:t xml:space="preserve"> and the </w:t>
      </w:r>
      <w:r w:rsidRPr="00052714">
        <w:rPr>
          <w:sz w:val="22"/>
        </w:rPr>
        <w:t>Option</w:t>
      </w:r>
      <w:r w:rsidR="00960AA7" w:rsidRPr="00052714">
        <w:rPr>
          <w:sz w:val="22"/>
        </w:rPr>
        <w:t>al</w:t>
      </w:r>
      <w:r w:rsidRPr="00052714">
        <w:rPr>
          <w:sz w:val="22"/>
        </w:rPr>
        <w:t xml:space="preserve"> Protocol to the Convention on the Rights of the Child on the sale of children, child prostitution and child pornography (CRC Optional </w:t>
      </w:r>
      <w:r w:rsidR="00D349D1" w:rsidRPr="00052714">
        <w:rPr>
          <w:sz w:val="22"/>
        </w:rPr>
        <w:t>Protocol on Child Prostitution).</w:t>
      </w:r>
      <w:r w:rsidRPr="00052714">
        <w:rPr>
          <w:rStyle w:val="FootnoteReference"/>
          <w:sz w:val="22"/>
        </w:rPr>
        <w:footnoteReference w:id="4"/>
      </w:r>
      <w:r w:rsidR="000E5CAD" w:rsidRPr="00052714">
        <w:rPr>
          <w:sz w:val="22"/>
        </w:rPr>
        <w:t xml:space="preserve"> </w:t>
      </w:r>
    </w:p>
    <w:p w:rsidR="00F477A2" w:rsidRPr="00052714" w:rsidRDefault="00F477A2" w:rsidP="000E5CAD">
      <w:pPr>
        <w:jc w:val="both"/>
        <w:rPr>
          <w:sz w:val="22"/>
        </w:rPr>
      </w:pPr>
      <w:r w:rsidRPr="00052714">
        <w:rPr>
          <w:sz w:val="22"/>
        </w:rPr>
        <w:t>1.3</w:t>
      </w:r>
      <w:r w:rsidR="009F1F96" w:rsidRPr="00052714">
        <w:rPr>
          <w:sz w:val="22"/>
        </w:rPr>
        <w:tab/>
        <w:t>The Northern Ireland Executive (NI Executive) is subject to the obligations contained within the</w:t>
      </w:r>
      <w:r w:rsidR="00306B81" w:rsidRPr="00052714">
        <w:rPr>
          <w:sz w:val="22"/>
        </w:rPr>
        <w:t xml:space="preserve"> CRC </w:t>
      </w:r>
      <w:r w:rsidR="009F1F96" w:rsidRPr="00052714">
        <w:rPr>
          <w:sz w:val="22"/>
        </w:rPr>
        <w:t>by virtue of the United Kingdom (UK) Government’s ratification and the provisions of the Northern Ireland Act 1998.</w:t>
      </w:r>
      <w:r w:rsidR="009F1F96" w:rsidRPr="00052714">
        <w:rPr>
          <w:rStyle w:val="FootnoteReference"/>
          <w:sz w:val="22"/>
        </w:rPr>
        <w:footnoteReference w:id="5"/>
      </w:r>
      <w:r w:rsidR="00376381" w:rsidRPr="00052714">
        <w:rPr>
          <w:sz w:val="22"/>
        </w:rPr>
        <w:t xml:space="preserve"> </w:t>
      </w:r>
    </w:p>
    <w:p w:rsidR="000E5CAD" w:rsidRPr="00052714" w:rsidRDefault="00F477A2" w:rsidP="000E5CAD">
      <w:pPr>
        <w:jc w:val="both"/>
        <w:rPr>
          <w:sz w:val="22"/>
        </w:rPr>
      </w:pPr>
      <w:r w:rsidRPr="00052714">
        <w:rPr>
          <w:sz w:val="22"/>
        </w:rPr>
        <w:t xml:space="preserve">1.4 </w:t>
      </w:r>
      <w:r w:rsidR="000E5CAD" w:rsidRPr="00052714">
        <w:rPr>
          <w:sz w:val="22"/>
        </w:rPr>
        <w:t xml:space="preserve">It is noted that the definition of </w:t>
      </w:r>
      <w:r w:rsidR="00DB5BFB" w:rsidRPr="00052714">
        <w:rPr>
          <w:sz w:val="22"/>
        </w:rPr>
        <w:t>‘</w:t>
      </w:r>
      <w:proofErr w:type="spellStart"/>
      <w:r w:rsidR="000E5CAD" w:rsidRPr="00052714">
        <w:rPr>
          <w:sz w:val="22"/>
        </w:rPr>
        <w:t>well being</w:t>
      </w:r>
      <w:proofErr w:type="spellEnd"/>
      <w:r w:rsidR="00DB5BFB" w:rsidRPr="00052714">
        <w:rPr>
          <w:sz w:val="22"/>
        </w:rPr>
        <w:t>’</w:t>
      </w:r>
      <w:r w:rsidR="000E5CAD" w:rsidRPr="00052714">
        <w:rPr>
          <w:sz w:val="22"/>
        </w:rPr>
        <w:t xml:space="preserve"> contained within the Children’s Services Co-operation Act (Northern Ireland) 2015 is to be determined with regard to the relevant provisions of the CRC. This further strengthened the status of the CRC within the domestic legal framework. </w:t>
      </w:r>
    </w:p>
    <w:p w:rsidR="00306B81" w:rsidRPr="00052714" w:rsidRDefault="00376381" w:rsidP="00306B81">
      <w:pPr>
        <w:spacing w:after="0" w:line="240" w:lineRule="auto"/>
        <w:rPr>
          <w:rFonts w:eastAsia="Calibri" w:cs="Tahoma"/>
          <w:sz w:val="22"/>
        </w:rPr>
      </w:pPr>
      <w:r w:rsidRPr="00052714">
        <w:rPr>
          <w:rFonts w:eastAsia="Calibri" w:cs="Tahoma"/>
          <w:sz w:val="22"/>
        </w:rPr>
        <w:t xml:space="preserve">General Observations </w:t>
      </w:r>
    </w:p>
    <w:p w:rsidR="00376381" w:rsidRPr="00052714" w:rsidRDefault="00376381" w:rsidP="00306B81">
      <w:pPr>
        <w:spacing w:after="0" w:line="240" w:lineRule="auto"/>
        <w:rPr>
          <w:rFonts w:eastAsia="Calibri" w:cs="Tahoma"/>
          <w:sz w:val="22"/>
        </w:rPr>
      </w:pPr>
    </w:p>
    <w:p w:rsidR="00306B81" w:rsidRPr="00052714" w:rsidRDefault="00306B81" w:rsidP="00306B81">
      <w:pPr>
        <w:spacing w:after="0" w:line="240" w:lineRule="auto"/>
        <w:rPr>
          <w:rFonts w:eastAsia="Calibri" w:cs="Tahoma"/>
          <w:sz w:val="22"/>
        </w:rPr>
      </w:pPr>
      <w:r w:rsidRPr="00052714">
        <w:rPr>
          <w:rFonts w:eastAsia="Calibri" w:cs="Tahoma"/>
          <w:sz w:val="22"/>
        </w:rPr>
        <w:t>2.1 The Commission welcomes the recognition for the UN CRC within the draft strategy, in particular the inclusion of elements of a rights-based approach. It is also noted that the Departme</w:t>
      </w:r>
      <w:r w:rsidR="00B25009">
        <w:rPr>
          <w:rFonts w:eastAsia="Calibri" w:cs="Tahoma"/>
          <w:sz w:val="22"/>
        </w:rPr>
        <w:t>nt has factored into the draft s</w:t>
      </w:r>
      <w:r w:rsidRPr="00052714">
        <w:rPr>
          <w:rFonts w:eastAsia="Calibri" w:cs="Tahoma"/>
          <w:sz w:val="22"/>
        </w:rPr>
        <w:t xml:space="preserve">trategy’s timeline the reporting cycle for the UN Committee on the Rights of the Child. This attempt to link local reporting with the international human rights system presents a key opportunity to ensure effective and informed rights based accountability. </w:t>
      </w:r>
    </w:p>
    <w:p w:rsidR="00786D95" w:rsidRPr="00052714" w:rsidRDefault="00786D95" w:rsidP="00786D95">
      <w:pPr>
        <w:spacing w:after="0" w:line="240" w:lineRule="auto"/>
        <w:rPr>
          <w:rFonts w:eastAsia="Calibri" w:cs="Tahoma"/>
          <w:sz w:val="22"/>
        </w:rPr>
      </w:pPr>
    </w:p>
    <w:p w:rsidR="00306B81" w:rsidRPr="00052714" w:rsidRDefault="00786D95" w:rsidP="00786D95">
      <w:pPr>
        <w:spacing w:after="0" w:line="240" w:lineRule="auto"/>
        <w:rPr>
          <w:rFonts w:eastAsia="Calibri" w:cs="Tahoma"/>
          <w:sz w:val="22"/>
        </w:rPr>
      </w:pPr>
      <w:r w:rsidRPr="00052714">
        <w:rPr>
          <w:rFonts w:eastAsia="Calibri" w:cs="Tahoma"/>
          <w:sz w:val="22"/>
        </w:rPr>
        <w:t xml:space="preserve">2.2 </w:t>
      </w:r>
      <w:r w:rsidR="00306B81" w:rsidRPr="00052714">
        <w:rPr>
          <w:rFonts w:eastAsia="Calibri" w:cs="Tahoma"/>
          <w:b/>
          <w:sz w:val="22"/>
        </w:rPr>
        <w:t>The Commission welcomes the a</w:t>
      </w:r>
      <w:r w:rsidR="00B25009">
        <w:rPr>
          <w:rFonts w:eastAsia="Calibri" w:cs="Tahoma"/>
          <w:b/>
          <w:sz w:val="22"/>
        </w:rPr>
        <w:t>lignment of the draft s</w:t>
      </w:r>
      <w:r w:rsidR="00306B81" w:rsidRPr="00052714">
        <w:rPr>
          <w:rFonts w:eastAsia="Calibri" w:cs="Tahoma"/>
          <w:b/>
          <w:sz w:val="22"/>
        </w:rPr>
        <w:t>trategy’s outcomes and implementation with international human rights standards. The Commission further welcomes the commitment to a rights-</w:t>
      </w:r>
      <w:r w:rsidR="00B25009">
        <w:rPr>
          <w:rFonts w:eastAsia="Calibri" w:cs="Tahoma"/>
          <w:b/>
          <w:sz w:val="22"/>
        </w:rPr>
        <w:t>based approach under the draft s</w:t>
      </w:r>
      <w:r w:rsidR="00306B81" w:rsidRPr="00052714">
        <w:rPr>
          <w:rFonts w:eastAsia="Calibri" w:cs="Tahoma"/>
          <w:b/>
          <w:sz w:val="22"/>
        </w:rPr>
        <w:t xml:space="preserve">trategy aimed at improving human rights awareness and education in children and adults. </w:t>
      </w:r>
    </w:p>
    <w:p w:rsidR="00306B81" w:rsidRPr="00052714" w:rsidRDefault="00306B81" w:rsidP="00306B81">
      <w:pPr>
        <w:spacing w:after="0" w:line="240" w:lineRule="auto"/>
        <w:rPr>
          <w:rFonts w:eastAsia="Calibri" w:cs="Tahoma"/>
          <w:b/>
          <w:sz w:val="22"/>
        </w:rPr>
      </w:pPr>
    </w:p>
    <w:p w:rsidR="00306B81" w:rsidRPr="00052714" w:rsidRDefault="00786D95" w:rsidP="00306B81">
      <w:pPr>
        <w:spacing w:after="0" w:line="240" w:lineRule="auto"/>
        <w:rPr>
          <w:rFonts w:eastAsia="Calibri" w:cs="Tahoma"/>
          <w:sz w:val="22"/>
        </w:rPr>
      </w:pPr>
      <w:r w:rsidRPr="00052714">
        <w:rPr>
          <w:rFonts w:eastAsia="Calibri" w:cs="Tahoma"/>
          <w:sz w:val="22"/>
        </w:rPr>
        <w:t>2.3</w:t>
      </w:r>
      <w:r w:rsidR="00306B81" w:rsidRPr="00052714">
        <w:rPr>
          <w:rFonts w:eastAsia="Calibri" w:cs="Tahoma"/>
          <w:sz w:val="22"/>
        </w:rPr>
        <w:t xml:space="preserve"> The draft strategy would be strengthened by further reference to the specific article</w:t>
      </w:r>
      <w:r w:rsidR="004A765D" w:rsidRPr="00052714">
        <w:rPr>
          <w:rFonts w:eastAsia="Calibri" w:cs="Tahoma"/>
          <w:sz w:val="22"/>
        </w:rPr>
        <w:t>s</w:t>
      </w:r>
      <w:r w:rsidR="00306B81" w:rsidRPr="00052714">
        <w:rPr>
          <w:rFonts w:eastAsia="Calibri" w:cs="Tahoma"/>
          <w:sz w:val="22"/>
        </w:rPr>
        <w:t xml:space="preserve"> of the UN CRC and to the concluding observations of the UN CRC Committee contained in its May 2016 report on the compliance of the UK with the UN CRC.</w:t>
      </w:r>
      <w:r w:rsidR="00306B81" w:rsidRPr="00052714">
        <w:rPr>
          <w:rFonts w:eastAsia="Calibri" w:cs="Tahoma"/>
          <w:sz w:val="22"/>
          <w:vertAlign w:val="superscript"/>
        </w:rPr>
        <w:footnoteReference w:id="6"/>
      </w:r>
      <w:r w:rsidR="00306B81" w:rsidRPr="00052714">
        <w:rPr>
          <w:rFonts w:eastAsia="Calibri" w:cs="Tahoma"/>
          <w:sz w:val="22"/>
        </w:rPr>
        <w:t xml:space="preserve"> This report contains an article by article assessment of compliance with the UN CRC and a number of violations were identified.</w:t>
      </w:r>
      <w:r w:rsidR="00DB5BFB" w:rsidRPr="00052714">
        <w:rPr>
          <w:sz w:val="22"/>
        </w:rPr>
        <w:t xml:space="preserve"> </w:t>
      </w:r>
      <w:r w:rsidR="00DB5BFB" w:rsidRPr="00052714">
        <w:rPr>
          <w:rFonts w:eastAsia="Calibri" w:cs="Tahoma"/>
          <w:sz w:val="22"/>
        </w:rPr>
        <w:t xml:space="preserve">By way of its General Comment number 5 the UN CRC Committee has indicated </w:t>
      </w:r>
      <w:r w:rsidR="00865421" w:rsidRPr="00052714">
        <w:rPr>
          <w:rFonts w:eastAsia="Calibri" w:cs="Tahoma"/>
          <w:sz w:val="22"/>
        </w:rPr>
        <w:t xml:space="preserve">that state parties should: </w:t>
      </w:r>
    </w:p>
    <w:p w:rsidR="00865421" w:rsidRPr="00052714" w:rsidRDefault="00865421" w:rsidP="00306B81">
      <w:pPr>
        <w:spacing w:after="0" w:line="240" w:lineRule="auto"/>
        <w:rPr>
          <w:rFonts w:eastAsia="Calibri" w:cs="Tahoma"/>
          <w:sz w:val="22"/>
        </w:rPr>
      </w:pPr>
    </w:p>
    <w:p w:rsidR="00865421" w:rsidRPr="00052714" w:rsidRDefault="00865421" w:rsidP="00865421">
      <w:pPr>
        <w:spacing w:after="0" w:line="240" w:lineRule="auto"/>
        <w:rPr>
          <w:rFonts w:eastAsia="Calibri" w:cs="Tahoma"/>
          <w:sz w:val="22"/>
        </w:rPr>
      </w:pPr>
      <w:r w:rsidRPr="00052714">
        <w:rPr>
          <w:rFonts w:eastAsia="Calibri" w:cs="Tahoma"/>
          <w:sz w:val="22"/>
        </w:rPr>
        <w:tab/>
      </w:r>
      <w:proofErr w:type="gramStart"/>
      <w:r w:rsidRPr="00052714">
        <w:rPr>
          <w:rFonts w:eastAsia="Calibri" w:cs="Tahoma"/>
          <w:sz w:val="22"/>
        </w:rPr>
        <w:t>take</w:t>
      </w:r>
      <w:proofErr w:type="gramEnd"/>
      <w:r w:rsidRPr="00052714">
        <w:rPr>
          <w:rFonts w:eastAsia="Calibri" w:cs="Tahoma"/>
          <w:sz w:val="22"/>
        </w:rPr>
        <w:t xml:space="preserve"> account of the recommendations in its concluding observations on</w:t>
      </w:r>
    </w:p>
    <w:p w:rsidR="00865421" w:rsidRPr="00052714" w:rsidRDefault="00865421" w:rsidP="00865421">
      <w:pPr>
        <w:spacing w:after="0" w:line="240" w:lineRule="auto"/>
        <w:ind w:left="720"/>
        <w:rPr>
          <w:rFonts w:eastAsia="Calibri" w:cs="Tahoma"/>
          <w:sz w:val="22"/>
        </w:rPr>
      </w:pPr>
      <w:proofErr w:type="gramStart"/>
      <w:r w:rsidRPr="00052714">
        <w:rPr>
          <w:rFonts w:eastAsia="Calibri" w:cs="Tahoma"/>
          <w:sz w:val="22"/>
        </w:rPr>
        <w:t>their</w:t>
      </w:r>
      <w:proofErr w:type="gramEnd"/>
      <w:r w:rsidRPr="00052714">
        <w:rPr>
          <w:rFonts w:eastAsia="Calibri" w:cs="Tahoma"/>
          <w:sz w:val="22"/>
        </w:rPr>
        <w:t xml:space="preserve"> periodic reports when developing and/or reviewing their national strategies</w:t>
      </w:r>
      <w:r w:rsidR="00624BBB" w:rsidRPr="00052714">
        <w:rPr>
          <w:rFonts w:eastAsia="Calibri" w:cs="Tahoma"/>
          <w:sz w:val="22"/>
        </w:rPr>
        <w:t>.</w:t>
      </w:r>
      <w:r w:rsidR="00624BBB" w:rsidRPr="00052714">
        <w:rPr>
          <w:rStyle w:val="FootnoteReference"/>
          <w:rFonts w:eastAsia="Calibri" w:cs="Tahoma"/>
          <w:sz w:val="22"/>
        </w:rPr>
        <w:footnoteReference w:id="7"/>
      </w:r>
    </w:p>
    <w:p w:rsidR="00723743" w:rsidRPr="00052714" w:rsidRDefault="00723743" w:rsidP="00865421">
      <w:pPr>
        <w:spacing w:after="0" w:line="240" w:lineRule="auto"/>
        <w:ind w:left="720"/>
        <w:rPr>
          <w:rFonts w:eastAsia="Calibri" w:cs="Tahoma"/>
          <w:sz w:val="22"/>
        </w:rPr>
      </w:pPr>
    </w:p>
    <w:p w:rsidR="00F477A2" w:rsidRPr="00052714" w:rsidRDefault="00786D95" w:rsidP="00306B81">
      <w:pPr>
        <w:spacing w:after="0" w:line="240" w:lineRule="auto"/>
        <w:rPr>
          <w:rFonts w:eastAsia="Calibri" w:cs="Tahoma"/>
          <w:sz w:val="22"/>
        </w:rPr>
      </w:pPr>
      <w:r w:rsidRPr="00052714">
        <w:rPr>
          <w:rFonts w:eastAsia="Calibri" w:cs="Tahoma"/>
          <w:sz w:val="22"/>
        </w:rPr>
        <w:t>2.4</w:t>
      </w:r>
      <w:r w:rsidR="00F477A2" w:rsidRPr="00052714">
        <w:rPr>
          <w:rFonts w:eastAsia="Calibri" w:cs="Tahoma"/>
          <w:sz w:val="22"/>
        </w:rPr>
        <w:t xml:space="preserve"> </w:t>
      </w:r>
      <w:r w:rsidR="00B25009">
        <w:rPr>
          <w:rFonts w:eastAsia="Calibri" w:cs="Tahoma"/>
          <w:sz w:val="22"/>
        </w:rPr>
        <w:t>It is noted that the s</w:t>
      </w:r>
      <w:r w:rsidR="007A32AA" w:rsidRPr="00052714">
        <w:rPr>
          <w:rFonts w:eastAsia="Calibri" w:cs="Tahoma"/>
          <w:sz w:val="22"/>
        </w:rPr>
        <w:t xml:space="preserve">trategy sets out initial arrangements to promote cooperation across all relevant bodies. It is noted that through a range of strategies and policy documents, including the Programme for Government, the NI Executive deliver on their human rights commitments towards children. The Commission considers that while the strategy will not contain all actions necessary to ensure compliance with the Committee’s recommendations it is important that the </w:t>
      </w:r>
      <w:r w:rsidR="00B25009">
        <w:rPr>
          <w:rFonts w:eastAsia="Calibri" w:cs="Tahoma"/>
          <w:sz w:val="22"/>
        </w:rPr>
        <w:t>s</w:t>
      </w:r>
      <w:r w:rsidR="006E7CB2" w:rsidRPr="00052714">
        <w:rPr>
          <w:rFonts w:eastAsia="Calibri" w:cs="Tahoma"/>
          <w:sz w:val="22"/>
        </w:rPr>
        <w:t>trategy identifies strategies and actions</w:t>
      </w:r>
      <w:r w:rsidR="005B2472" w:rsidRPr="00052714">
        <w:rPr>
          <w:rFonts w:eastAsia="Calibri" w:cs="Tahoma"/>
          <w:sz w:val="22"/>
        </w:rPr>
        <w:t xml:space="preserve"> which are relevant to the </w:t>
      </w:r>
      <w:r w:rsidR="00723743" w:rsidRPr="00052714">
        <w:rPr>
          <w:rFonts w:eastAsia="Calibri" w:cs="Tahoma"/>
          <w:sz w:val="22"/>
        </w:rPr>
        <w:t>implementation of the recommendations</w:t>
      </w:r>
      <w:r w:rsidR="006E7CB2" w:rsidRPr="00052714">
        <w:rPr>
          <w:rFonts w:eastAsia="Calibri" w:cs="Tahoma"/>
          <w:sz w:val="22"/>
        </w:rPr>
        <w:t xml:space="preserve">. </w:t>
      </w:r>
    </w:p>
    <w:p w:rsidR="00F477A2" w:rsidRPr="00052714" w:rsidRDefault="00F477A2" w:rsidP="00306B81">
      <w:pPr>
        <w:spacing w:after="0" w:line="240" w:lineRule="auto"/>
        <w:rPr>
          <w:rFonts w:eastAsia="Calibri" w:cs="Tahoma"/>
          <w:sz w:val="22"/>
        </w:rPr>
      </w:pPr>
    </w:p>
    <w:p w:rsidR="00306B81" w:rsidRPr="00052714" w:rsidRDefault="00306B81" w:rsidP="00306B81">
      <w:pPr>
        <w:spacing w:after="0" w:line="240" w:lineRule="auto"/>
        <w:rPr>
          <w:rFonts w:eastAsia="Calibri" w:cs="Tahoma"/>
          <w:sz w:val="22"/>
        </w:rPr>
      </w:pPr>
      <w:r w:rsidRPr="00052714">
        <w:rPr>
          <w:rFonts w:eastAsia="Calibri" w:cs="Tahoma"/>
          <w:sz w:val="22"/>
        </w:rPr>
        <w:tab/>
      </w:r>
    </w:p>
    <w:p w:rsidR="00306B81" w:rsidRPr="00052714" w:rsidRDefault="00786D95" w:rsidP="00786D95">
      <w:pPr>
        <w:spacing w:after="0" w:line="240" w:lineRule="auto"/>
        <w:rPr>
          <w:rFonts w:eastAsia="Calibri" w:cs="Tahoma"/>
          <w:b/>
          <w:sz w:val="22"/>
        </w:rPr>
      </w:pPr>
      <w:r w:rsidRPr="00052714">
        <w:rPr>
          <w:rFonts w:eastAsia="Calibri" w:cs="Tahoma"/>
          <w:b/>
          <w:sz w:val="22"/>
        </w:rPr>
        <w:t xml:space="preserve">2.5 </w:t>
      </w:r>
      <w:r w:rsidR="003C6CC9" w:rsidRPr="00052714">
        <w:rPr>
          <w:rFonts w:eastAsia="Calibri" w:cs="Tahoma"/>
          <w:b/>
          <w:sz w:val="22"/>
        </w:rPr>
        <w:t xml:space="preserve">The Commission welcomes the recognition that in </w:t>
      </w:r>
      <w:r w:rsidR="00B25009">
        <w:rPr>
          <w:rFonts w:eastAsia="Calibri" w:cs="Tahoma"/>
          <w:b/>
          <w:sz w:val="22"/>
        </w:rPr>
        <w:t>accordance with the UN CRC the s</w:t>
      </w:r>
      <w:r w:rsidR="003C6CC9" w:rsidRPr="00052714">
        <w:rPr>
          <w:rFonts w:eastAsia="Calibri" w:cs="Tahoma"/>
          <w:b/>
          <w:sz w:val="22"/>
        </w:rPr>
        <w:t>trategy should ensure continuous engagement with children and young people through a formal mechanism to ensure the voice of the child is heard, the strategy should set out clearly how existing fora will be utilised to ensure accountability for the strategy</w:t>
      </w:r>
    </w:p>
    <w:p w:rsidR="00306B81" w:rsidRPr="00052714" w:rsidRDefault="00306B81" w:rsidP="00306B81">
      <w:pPr>
        <w:spacing w:after="0" w:line="240" w:lineRule="auto"/>
        <w:rPr>
          <w:rFonts w:eastAsia="Calibri" w:cs="Tahoma"/>
          <w:b/>
          <w:sz w:val="22"/>
        </w:rPr>
      </w:pPr>
    </w:p>
    <w:p w:rsidR="00306B81" w:rsidRPr="00052714" w:rsidRDefault="00306B81" w:rsidP="00306B81">
      <w:pPr>
        <w:spacing w:after="0" w:line="240" w:lineRule="auto"/>
        <w:rPr>
          <w:rFonts w:eastAsia="Calibri" w:cs="Tahoma"/>
          <w:b/>
          <w:sz w:val="22"/>
        </w:rPr>
      </w:pPr>
    </w:p>
    <w:p w:rsidR="00306B81" w:rsidRPr="00052714" w:rsidRDefault="00786D95" w:rsidP="00306B81">
      <w:pPr>
        <w:spacing w:after="0" w:line="240" w:lineRule="auto"/>
        <w:rPr>
          <w:rFonts w:eastAsia="Calibri" w:cs="Tahoma"/>
          <w:sz w:val="22"/>
        </w:rPr>
      </w:pPr>
      <w:r w:rsidRPr="00052714">
        <w:rPr>
          <w:rFonts w:eastAsia="Calibri" w:cs="Tahoma"/>
          <w:sz w:val="22"/>
        </w:rPr>
        <w:t xml:space="preserve">2.6 </w:t>
      </w:r>
      <w:r w:rsidR="00306B81" w:rsidRPr="00052714">
        <w:rPr>
          <w:rFonts w:eastAsia="Calibri" w:cs="Tahoma"/>
          <w:sz w:val="22"/>
        </w:rPr>
        <w:t>The inclusion and participation of children and young peo</w:t>
      </w:r>
      <w:r w:rsidR="00B25009">
        <w:rPr>
          <w:rFonts w:eastAsia="Calibri" w:cs="Tahoma"/>
          <w:sz w:val="22"/>
        </w:rPr>
        <w:t>ple in the design of the draft s</w:t>
      </w:r>
      <w:r w:rsidR="00306B81" w:rsidRPr="00052714">
        <w:rPr>
          <w:rFonts w:eastAsia="Calibri" w:cs="Tahoma"/>
          <w:sz w:val="22"/>
        </w:rPr>
        <w:t xml:space="preserve">trategy via public engagements and focus groups is also in keeping with the UNCRC. The UNCRC, Article 12 requires states to: </w:t>
      </w:r>
    </w:p>
    <w:p w:rsidR="00306B81" w:rsidRPr="00052714" w:rsidRDefault="00306B81" w:rsidP="00306B81">
      <w:pPr>
        <w:spacing w:after="0" w:line="240" w:lineRule="auto"/>
        <w:rPr>
          <w:rFonts w:eastAsia="Calibri" w:cs="Tahoma"/>
          <w:sz w:val="22"/>
        </w:rPr>
      </w:pPr>
    </w:p>
    <w:p w:rsidR="00306B81" w:rsidRPr="00052714" w:rsidRDefault="00306B81" w:rsidP="00306B81">
      <w:pPr>
        <w:autoSpaceDE w:val="0"/>
        <w:autoSpaceDN w:val="0"/>
        <w:adjustRightInd w:val="0"/>
        <w:spacing w:after="0" w:line="240" w:lineRule="auto"/>
        <w:ind w:firstLine="720"/>
        <w:rPr>
          <w:rFonts w:cs="Univers-Light"/>
          <w:color w:val="000000"/>
          <w:sz w:val="22"/>
        </w:rPr>
      </w:pPr>
      <w:proofErr w:type="gramStart"/>
      <w:r w:rsidRPr="00052714">
        <w:rPr>
          <w:rFonts w:cs="Univers-Light"/>
          <w:color w:val="000000"/>
          <w:sz w:val="22"/>
        </w:rPr>
        <w:t>assure</w:t>
      </w:r>
      <w:proofErr w:type="gramEnd"/>
      <w:r w:rsidRPr="00052714">
        <w:rPr>
          <w:rFonts w:cs="Univers-Light"/>
          <w:color w:val="000000"/>
          <w:sz w:val="22"/>
        </w:rPr>
        <w:t xml:space="preserve"> to the child who is capable of forming his or her own views  </w:t>
      </w:r>
    </w:p>
    <w:p w:rsidR="00306B81" w:rsidRPr="00052714" w:rsidRDefault="00306B81" w:rsidP="00306B81">
      <w:pPr>
        <w:autoSpaceDE w:val="0"/>
        <w:autoSpaceDN w:val="0"/>
        <w:adjustRightInd w:val="0"/>
        <w:spacing w:after="0" w:line="240" w:lineRule="auto"/>
        <w:ind w:firstLine="720"/>
        <w:rPr>
          <w:rFonts w:cs="Univers-Light"/>
          <w:color w:val="000000"/>
          <w:sz w:val="22"/>
        </w:rPr>
      </w:pPr>
      <w:proofErr w:type="gramStart"/>
      <w:r w:rsidRPr="00052714">
        <w:rPr>
          <w:rFonts w:cs="Univers-Light"/>
          <w:color w:val="000000"/>
          <w:sz w:val="22"/>
        </w:rPr>
        <w:t>the</w:t>
      </w:r>
      <w:proofErr w:type="gramEnd"/>
      <w:r w:rsidRPr="00052714">
        <w:rPr>
          <w:rFonts w:cs="Univers-Light"/>
          <w:color w:val="000000"/>
          <w:sz w:val="22"/>
        </w:rPr>
        <w:t xml:space="preserve"> right to express those views freely in all matters affecting the </w:t>
      </w:r>
    </w:p>
    <w:p w:rsidR="00306B81" w:rsidRPr="00052714" w:rsidRDefault="00306B81" w:rsidP="00306B81">
      <w:pPr>
        <w:autoSpaceDE w:val="0"/>
        <w:autoSpaceDN w:val="0"/>
        <w:adjustRightInd w:val="0"/>
        <w:spacing w:after="0" w:line="240" w:lineRule="auto"/>
        <w:ind w:firstLine="720"/>
        <w:rPr>
          <w:rFonts w:cs="Univers-Light"/>
          <w:color w:val="000000"/>
          <w:sz w:val="22"/>
        </w:rPr>
      </w:pPr>
      <w:proofErr w:type="gramStart"/>
      <w:r w:rsidRPr="00052714">
        <w:rPr>
          <w:rFonts w:cs="Univers-Light"/>
          <w:color w:val="000000"/>
          <w:sz w:val="22"/>
        </w:rPr>
        <w:t>child</w:t>
      </w:r>
      <w:proofErr w:type="gramEnd"/>
      <w:r w:rsidRPr="00052714">
        <w:rPr>
          <w:rFonts w:cs="Univers-Light"/>
          <w:color w:val="000000"/>
          <w:sz w:val="22"/>
        </w:rPr>
        <w:t xml:space="preserve">, the views of the child being given due weight in accordance </w:t>
      </w:r>
    </w:p>
    <w:p w:rsidR="00306B81" w:rsidRPr="00052714" w:rsidRDefault="00306B81" w:rsidP="00306B81">
      <w:pPr>
        <w:autoSpaceDE w:val="0"/>
        <w:autoSpaceDN w:val="0"/>
        <w:adjustRightInd w:val="0"/>
        <w:spacing w:after="0" w:line="240" w:lineRule="auto"/>
        <w:ind w:firstLine="720"/>
        <w:rPr>
          <w:rFonts w:cs="Univers-Light"/>
          <w:color w:val="000000"/>
          <w:sz w:val="22"/>
        </w:rPr>
      </w:pPr>
      <w:proofErr w:type="gramStart"/>
      <w:r w:rsidRPr="00052714">
        <w:rPr>
          <w:rFonts w:cs="Univers-Light"/>
          <w:color w:val="000000"/>
          <w:sz w:val="22"/>
        </w:rPr>
        <w:t>with</w:t>
      </w:r>
      <w:proofErr w:type="gramEnd"/>
      <w:r w:rsidRPr="00052714">
        <w:rPr>
          <w:rFonts w:cs="Univers-Light"/>
          <w:color w:val="000000"/>
          <w:sz w:val="22"/>
        </w:rPr>
        <w:t xml:space="preserve"> the age and maturity of the child.</w:t>
      </w:r>
    </w:p>
    <w:p w:rsidR="00306B81" w:rsidRPr="00052714" w:rsidRDefault="00306B81" w:rsidP="00306B81">
      <w:pPr>
        <w:spacing w:after="0" w:line="240" w:lineRule="auto"/>
        <w:rPr>
          <w:rFonts w:eastAsia="Calibri" w:cs="Tahoma"/>
          <w:sz w:val="22"/>
        </w:rPr>
      </w:pPr>
    </w:p>
    <w:p w:rsidR="00306B81" w:rsidRPr="00052714" w:rsidRDefault="00786D95" w:rsidP="00306B81">
      <w:pPr>
        <w:spacing w:after="0" w:line="240" w:lineRule="auto"/>
        <w:rPr>
          <w:rFonts w:eastAsia="Calibri" w:cs="Tahoma"/>
          <w:sz w:val="22"/>
        </w:rPr>
      </w:pPr>
      <w:r w:rsidRPr="00052714">
        <w:rPr>
          <w:rFonts w:eastAsia="Calibri" w:cs="Tahoma"/>
          <w:sz w:val="22"/>
        </w:rPr>
        <w:t xml:space="preserve">2.7 </w:t>
      </w:r>
      <w:r w:rsidR="00306B81" w:rsidRPr="00052714">
        <w:rPr>
          <w:rFonts w:eastAsia="Calibri" w:cs="Tahoma"/>
          <w:sz w:val="22"/>
        </w:rPr>
        <w:t xml:space="preserve">During the last examination the UN CRC Committee recommended that decision makers in the UK: </w:t>
      </w:r>
    </w:p>
    <w:p w:rsidR="00306B81" w:rsidRPr="00052714" w:rsidRDefault="00306B81" w:rsidP="00306B81">
      <w:pPr>
        <w:spacing w:after="0" w:line="240" w:lineRule="auto"/>
        <w:rPr>
          <w:rFonts w:eastAsia="Calibri" w:cs="Tahoma"/>
          <w:sz w:val="22"/>
        </w:rPr>
      </w:pPr>
    </w:p>
    <w:p w:rsidR="00306B81" w:rsidRPr="00052714" w:rsidRDefault="00306B81" w:rsidP="00306B81">
      <w:pPr>
        <w:ind w:left="720"/>
        <w:rPr>
          <w:sz w:val="22"/>
        </w:rPr>
      </w:pPr>
      <w:r w:rsidRPr="00052714">
        <w:rPr>
          <w:sz w:val="22"/>
          <w:lang w:eastAsia="ja-JP"/>
        </w:rPr>
        <w:t xml:space="preserve">Establish structures for the active and meaningful participation of children and give due weight to their views in designing laws, policies, programmes and services at the local and national level, including in relation to discrimination, violence, sexual exploitation and abuse, harmful practices, alternative care, sexual and reproductive education, leisure and play. </w:t>
      </w:r>
      <w:r w:rsidRPr="00052714">
        <w:rPr>
          <w:color w:val="000000"/>
          <w:sz w:val="22"/>
          <w:lang w:eastAsia="ja-JP"/>
        </w:rPr>
        <w:t>Particular attention should be paid to involving younger children and children in vulnerable situations, such as children with disabilities.</w:t>
      </w:r>
      <w:r w:rsidR="002902AC" w:rsidRPr="00052714">
        <w:rPr>
          <w:b/>
          <w:color w:val="000000"/>
          <w:sz w:val="22"/>
          <w:vertAlign w:val="superscript"/>
          <w:lang w:eastAsia="ja-JP"/>
        </w:rPr>
        <w:footnoteReference w:id="8"/>
      </w:r>
      <w:r w:rsidRPr="00052714">
        <w:rPr>
          <w:rFonts w:eastAsia="Calibri"/>
          <w:sz w:val="22"/>
          <w:vertAlign w:val="superscript"/>
        </w:rPr>
        <w:t xml:space="preserve"> </w:t>
      </w:r>
    </w:p>
    <w:p w:rsidR="00306B81" w:rsidRPr="00052714" w:rsidRDefault="00786D95" w:rsidP="00306B81">
      <w:pPr>
        <w:rPr>
          <w:sz w:val="22"/>
        </w:rPr>
      </w:pPr>
      <w:r w:rsidRPr="00052714">
        <w:rPr>
          <w:rFonts w:eastAsia="Calibri" w:cs="Tahoma"/>
          <w:sz w:val="22"/>
        </w:rPr>
        <w:t xml:space="preserve">2.8 </w:t>
      </w:r>
      <w:r w:rsidR="00306B81" w:rsidRPr="00052714">
        <w:rPr>
          <w:rFonts w:eastAsia="Calibri" w:cs="Tahoma"/>
          <w:sz w:val="22"/>
        </w:rPr>
        <w:t>The Commission welcomes the acknowledgement within the strategy that engagement with children and young people should be a continuous process.</w:t>
      </w:r>
      <w:r w:rsidR="00306B81" w:rsidRPr="00052714">
        <w:rPr>
          <w:sz w:val="22"/>
        </w:rPr>
        <w:t xml:space="preserve"> </w:t>
      </w:r>
      <w:r w:rsidR="00306B81" w:rsidRPr="00052714">
        <w:rPr>
          <w:rFonts w:eastAsia="Calibri" w:cs="Tahoma"/>
          <w:sz w:val="22"/>
        </w:rPr>
        <w:t>The Commission notes that a Stakeholder Forum is to be established. The strategy also refers to engaging with ‘a range of existing fora’</w:t>
      </w:r>
      <w:r w:rsidR="00EC53D6" w:rsidRPr="00052714">
        <w:rPr>
          <w:rFonts w:eastAsia="Calibri" w:cs="Tahoma"/>
          <w:sz w:val="22"/>
        </w:rPr>
        <w:t xml:space="preserve"> without providing detail as to how the engagement will work in practice</w:t>
      </w:r>
      <w:r w:rsidR="00306B81" w:rsidRPr="00052714">
        <w:rPr>
          <w:rFonts w:eastAsia="Calibri" w:cs="Tahoma"/>
          <w:sz w:val="22"/>
        </w:rPr>
        <w:t xml:space="preserve">. </w:t>
      </w:r>
    </w:p>
    <w:p w:rsidR="00306B81" w:rsidRPr="00052714" w:rsidRDefault="00306B81" w:rsidP="00306B81">
      <w:pPr>
        <w:spacing w:after="0" w:line="240" w:lineRule="auto"/>
        <w:rPr>
          <w:rFonts w:eastAsia="Calibri" w:cs="Tahoma"/>
          <w:b/>
          <w:sz w:val="22"/>
        </w:rPr>
      </w:pPr>
    </w:p>
    <w:p w:rsidR="00306B81" w:rsidRPr="00052714" w:rsidRDefault="00786D95" w:rsidP="00786D95">
      <w:pPr>
        <w:spacing w:after="0" w:line="240" w:lineRule="auto"/>
        <w:rPr>
          <w:rFonts w:eastAsia="Calibri" w:cs="Tahoma"/>
          <w:b/>
          <w:sz w:val="22"/>
        </w:rPr>
      </w:pPr>
      <w:r w:rsidRPr="00052714">
        <w:rPr>
          <w:rFonts w:eastAsia="Calibri" w:cs="Tahoma"/>
          <w:b/>
          <w:sz w:val="22"/>
        </w:rPr>
        <w:t xml:space="preserve">2.9 </w:t>
      </w:r>
      <w:r w:rsidR="00306B81" w:rsidRPr="00052714">
        <w:rPr>
          <w:rFonts w:eastAsia="Calibri" w:cs="Tahoma"/>
          <w:b/>
          <w:sz w:val="22"/>
        </w:rPr>
        <w:t xml:space="preserve">The Commission </w:t>
      </w:r>
      <w:r w:rsidR="00EC53D6" w:rsidRPr="00052714">
        <w:rPr>
          <w:rFonts w:eastAsia="Calibri" w:cs="Tahoma"/>
          <w:b/>
          <w:sz w:val="22"/>
        </w:rPr>
        <w:t xml:space="preserve">welcomes </w:t>
      </w:r>
      <w:r w:rsidR="00DF333B" w:rsidRPr="00052714">
        <w:rPr>
          <w:rFonts w:eastAsia="Calibri" w:cs="Tahoma"/>
          <w:b/>
          <w:sz w:val="22"/>
        </w:rPr>
        <w:t>inclu</w:t>
      </w:r>
      <w:r w:rsidR="00B25009">
        <w:rPr>
          <w:rFonts w:eastAsia="Calibri" w:cs="Tahoma"/>
          <w:b/>
          <w:sz w:val="22"/>
        </w:rPr>
        <w:t>sive manner in which the draft s</w:t>
      </w:r>
      <w:r w:rsidR="00DF333B" w:rsidRPr="00052714">
        <w:rPr>
          <w:rFonts w:eastAsia="Calibri" w:cs="Tahoma"/>
          <w:b/>
          <w:sz w:val="22"/>
        </w:rPr>
        <w:t xml:space="preserve">trategy was developed along with </w:t>
      </w:r>
      <w:r w:rsidR="00EC53D6" w:rsidRPr="00052714">
        <w:rPr>
          <w:rFonts w:eastAsia="Calibri" w:cs="Tahoma"/>
          <w:b/>
          <w:sz w:val="22"/>
        </w:rPr>
        <w:t>the recognition that</w:t>
      </w:r>
      <w:r w:rsidR="00306B81" w:rsidRPr="00052714">
        <w:rPr>
          <w:rFonts w:eastAsia="Calibri" w:cs="Tahoma"/>
          <w:b/>
          <w:sz w:val="22"/>
        </w:rPr>
        <w:t xml:space="preserve"> in </w:t>
      </w:r>
      <w:r w:rsidR="00B25009">
        <w:rPr>
          <w:rFonts w:eastAsia="Calibri" w:cs="Tahoma"/>
          <w:b/>
          <w:sz w:val="22"/>
        </w:rPr>
        <w:t>accordance with the UN CRC the s</w:t>
      </w:r>
      <w:r w:rsidR="00306B81" w:rsidRPr="00052714">
        <w:rPr>
          <w:rFonts w:eastAsia="Calibri" w:cs="Tahoma"/>
          <w:b/>
          <w:sz w:val="22"/>
        </w:rPr>
        <w:t>trategy should ensure continuous engagement with children and young people</w:t>
      </w:r>
      <w:r w:rsidR="00053626" w:rsidRPr="00052714">
        <w:rPr>
          <w:rFonts w:eastAsia="Calibri" w:cs="Tahoma"/>
          <w:b/>
          <w:sz w:val="22"/>
        </w:rPr>
        <w:t xml:space="preserve"> through a formal mechanism</w:t>
      </w:r>
      <w:r w:rsidR="00306B81" w:rsidRPr="00052714">
        <w:rPr>
          <w:rFonts w:eastAsia="Calibri" w:cs="Tahoma"/>
          <w:b/>
          <w:sz w:val="22"/>
        </w:rPr>
        <w:t xml:space="preserve">, </w:t>
      </w:r>
      <w:r w:rsidR="00053626" w:rsidRPr="00052714">
        <w:rPr>
          <w:rFonts w:eastAsia="Calibri" w:cs="Tahoma"/>
          <w:b/>
          <w:sz w:val="22"/>
        </w:rPr>
        <w:t xml:space="preserve">the strategy should </w:t>
      </w:r>
      <w:r w:rsidR="00306B81" w:rsidRPr="00052714">
        <w:rPr>
          <w:rFonts w:eastAsia="Calibri" w:cs="Tahoma"/>
          <w:b/>
          <w:sz w:val="22"/>
        </w:rPr>
        <w:t xml:space="preserve">set out </w:t>
      </w:r>
      <w:r w:rsidR="00053626" w:rsidRPr="00052714">
        <w:rPr>
          <w:rFonts w:eastAsia="Calibri" w:cs="Tahoma"/>
          <w:b/>
          <w:sz w:val="22"/>
        </w:rPr>
        <w:t>clearly how</w:t>
      </w:r>
      <w:r w:rsidR="00306B81" w:rsidRPr="00052714">
        <w:rPr>
          <w:rFonts w:eastAsia="Calibri" w:cs="Tahoma"/>
          <w:b/>
          <w:sz w:val="22"/>
        </w:rPr>
        <w:t xml:space="preserve"> existing </w:t>
      </w:r>
      <w:r w:rsidR="007F0A9E" w:rsidRPr="00052714">
        <w:rPr>
          <w:rFonts w:eastAsia="Calibri" w:cs="Tahoma"/>
          <w:b/>
          <w:sz w:val="22"/>
        </w:rPr>
        <w:t>for</w:t>
      </w:r>
      <w:r w:rsidR="00053626" w:rsidRPr="00052714">
        <w:rPr>
          <w:rFonts w:eastAsia="Calibri" w:cs="Tahoma"/>
          <w:b/>
          <w:sz w:val="22"/>
        </w:rPr>
        <w:t>a will be utilised to ensure accountability for the strategy</w:t>
      </w:r>
      <w:r w:rsidR="00306B81" w:rsidRPr="00052714">
        <w:rPr>
          <w:rFonts w:eastAsia="Calibri" w:cs="Tahoma"/>
          <w:b/>
          <w:sz w:val="22"/>
        </w:rPr>
        <w:t xml:space="preserve">.  </w:t>
      </w:r>
    </w:p>
    <w:p w:rsidR="00865421" w:rsidRPr="00052714" w:rsidRDefault="00865421" w:rsidP="00306B81">
      <w:pPr>
        <w:spacing w:after="0" w:line="240" w:lineRule="auto"/>
        <w:ind w:left="720"/>
        <w:rPr>
          <w:rFonts w:eastAsia="Calibri" w:cs="Tahoma"/>
          <w:b/>
          <w:sz w:val="22"/>
        </w:rPr>
      </w:pPr>
    </w:p>
    <w:p w:rsidR="00624BBB" w:rsidRPr="00052714" w:rsidRDefault="00786D95" w:rsidP="00306B81">
      <w:pPr>
        <w:spacing w:after="0" w:line="240" w:lineRule="auto"/>
        <w:rPr>
          <w:rFonts w:eastAsia="Calibri" w:cs="Tahoma"/>
          <w:sz w:val="22"/>
        </w:rPr>
      </w:pPr>
      <w:r w:rsidRPr="00052714">
        <w:rPr>
          <w:rFonts w:eastAsia="Calibri" w:cs="Tahoma"/>
          <w:sz w:val="22"/>
        </w:rPr>
        <w:t>2.10</w:t>
      </w:r>
      <w:r w:rsidR="00306B81" w:rsidRPr="00052714">
        <w:rPr>
          <w:rFonts w:eastAsia="Calibri" w:cs="Tahoma"/>
          <w:sz w:val="22"/>
        </w:rPr>
        <w:t xml:space="preserve"> The Commission welcomes the adoption of an outcomes-based approach. The inclusion of performance indicators and evaluation and oversight mechanisms such as the Ministerial Sub-Committee for Children and Young People are broadly in keeping with the Office of the High Commissioner for Human Rights guidance on national action plans and strategies for implementing human rights protections.</w:t>
      </w:r>
      <w:r w:rsidR="00306B81" w:rsidRPr="00052714">
        <w:rPr>
          <w:rFonts w:eastAsia="Calibri" w:cs="Tahoma"/>
          <w:sz w:val="22"/>
          <w:vertAlign w:val="superscript"/>
        </w:rPr>
        <w:footnoteReference w:id="9"/>
      </w:r>
      <w:r w:rsidR="00306B81" w:rsidRPr="00052714">
        <w:rPr>
          <w:rFonts w:eastAsia="Calibri" w:cs="Tahoma"/>
          <w:sz w:val="22"/>
        </w:rPr>
        <w:t xml:space="preserve"> </w:t>
      </w:r>
      <w:r w:rsidR="00624BBB" w:rsidRPr="00052714">
        <w:rPr>
          <w:rFonts w:eastAsia="Calibri" w:cs="Tahoma"/>
          <w:sz w:val="22"/>
        </w:rPr>
        <w:t>By way of General Comment number 5 the UN CRC Committee has stated that a strategy:</w:t>
      </w:r>
    </w:p>
    <w:p w:rsidR="00624BBB" w:rsidRPr="00052714" w:rsidRDefault="00624BBB" w:rsidP="00306B81">
      <w:pPr>
        <w:spacing w:after="0" w:line="240" w:lineRule="auto"/>
        <w:rPr>
          <w:rFonts w:eastAsia="Calibri" w:cs="Tahoma"/>
          <w:sz w:val="22"/>
        </w:rPr>
      </w:pPr>
    </w:p>
    <w:p w:rsidR="00624BBB" w:rsidRPr="00052714" w:rsidRDefault="00624BBB" w:rsidP="00624BBB">
      <w:pPr>
        <w:spacing w:after="0" w:line="240" w:lineRule="auto"/>
        <w:ind w:left="720"/>
        <w:rPr>
          <w:rFonts w:eastAsia="Calibri" w:cs="Tahoma"/>
          <w:sz w:val="22"/>
        </w:rPr>
      </w:pPr>
      <w:r w:rsidRPr="00052714">
        <w:rPr>
          <w:rFonts w:eastAsia="Calibri" w:cs="Tahoma"/>
          <w:sz w:val="22"/>
        </w:rPr>
        <w:t>must include a description of a sustainable process for realizing the rights of children throughout the State; it must go beyond statements of policy and principle, to set real and achievable targets in relation to the full range of economic, social and cultural and civil and political rights for all children.</w:t>
      </w:r>
      <w:r w:rsidRPr="00052714">
        <w:rPr>
          <w:rStyle w:val="FootnoteReference"/>
          <w:rFonts w:eastAsia="Calibri" w:cs="Tahoma"/>
          <w:sz w:val="22"/>
        </w:rPr>
        <w:footnoteReference w:id="10"/>
      </w:r>
    </w:p>
    <w:p w:rsidR="00624BBB" w:rsidRPr="00052714" w:rsidRDefault="00624BBB" w:rsidP="00624BBB">
      <w:pPr>
        <w:spacing w:after="0" w:line="240" w:lineRule="auto"/>
        <w:rPr>
          <w:rFonts w:eastAsia="Calibri" w:cs="Tahoma"/>
          <w:sz w:val="22"/>
        </w:rPr>
      </w:pPr>
    </w:p>
    <w:p w:rsidR="00306B81" w:rsidRPr="00052714" w:rsidRDefault="00786D95" w:rsidP="00306B81">
      <w:pPr>
        <w:spacing w:after="0" w:line="240" w:lineRule="auto"/>
        <w:rPr>
          <w:rFonts w:cs="Tahoma"/>
          <w:sz w:val="22"/>
        </w:rPr>
      </w:pPr>
      <w:r w:rsidRPr="00052714">
        <w:rPr>
          <w:rFonts w:cs="Tahoma"/>
          <w:sz w:val="22"/>
        </w:rPr>
        <w:t>2.11</w:t>
      </w:r>
      <w:r w:rsidR="00624BBB" w:rsidRPr="00052714">
        <w:rPr>
          <w:rFonts w:cs="Tahoma"/>
          <w:sz w:val="22"/>
        </w:rPr>
        <w:t xml:space="preserve"> </w:t>
      </w:r>
      <w:r w:rsidR="00306B81" w:rsidRPr="00052714">
        <w:rPr>
          <w:rFonts w:cs="Tahoma"/>
          <w:sz w:val="22"/>
        </w:rPr>
        <w:t>Actions a</w:t>
      </w:r>
      <w:r w:rsidR="00B25009">
        <w:rPr>
          <w:rFonts w:cs="Tahoma"/>
          <w:sz w:val="22"/>
        </w:rPr>
        <w:t>re identified within the draft s</w:t>
      </w:r>
      <w:r w:rsidR="00306B81" w:rsidRPr="00052714">
        <w:rPr>
          <w:rFonts w:cs="Tahoma"/>
          <w:sz w:val="22"/>
        </w:rPr>
        <w:t xml:space="preserve">trategy for each outcome. In the case of the outcome on physical and mental health, actions include focusing on early intervention, tailoring children’s services, and confidence among children and young people to speak about health issues and seek help if necessary. Some actions are particularly </w:t>
      </w:r>
      <w:r w:rsidR="00EC53D6" w:rsidRPr="00052714">
        <w:rPr>
          <w:rFonts w:cs="Tahoma"/>
          <w:sz w:val="22"/>
        </w:rPr>
        <w:t>broad and undefined</w:t>
      </w:r>
      <w:r w:rsidR="00306B81" w:rsidRPr="00052714">
        <w:rPr>
          <w:rFonts w:cs="Tahoma"/>
          <w:sz w:val="22"/>
        </w:rPr>
        <w:t>, as with the action that “parents and guardians should be concerned about the physical and mental health of their children”.</w:t>
      </w:r>
      <w:r w:rsidR="00306B81" w:rsidRPr="00052714">
        <w:rPr>
          <w:rFonts w:cs="Tahoma"/>
          <w:sz w:val="22"/>
          <w:vertAlign w:val="superscript"/>
        </w:rPr>
        <w:footnoteReference w:id="11"/>
      </w:r>
      <w:r w:rsidR="00306B81" w:rsidRPr="00052714">
        <w:rPr>
          <w:rFonts w:cs="Tahoma"/>
          <w:sz w:val="22"/>
        </w:rPr>
        <w:t xml:space="preserve"> Whilst these are important objectives, they are not specific, measurable or time-bound as required under the OHCHR guidance.</w:t>
      </w:r>
      <w:r w:rsidR="00306B81" w:rsidRPr="00052714">
        <w:rPr>
          <w:rFonts w:cs="Tahoma"/>
          <w:sz w:val="22"/>
          <w:vertAlign w:val="superscript"/>
        </w:rPr>
        <w:footnoteReference w:id="12"/>
      </w:r>
    </w:p>
    <w:p w:rsidR="00306B81" w:rsidRPr="00052714" w:rsidRDefault="00306B81" w:rsidP="00306B81">
      <w:pPr>
        <w:spacing w:after="0" w:line="240" w:lineRule="auto"/>
        <w:rPr>
          <w:rFonts w:cs="Tahoma"/>
          <w:sz w:val="22"/>
        </w:rPr>
      </w:pPr>
    </w:p>
    <w:p w:rsidR="00306B81" w:rsidRPr="00052714" w:rsidRDefault="00786D95" w:rsidP="00786D95">
      <w:pPr>
        <w:spacing w:after="0" w:line="240" w:lineRule="auto"/>
        <w:rPr>
          <w:rFonts w:eastAsia="Calibri" w:cs="Tahoma"/>
          <w:b/>
          <w:sz w:val="22"/>
        </w:rPr>
      </w:pPr>
      <w:r w:rsidRPr="00052714">
        <w:rPr>
          <w:rFonts w:eastAsia="Calibri" w:cs="Tahoma"/>
          <w:b/>
          <w:sz w:val="22"/>
        </w:rPr>
        <w:t xml:space="preserve">2.12 </w:t>
      </w:r>
      <w:r w:rsidR="00306B81" w:rsidRPr="00052714">
        <w:rPr>
          <w:rFonts w:eastAsia="Calibri" w:cs="Tahoma"/>
          <w:b/>
          <w:sz w:val="22"/>
        </w:rPr>
        <w:t>The Commission advises th</w:t>
      </w:r>
      <w:r w:rsidR="00B25009">
        <w:rPr>
          <w:rFonts w:eastAsia="Calibri" w:cs="Tahoma"/>
          <w:b/>
          <w:sz w:val="22"/>
        </w:rPr>
        <w:t>at the actions outlined in the s</w:t>
      </w:r>
      <w:r w:rsidR="00306B81" w:rsidRPr="00052714">
        <w:rPr>
          <w:rFonts w:eastAsia="Calibri" w:cs="Tahoma"/>
          <w:b/>
          <w:sz w:val="22"/>
        </w:rPr>
        <w:t xml:space="preserve">trategy should be specific, measurable, </w:t>
      </w:r>
      <w:proofErr w:type="gramStart"/>
      <w:r w:rsidR="00306B81" w:rsidRPr="00052714">
        <w:rPr>
          <w:rFonts w:eastAsia="Calibri" w:cs="Tahoma"/>
          <w:b/>
          <w:sz w:val="22"/>
        </w:rPr>
        <w:t>time</w:t>
      </w:r>
      <w:proofErr w:type="gramEnd"/>
      <w:r w:rsidR="00306B81" w:rsidRPr="00052714">
        <w:rPr>
          <w:rFonts w:eastAsia="Calibri" w:cs="Tahoma"/>
          <w:b/>
          <w:sz w:val="22"/>
        </w:rPr>
        <w:t xml:space="preserve">-bound and assigned to a responsible </w:t>
      </w:r>
      <w:r w:rsidR="00EC53D6" w:rsidRPr="00052714">
        <w:rPr>
          <w:rFonts w:eastAsia="Calibri" w:cs="Tahoma"/>
          <w:b/>
          <w:sz w:val="22"/>
        </w:rPr>
        <w:t>public authority or government department</w:t>
      </w:r>
      <w:r w:rsidR="00306B81" w:rsidRPr="00052714">
        <w:rPr>
          <w:rFonts w:eastAsia="Calibri" w:cs="Tahoma"/>
          <w:b/>
          <w:sz w:val="22"/>
        </w:rPr>
        <w:t xml:space="preserve"> as recommended in the OHCHR guidance.</w:t>
      </w:r>
    </w:p>
    <w:p w:rsidR="00306B81" w:rsidRPr="00052714" w:rsidRDefault="00306B81" w:rsidP="00306B81">
      <w:pPr>
        <w:rPr>
          <w:rFonts w:eastAsia="Calibri" w:cs="Tahoma"/>
          <w:sz w:val="22"/>
        </w:rPr>
      </w:pPr>
    </w:p>
    <w:p w:rsidR="00306B81" w:rsidRPr="00052714" w:rsidRDefault="00786D95" w:rsidP="00306B81">
      <w:pPr>
        <w:rPr>
          <w:rFonts w:cs="Tahoma"/>
          <w:sz w:val="22"/>
        </w:rPr>
      </w:pPr>
      <w:r w:rsidRPr="00052714">
        <w:rPr>
          <w:rFonts w:eastAsia="Calibri" w:cs="Tahoma"/>
          <w:sz w:val="22"/>
        </w:rPr>
        <w:t>2.13</w:t>
      </w:r>
      <w:r w:rsidR="00306B81" w:rsidRPr="00052714">
        <w:rPr>
          <w:rFonts w:eastAsia="Calibri" w:cs="Tahoma"/>
          <w:sz w:val="22"/>
        </w:rPr>
        <w:t xml:space="preserve"> Many key performance indicators </w:t>
      </w:r>
      <w:r w:rsidR="00306B81" w:rsidRPr="00052714">
        <w:rPr>
          <w:rFonts w:cs="Tahoma"/>
          <w:sz w:val="22"/>
        </w:rPr>
        <w:t>are under-developed and insufficient for collecting comprehensive and accurate data on the specific problems identified. For example, the outcome dealing with child safety and stability uses only a basic set of performance indicators for understanding and dealing with complex problems of youth homelessness or children and young people in custody. In fact, no performance indicator exists to measure the instances of violence against children including domestic violence, gender-based violence or paramilitary intimidation.</w:t>
      </w:r>
      <w:r w:rsidR="00306B81" w:rsidRPr="00052714">
        <w:rPr>
          <w:rFonts w:cs="Tahoma"/>
          <w:sz w:val="22"/>
          <w:vertAlign w:val="superscript"/>
        </w:rPr>
        <w:footnoteReference w:id="13"/>
      </w:r>
    </w:p>
    <w:p w:rsidR="00306B81" w:rsidRPr="00052714" w:rsidRDefault="00786D95" w:rsidP="00306B81">
      <w:pPr>
        <w:rPr>
          <w:rFonts w:cs="Tahoma"/>
          <w:sz w:val="22"/>
        </w:rPr>
      </w:pPr>
      <w:r w:rsidRPr="00052714">
        <w:rPr>
          <w:rFonts w:cs="Tahoma"/>
          <w:sz w:val="22"/>
        </w:rPr>
        <w:t>2.14</w:t>
      </w:r>
      <w:r w:rsidR="00306B81" w:rsidRPr="00052714">
        <w:rPr>
          <w:rFonts w:cs="Tahoma"/>
          <w:sz w:val="22"/>
        </w:rPr>
        <w:t xml:space="preserve"> The UN CRC Committee in its 2016 report specifically recommended that: </w:t>
      </w:r>
    </w:p>
    <w:p w:rsidR="00306B81" w:rsidRPr="00052714" w:rsidRDefault="00306B81" w:rsidP="00306B81">
      <w:pPr>
        <w:suppressAutoHyphens/>
        <w:spacing w:after="120" w:line="240" w:lineRule="atLeast"/>
        <w:ind w:left="720" w:right="1134"/>
        <w:jc w:val="both"/>
        <w:rPr>
          <w:rFonts w:eastAsia="Times New Roman" w:cs="Times New Roman"/>
          <w:bCs/>
          <w:sz w:val="22"/>
          <w:lang w:eastAsia="ja-JP"/>
        </w:rPr>
      </w:pPr>
      <w:proofErr w:type="gramStart"/>
      <w:r w:rsidRPr="00052714">
        <w:rPr>
          <w:rFonts w:eastAsia="Times New Roman" w:cs="Times New Roman"/>
          <w:bCs/>
          <w:sz w:val="22"/>
          <w:lang w:eastAsia="ja-JP"/>
        </w:rPr>
        <w:t>the</w:t>
      </w:r>
      <w:proofErr w:type="gramEnd"/>
      <w:r w:rsidRPr="00052714">
        <w:rPr>
          <w:rFonts w:eastAsia="Times New Roman" w:cs="Times New Roman"/>
          <w:bCs/>
          <w:sz w:val="22"/>
          <w:lang w:eastAsia="ja-JP"/>
        </w:rPr>
        <w:t xml:space="preserve"> government of Northern Ireland expedite the finalization of a Child Rights Indicator Framework, covering all areas of the Convention and taking into account the conceptual and methodological framework set out in the Office of the United Nations High Commissioner for Human Rights (OHCHR) publication entitled Human Rights Indicators: A Guide to Measurement and Implementation.</w:t>
      </w:r>
      <w:r w:rsidRPr="00052714">
        <w:rPr>
          <w:rFonts w:eastAsia="Times New Roman" w:cs="Times New Roman"/>
          <w:bCs/>
          <w:sz w:val="22"/>
          <w:vertAlign w:val="superscript"/>
          <w:lang w:eastAsia="ja-JP"/>
        </w:rPr>
        <w:footnoteReference w:id="14"/>
      </w:r>
    </w:p>
    <w:p w:rsidR="00306B81" w:rsidRPr="00052714" w:rsidRDefault="00786D95" w:rsidP="00306B81">
      <w:pPr>
        <w:rPr>
          <w:sz w:val="22"/>
        </w:rPr>
      </w:pPr>
      <w:r w:rsidRPr="00052714">
        <w:rPr>
          <w:sz w:val="22"/>
        </w:rPr>
        <w:t>2.15</w:t>
      </w:r>
      <w:r w:rsidR="00306B81" w:rsidRPr="00052714">
        <w:rPr>
          <w:sz w:val="22"/>
        </w:rPr>
        <w:t xml:space="preserve"> The Commission notes that the then Office of First</w:t>
      </w:r>
      <w:r w:rsidR="00EC53D6" w:rsidRPr="00052714">
        <w:rPr>
          <w:sz w:val="22"/>
        </w:rPr>
        <w:t xml:space="preserve"> and Deputy First Minister (OFMD</w:t>
      </w:r>
      <w:r w:rsidR="00306B81" w:rsidRPr="00052714">
        <w:rPr>
          <w:sz w:val="22"/>
        </w:rPr>
        <w:t>FM) commissioned the</w:t>
      </w:r>
      <w:r w:rsidR="00EC53D6" w:rsidRPr="00052714">
        <w:rPr>
          <w:sz w:val="22"/>
        </w:rPr>
        <w:t xml:space="preserve"> then UNESCO Centre in the</w:t>
      </w:r>
      <w:r w:rsidR="00306B81" w:rsidRPr="00052714">
        <w:rPr>
          <w:sz w:val="22"/>
        </w:rPr>
        <w:t xml:space="preserve"> Ulster</w:t>
      </w:r>
      <w:r w:rsidR="00EC53D6" w:rsidRPr="00052714">
        <w:rPr>
          <w:sz w:val="22"/>
        </w:rPr>
        <w:t xml:space="preserve"> University</w:t>
      </w:r>
      <w:r w:rsidR="00306B81" w:rsidRPr="00052714">
        <w:rPr>
          <w:sz w:val="22"/>
        </w:rPr>
        <w:t xml:space="preserve"> to develop a Child Rights Indicator Framework.  In March 2016 in respons</w:t>
      </w:r>
      <w:r w:rsidR="00EC53D6" w:rsidRPr="00052714">
        <w:rPr>
          <w:sz w:val="22"/>
        </w:rPr>
        <w:t>e to a written question the OFMD</w:t>
      </w:r>
      <w:r w:rsidR="00306B81" w:rsidRPr="00052714">
        <w:rPr>
          <w:sz w:val="22"/>
        </w:rPr>
        <w:t xml:space="preserve">FM stated: </w:t>
      </w:r>
    </w:p>
    <w:p w:rsidR="00306B81" w:rsidRPr="00052714" w:rsidRDefault="00306B81" w:rsidP="00306B81">
      <w:pPr>
        <w:spacing w:after="0" w:line="336" w:lineRule="atLeast"/>
        <w:ind w:left="720"/>
        <w:rPr>
          <w:rFonts w:eastAsia="Times New Roman" w:cs="Arial"/>
          <w:sz w:val="22"/>
          <w:lang w:eastAsia="en-GB"/>
        </w:rPr>
      </w:pPr>
      <w:r w:rsidRPr="00052714">
        <w:rPr>
          <w:rFonts w:eastAsia="Times New Roman" w:cs="Arial"/>
          <w:sz w:val="22"/>
          <w:lang w:eastAsia="en-GB"/>
        </w:rPr>
        <w:t>The aim of the Child Rights Indicator Framework is to develop a set of outcome indicators which can be used at a strategic level to measure and monitor the Executive’s progress on effectiveness and achievement against the United Nations Conventions on the Rights of the Child.</w:t>
      </w:r>
    </w:p>
    <w:p w:rsidR="00306B81" w:rsidRPr="00052714" w:rsidRDefault="00306B81" w:rsidP="00306B81">
      <w:pPr>
        <w:spacing w:after="0" w:line="336" w:lineRule="atLeast"/>
        <w:ind w:left="720"/>
        <w:rPr>
          <w:rFonts w:eastAsia="Times New Roman" w:cs="Arial"/>
          <w:sz w:val="22"/>
          <w:lang w:eastAsia="en-GB"/>
        </w:rPr>
      </w:pPr>
      <w:r w:rsidRPr="00052714">
        <w:rPr>
          <w:rFonts w:eastAsia="Times New Roman" w:cs="Arial"/>
          <w:sz w:val="22"/>
          <w:lang w:eastAsia="en-GB"/>
        </w:rPr>
        <w:t>The Child Rights Indicator Framework is by its nature a ‘living’ mechanism and an ambitious undertaking which has few, if any precedents internationally. It is proposed that the indicators which have been developed to date will be used to measure and report progress and further work is to be undertaken to identify additional measurable indicators.</w:t>
      </w:r>
    </w:p>
    <w:p w:rsidR="00306B81" w:rsidRPr="00052714" w:rsidRDefault="00306B81" w:rsidP="00306B81">
      <w:pPr>
        <w:spacing w:after="100" w:line="336" w:lineRule="atLeast"/>
        <w:ind w:left="720"/>
        <w:rPr>
          <w:rFonts w:eastAsia="Times New Roman" w:cs="Arial"/>
          <w:sz w:val="22"/>
          <w:lang w:eastAsia="en-GB"/>
        </w:rPr>
      </w:pPr>
      <w:r w:rsidRPr="00052714">
        <w:rPr>
          <w:rFonts w:eastAsia="Times New Roman" w:cs="Arial"/>
          <w:sz w:val="22"/>
          <w:lang w:eastAsia="en-GB"/>
        </w:rPr>
        <w:t xml:space="preserve">These Child Rights indicators are not separate, but integral to the development of the new Children and Young People’s strategy and will provide a clear and practical alignment between achievement </w:t>
      </w:r>
      <w:r w:rsidR="00B25009">
        <w:rPr>
          <w:rFonts w:eastAsia="Times New Roman" w:cs="Arial"/>
          <w:sz w:val="22"/>
          <w:lang w:eastAsia="en-GB"/>
        </w:rPr>
        <w:t>of the outcomes set out in the s</w:t>
      </w:r>
      <w:r w:rsidRPr="00052714">
        <w:rPr>
          <w:rFonts w:eastAsia="Times New Roman" w:cs="Arial"/>
          <w:sz w:val="22"/>
          <w:lang w:eastAsia="en-GB"/>
        </w:rPr>
        <w:t>trategy and the measurement of improved compliance with delivery on children’s rights.</w:t>
      </w:r>
      <w:r w:rsidRPr="00052714">
        <w:rPr>
          <w:rFonts w:eastAsia="Times New Roman" w:cs="Arial"/>
          <w:sz w:val="22"/>
          <w:vertAlign w:val="superscript"/>
          <w:lang w:eastAsia="en-GB"/>
        </w:rPr>
        <w:footnoteReference w:id="15"/>
      </w:r>
    </w:p>
    <w:p w:rsidR="00306B81" w:rsidRPr="00052714" w:rsidRDefault="00306B81" w:rsidP="00306B81">
      <w:pPr>
        <w:rPr>
          <w:sz w:val="22"/>
        </w:rPr>
      </w:pPr>
    </w:p>
    <w:p w:rsidR="00306B81" w:rsidRPr="00052714" w:rsidRDefault="00786D95" w:rsidP="00306B81">
      <w:pPr>
        <w:rPr>
          <w:sz w:val="22"/>
        </w:rPr>
      </w:pPr>
      <w:r w:rsidRPr="00052714">
        <w:rPr>
          <w:sz w:val="22"/>
        </w:rPr>
        <w:t>2.16</w:t>
      </w:r>
      <w:r w:rsidR="00306B81" w:rsidRPr="00052714">
        <w:rPr>
          <w:sz w:val="22"/>
        </w:rPr>
        <w:t xml:space="preserve"> The proposed indicators </w:t>
      </w:r>
      <w:r w:rsidR="00EF01BE">
        <w:rPr>
          <w:sz w:val="22"/>
        </w:rPr>
        <w:t xml:space="preserve">within the strategy </w:t>
      </w:r>
      <w:r w:rsidR="00306B81" w:rsidRPr="00052714">
        <w:rPr>
          <w:sz w:val="22"/>
        </w:rPr>
        <w:t>are not rights based, with limited reference to relevant articles of the UN CRC and an overall child rights indicator fram</w:t>
      </w:r>
      <w:r w:rsidR="00B25009">
        <w:rPr>
          <w:sz w:val="22"/>
        </w:rPr>
        <w:t>ework is absent from the draft s</w:t>
      </w:r>
      <w:r w:rsidR="00306B81" w:rsidRPr="00052714">
        <w:rPr>
          <w:sz w:val="22"/>
        </w:rPr>
        <w:t xml:space="preserve">trategy. </w:t>
      </w:r>
    </w:p>
    <w:p w:rsidR="00306B81" w:rsidRPr="00052714" w:rsidRDefault="00786D95" w:rsidP="00786D95">
      <w:pPr>
        <w:rPr>
          <w:rFonts w:eastAsia="Calibri" w:cs="Tahoma"/>
          <w:b/>
          <w:sz w:val="22"/>
        </w:rPr>
      </w:pPr>
      <w:r w:rsidRPr="00052714">
        <w:rPr>
          <w:b/>
          <w:sz w:val="22"/>
        </w:rPr>
        <w:t xml:space="preserve">2.17 </w:t>
      </w:r>
      <w:r w:rsidR="00306B81" w:rsidRPr="00052714">
        <w:rPr>
          <w:b/>
          <w:sz w:val="22"/>
        </w:rPr>
        <w:t>The Commission advises the Department to seek to ensure the strategy addresses the recommendation of the UN CRC Committee</w:t>
      </w:r>
      <w:r w:rsidR="00EC53D6" w:rsidRPr="00052714">
        <w:rPr>
          <w:b/>
          <w:sz w:val="22"/>
        </w:rPr>
        <w:t xml:space="preserve"> and the guidance of the OHCHR</w:t>
      </w:r>
      <w:r w:rsidR="00306B81" w:rsidRPr="00052714">
        <w:rPr>
          <w:b/>
          <w:sz w:val="22"/>
        </w:rPr>
        <w:t xml:space="preserve"> for the development of a Child Rights Indicator Framework. The strategy should also provide an </w:t>
      </w:r>
      <w:r w:rsidR="00306B81" w:rsidRPr="00052714">
        <w:rPr>
          <w:rFonts w:eastAsia="Calibri" w:cs="Tahoma"/>
          <w:b/>
          <w:sz w:val="22"/>
        </w:rPr>
        <w:t>obligation to conduct a child rights impact assessment when developing laws and policies affecting children.</w:t>
      </w:r>
      <w:r w:rsidR="00306B81" w:rsidRPr="00052714">
        <w:rPr>
          <w:rFonts w:eastAsia="Calibri" w:cs="Tahoma"/>
          <w:b/>
          <w:sz w:val="22"/>
          <w:vertAlign w:val="superscript"/>
        </w:rPr>
        <w:footnoteReference w:id="16"/>
      </w:r>
    </w:p>
    <w:p w:rsidR="00306B81" w:rsidRPr="00052714" w:rsidRDefault="00786D95" w:rsidP="00306B81">
      <w:pPr>
        <w:rPr>
          <w:rFonts w:eastAsia="Calibri" w:cs="Tahoma"/>
          <w:sz w:val="22"/>
        </w:rPr>
      </w:pPr>
      <w:r w:rsidRPr="00052714">
        <w:rPr>
          <w:rFonts w:eastAsia="Calibri" w:cs="Tahoma"/>
          <w:sz w:val="22"/>
        </w:rPr>
        <w:t>2.18</w:t>
      </w:r>
      <w:r w:rsidR="00306B81" w:rsidRPr="00052714">
        <w:rPr>
          <w:rFonts w:eastAsia="Calibri" w:cs="Tahoma"/>
          <w:sz w:val="22"/>
        </w:rPr>
        <w:t xml:space="preserve"> In its 2016 report the UN CRC Committee highlighted the need to collect comprehensive data in a range of areas. </w:t>
      </w:r>
      <w:r w:rsidR="00712BA8" w:rsidRPr="00052714">
        <w:rPr>
          <w:rFonts w:eastAsia="Calibri" w:cs="Tahoma"/>
          <w:sz w:val="22"/>
        </w:rPr>
        <w:t xml:space="preserve">The strategy does </w:t>
      </w:r>
      <w:r w:rsidR="00FD308D" w:rsidRPr="00052714">
        <w:rPr>
          <w:rFonts w:eastAsia="Calibri" w:cs="Tahoma"/>
          <w:sz w:val="22"/>
        </w:rPr>
        <w:t xml:space="preserve">not </w:t>
      </w:r>
      <w:r w:rsidR="00712BA8" w:rsidRPr="00052714">
        <w:rPr>
          <w:rFonts w:eastAsia="Calibri" w:cs="Tahoma"/>
          <w:sz w:val="22"/>
        </w:rPr>
        <w:t>record all relevant data sets which are currently collated relating to the rights of children</w:t>
      </w:r>
      <w:r w:rsidR="00FD308D" w:rsidRPr="00052714">
        <w:rPr>
          <w:rFonts w:eastAsia="Calibri" w:cs="Tahoma"/>
          <w:sz w:val="22"/>
        </w:rPr>
        <w:t>, for instance there is no reference to reoffending rates amongst children collated by Department of Justice</w:t>
      </w:r>
      <w:r w:rsidR="00712BA8" w:rsidRPr="00052714">
        <w:rPr>
          <w:rFonts w:eastAsia="Calibri" w:cs="Tahoma"/>
          <w:sz w:val="22"/>
        </w:rPr>
        <w:t>.</w:t>
      </w:r>
      <w:r w:rsidR="00FD308D" w:rsidRPr="00052714">
        <w:rPr>
          <w:rStyle w:val="FootnoteReference"/>
          <w:rFonts w:eastAsia="Calibri" w:cs="Tahoma"/>
          <w:sz w:val="22"/>
        </w:rPr>
        <w:footnoteReference w:id="17"/>
      </w:r>
      <w:r w:rsidR="00712BA8" w:rsidRPr="00052714">
        <w:rPr>
          <w:rFonts w:eastAsia="Calibri" w:cs="Tahoma"/>
          <w:sz w:val="22"/>
        </w:rPr>
        <w:t xml:space="preserve"> As a result the strategy does not </w:t>
      </w:r>
      <w:r w:rsidR="00F52557" w:rsidRPr="00052714">
        <w:rPr>
          <w:rFonts w:eastAsia="Calibri" w:cs="Tahoma"/>
          <w:sz w:val="22"/>
        </w:rPr>
        <w:t xml:space="preserve">set out how existing data sets will be utilised to inform the assessment of the strategy. </w:t>
      </w:r>
      <w:r w:rsidR="00306B81" w:rsidRPr="00052714">
        <w:rPr>
          <w:rFonts w:eastAsia="Calibri" w:cs="Tahoma"/>
          <w:sz w:val="22"/>
        </w:rPr>
        <w:t>On the specific issue of violence against children, the UNCRC has recommended that the State Party “strengthen the systematic collection of data and recording of information on violence against children, including domestic violence, gender-based violence, abuse and neglect, in all settings, and the sharing of information and referral of cases among relevant sectors”.</w:t>
      </w:r>
      <w:r w:rsidR="00306B81" w:rsidRPr="00052714">
        <w:rPr>
          <w:rFonts w:eastAsia="Calibri" w:cs="Tahoma"/>
          <w:sz w:val="22"/>
          <w:vertAlign w:val="superscript"/>
        </w:rPr>
        <w:footnoteReference w:id="18"/>
      </w:r>
      <w:r w:rsidR="00306B81" w:rsidRPr="00052714">
        <w:rPr>
          <w:rFonts w:eastAsia="Calibri" w:cs="Tahoma"/>
          <w:sz w:val="22"/>
        </w:rPr>
        <w:t xml:space="preserve"> </w:t>
      </w:r>
    </w:p>
    <w:p w:rsidR="00306B81" w:rsidRPr="00052714" w:rsidRDefault="00786D95" w:rsidP="00786D95">
      <w:pPr>
        <w:spacing w:after="0" w:line="240" w:lineRule="auto"/>
        <w:rPr>
          <w:rFonts w:eastAsia="Calibri" w:cs="Tahoma"/>
          <w:b/>
          <w:sz w:val="22"/>
        </w:rPr>
      </w:pPr>
      <w:r w:rsidRPr="00052714">
        <w:rPr>
          <w:rFonts w:eastAsia="Calibri" w:cs="Tahoma"/>
          <w:b/>
          <w:sz w:val="22"/>
        </w:rPr>
        <w:t xml:space="preserve">2.19 </w:t>
      </w:r>
      <w:r w:rsidR="00306B81" w:rsidRPr="00052714">
        <w:rPr>
          <w:rFonts w:eastAsia="Calibri" w:cs="Tahoma"/>
          <w:b/>
          <w:sz w:val="22"/>
        </w:rPr>
        <w:t xml:space="preserve">The </w:t>
      </w:r>
      <w:r w:rsidR="00B25009">
        <w:rPr>
          <w:rFonts w:eastAsia="Calibri" w:cs="Tahoma"/>
          <w:b/>
          <w:sz w:val="22"/>
        </w:rPr>
        <w:t>Commission recommends that the s</w:t>
      </w:r>
      <w:r w:rsidR="00306B81" w:rsidRPr="00052714">
        <w:rPr>
          <w:rFonts w:eastAsia="Calibri" w:cs="Tahoma"/>
          <w:b/>
          <w:sz w:val="22"/>
        </w:rPr>
        <w:t xml:space="preserve">trategy should include robust mechanisms for the collection and monitoring of comprehensive data required to adequately address issues affecting children and young people. </w:t>
      </w:r>
    </w:p>
    <w:p w:rsidR="00306B81" w:rsidRPr="00052714" w:rsidRDefault="00306B81" w:rsidP="00306B81">
      <w:pPr>
        <w:spacing w:after="0" w:line="240" w:lineRule="auto"/>
        <w:rPr>
          <w:rFonts w:eastAsia="Calibri" w:cs="Tahoma"/>
          <w:b/>
          <w:sz w:val="22"/>
        </w:rPr>
      </w:pPr>
    </w:p>
    <w:p w:rsidR="00306B81" w:rsidRPr="00052714" w:rsidRDefault="00306B81" w:rsidP="00306B81">
      <w:pPr>
        <w:spacing w:after="0" w:line="240" w:lineRule="auto"/>
        <w:rPr>
          <w:rFonts w:eastAsia="Calibri" w:cs="Tahoma"/>
          <w:sz w:val="22"/>
        </w:rPr>
      </w:pPr>
      <w:r w:rsidRPr="00052714">
        <w:rPr>
          <w:rFonts w:eastAsia="Calibri" w:cs="Tahoma"/>
          <w:i/>
          <w:sz w:val="22"/>
        </w:rPr>
        <w:t>Maximum available resources</w:t>
      </w:r>
    </w:p>
    <w:p w:rsidR="00306B81" w:rsidRPr="00052714" w:rsidRDefault="00306B81" w:rsidP="00306B81">
      <w:pPr>
        <w:spacing w:after="0" w:line="240" w:lineRule="auto"/>
        <w:rPr>
          <w:rFonts w:eastAsia="Calibri" w:cs="Tahoma"/>
          <w:sz w:val="22"/>
        </w:rPr>
      </w:pPr>
    </w:p>
    <w:p w:rsidR="00306B81" w:rsidRPr="00052714" w:rsidRDefault="00306B81" w:rsidP="00306B81">
      <w:pPr>
        <w:spacing w:after="0" w:line="240" w:lineRule="auto"/>
        <w:rPr>
          <w:rFonts w:eastAsia="Calibri" w:cs="Tahoma"/>
          <w:sz w:val="22"/>
        </w:rPr>
      </w:pPr>
      <w:r w:rsidRPr="00052714">
        <w:rPr>
          <w:rFonts w:eastAsia="Calibri" w:cs="Tahoma"/>
          <w:sz w:val="22"/>
        </w:rPr>
        <w:t>3.1 Article 4 of the UN Convention on the Rights of the Child notes that, in relation to economic, social and cultural rights, “States Parties shall undertake such measures to the maximum extent of their available resources”. The UN</w:t>
      </w:r>
      <w:r w:rsidR="00FD308D" w:rsidRPr="00052714">
        <w:rPr>
          <w:rFonts w:eastAsia="Calibri" w:cs="Tahoma"/>
          <w:sz w:val="22"/>
        </w:rPr>
        <w:t xml:space="preserve"> </w:t>
      </w:r>
      <w:r w:rsidRPr="00052714">
        <w:rPr>
          <w:rFonts w:eastAsia="Calibri" w:cs="Tahoma"/>
          <w:sz w:val="22"/>
        </w:rPr>
        <w:t xml:space="preserve">CRC </w:t>
      </w:r>
      <w:r w:rsidR="00FD308D" w:rsidRPr="00052714">
        <w:rPr>
          <w:rFonts w:eastAsia="Calibri" w:cs="Tahoma"/>
          <w:sz w:val="22"/>
        </w:rPr>
        <w:t xml:space="preserve">Committee </w:t>
      </w:r>
      <w:r w:rsidRPr="00052714">
        <w:rPr>
          <w:rFonts w:eastAsia="Calibri" w:cs="Tahoma"/>
          <w:sz w:val="22"/>
        </w:rPr>
        <w:t>has also noted that the best interests of the child must be placed at the centre of all decisions affecting their health and development, including the allocation of resources.</w:t>
      </w:r>
      <w:r w:rsidRPr="00052714">
        <w:rPr>
          <w:rFonts w:eastAsia="Calibri" w:cs="Tahoma"/>
          <w:sz w:val="22"/>
          <w:vertAlign w:val="superscript"/>
        </w:rPr>
        <w:footnoteReference w:id="19"/>
      </w:r>
      <w:r w:rsidRPr="00052714">
        <w:rPr>
          <w:rFonts w:eastAsia="Calibri" w:cs="Tahoma"/>
          <w:sz w:val="22"/>
        </w:rPr>
        <w:t xml:space="preserve"> Where resources are demonstrably inadequate, “States are still required to undertake targeted measures to move as expeditiously and effectively as possible towards the full realization” of children’s rights and must not take “any retrogressive steps that could hamper the enjoyment” of children’s economic, social and cultural rights.</w:t>
      </w:r>
      <w:r w:rsidRPr="00052714">
        <w:rPr>
          <w:rFonts w:eastAsia="Calibri" w:cs="Tahoma"/>
          <w:sz w:val="22"/>
          <w:vertAlign w:val="superscript"/>
        </w:rPr>
        <w:footnoteReference w:id="20"/>
      </w:r>
      <w:r w:rsidRPr="00052714">
        <w:rPr>
          <w:rFonts w:eastAsia="Calibri" w:cs="Tahoma"/>
          <w:sz w:val="22"/>
        </w:rPr>
        <w:t xml:space="preserve"> With specific reference to the United Kingdom, the UNCRC</w:t>
      </w:r>
      <w:r w:rsidR="00FD308D" w:rsidRPr="00052714">
        <w:rPr>
          <w:rFonts w:eastAsia="Calibri" w:cs="Tahoma"/>
          <w:sz w:val="22"/>
        </w:rPr>
        <w:t xml:space="preserve"> Committee</w:t>
      </w:r>
      <w:r w:rsidRPr="00052714">
        <w:rPr>
          <w:rFonts w:eastAsia="Calibri" w:cs="Tahoma"/>
          <w:sz w:val="22"/>
        </w:rPr>
        <w:t xml:space="preserve"> has recommended that the State Party “allocate the maximum extent of available resources for the implementation of children’s rights, with a special focus on eradicating child poverty and reducing inequalities within and across all jurisdictions”.</w:t>
      </w:r>
      <w:r w:rsidRPr="00052714">
        <w:rPr>
          <w:rFonts w:eastAsia="Calibri" w:cs="Tahoma"/>
          <w:sz w:val="22"/>
          <w:vertAlign w:val="superscript"/>
        </w:rPr>
        <w:footnoteReference w:id="21"/>
      </w:r>
    </w:p>
    <w:p w:rsidR="00306B81" w:rsidRPr="00052714" w:rsidRDefault="00306B81" w:rsidP="00306B81">
      <w:pPr>
        <w:spacing w:after="0" w:line="240" w:lineRule="auto"/>
        <w:rPr>
          <w:rFonts w:eastAsia="Calibri" w:cs="Tahoma"/>
          <w:sz w:val="22"/>
        </w:rPr>
      </w:pPr>
    </w:p>
    <w:p w:rsidR="007B2552" w:rsidRPr="00052714" w:rsidRDefault="00306B81" w:rsidP="00306B81">
      <w:pPr>
        <w:spacing w:after="0" w:line="240" w:lineRule="auto"/>
        <w:rPr>
          <w:rFonts w:eastAsia="Calibri" w:cs="Tahoma"/>
          <w:sz w:val="22"/>
        </w:rPr>
      </w:pPr>
      <w:r w:rsidRPr="00052714">
        <w:rPr>
          <w:rFonts w:eastAsia="Calibri" w:cs="Tahoma"/>
          <w:sz w:val="22"/>
        </w:rPr>
        <w:t xml:space="preserve">3.2 </w:t>
      </w:r>
      <w:r w:rsidR="007B2552" w:rsidRPr="00052714">
        <w:rPr>
          <w:rFonts w:eastAsia="Calibri" w:cs="Tahoma"/>
          <w:sz w:val="22"/>
        </w:rPr>
        <w:t>By way of its General Comment the UN CRC Committee has emphasised the need to make ‘children visible in budgets’, the Committee has stated:</w:t>
      </w:r>
    </w:p>
    <w:p w:rsidR="007B2552" w:rsidRPr="00052714" w:rsidRDefault="007B2552" w:rsidP="00306B81">
      <w:pPr>
        <w:spacing w:after="0" w:line="240" w:lineRule="auto"/>
        <w:rPr>
          <w:rFonts w:eastAsia="Calibri" w:cs="Tahoma"/>
          <w:sz w:val="22"/>
        </w:rPr>
      </w:pPr>
    </w:p>
    <w:p w:rsidR="007B2552" w:rsidRPr="00052714" w:rsidRDefault="007B2552" w:rsidP="007B2552">
      <w:pPr>
        <w:spacing w:after="0" w:line="240" w:lineRule="auto"/>
        <w:rPr>
          <w:rFonts w:eastAsia="Calibri" w:cs="Tahoma"/>
          <w:sz w:val="22"/>
        </w:rPr>
      </w:pPr>
      <w:r w:rsidRPr="00052714">
        <w:rPr>
          <w:rFonts w:eastAsia="Calibri" w:cs="Tahoma"/>
          <w:sz w:val="22"/>
        </w:rPr>
        <w:tab/>
        <w:t>No State can tell whether it is fulfilling children’s economic, social</w:t>
      </w:r>
    </w:p>
    <w:p w:rsidR="007B2552" w:rsidRPr="00052714" w:rsidRDefault="007B2552" w:rsidP="007B2552">
      <w:pPr>
        <w:spacing w:after="0" w:line="240" w:lineRule="auto"/>
        <w:ind w:left="720"/>
        <w:rPr>
          <w:rFonts w:eastAsia="Calibri" w:cs="Tahoma"/>
          <w:sz w:val="22"/>
        </w:rPr>
      </w:pPr>
      <w:r w:rsidRPr="00052714">
        <w:rPr>
          <w:rFonts w:eastAsia="Calibri" w:cs="Tahoma"/>
          <w:sz w:val="22"/>
        </w:rPr>
        <w:t>and cultural rights “to the maximum extent of … available resources”, as it is required to do under article 4, unless it can identify the proportion of national and other budgets allocated to the social sector and, within that, to children, both directly and indirectly.</w:t>
      </w:r>
      <w:r w:rsidR="002F4C86" w:rsidRPr="00052714">
        <w:rPr>
          <w:rStyle w:val="FootnoteReference"/>
          <w:rFonts w:eastAsia="Calibri" w:cs="Tahoma"/>
          <w:sz w:val="22"/>
        </w:rPr>
        <w:footnoteReference w:id="22"/>
      </w:r>
    </w:p>
    <w:p w:rsidR="007B2552" w:rsidRPr="00052714" w:rsidRDefault="007B2552" w:rsidP="00306B81">
      <w:pPr>
        <w:spacing w:after="0" w:line="240" w:lineRule="auto"/>
        <w:rPr>
          <w:rFonts w:eastAsia="Calibri" w:cs="Tahoma"/>
          <w:sz w:val="22"/>
        </w:rPr>
      </w:pPr>
    </w:p>
    <w:p w:rsidR="007B2552" w:rsidRPr="00052714" w:rsidRDefault="007B2552" w:rsidP="00306B81">
      <w:pPr>
        <w:spacing w:after="0" w:line="240" w:lineRule="auto"/>
        <w:rPr>
          <w:rFonts w:eastAsia="Calibri" w:cs="Tahoma"/>
          <w:sz w:val="22"/>
        </w:rPr>
      </w:pPr>
    </w:p>
    <w:p w:rsidR="00306B81" w:rsidRPr="00052714" w:rsidRDefault="007B2552" w:rsidP="00306B81">
      <w:pPr>
        <w:spacing w:after="0" w:line="240" w:lineRule="auto"/>
        <w:rPr>
          <w:rFonts w:eastAsia="Calibri" w:cs="Tahoma"/>
          <w:sz w:val="22"/>
        </w:rPr>
      </w:pPr>
      <w:r w:rsidRPr="00052714">
        <w:rPr>
          <w:rFonts w:eastAsia="Calibri" w:cs="Tahoma"/>
          <w:sz w:val="22"/>
        </w:rPr>
        <w:t xml:space="preserve">3.3 </w:t>
      </w:r>
      <w:r w:rsidR="00B25009">
        <w:rPr>
          <w:rFonts w:eastAsia="Calibri" w:cs="Tahoma"/>
          <w:sz w:val="22"/>
        </w:rPr>
        <w:t>The draft s</w:t>
      </w:r>
      <w:r w:rsidR="00306B81" w:rsidRPr="00052714">
        <w:rPr>
          <w:rFonts w:eastAsia="Calibri" w:cs="Tahoma"/>
          <w:sz w:val="22"/>
        </w:rPr>
        <w:t>trategy</w:t>
      </w:r>
      <w:r w:rsidR="00FD308D" w:rsidRPr="00052714">
        <w:rPr>
          <w:rFonts w:eastAsia="Calibri" w:cs="Tahoma"/>
          <w:sz w:val="22"/>
        </w:rPr>
        <w:t xml:space="preserve"> positively</w:t>
      </w:r>
      <w:r w:rsidR="00306B81" w:rsidRPr="00052714">
        <w:rPr>
          <w:rFonts w:eastAsia="Calibri" w:cs="Tahoma"/>
          <w:sz w:val="22"/>
        </w:rPr>
        <w:t xml:space="preserve"> details the means of financial co-operation between departments and children’s authorities including pooled budgets, shared training and guidance for promoting co-operation in authorities’ working</w:t>
      </w:r>
      <w:r w:rsidR="00B25009">
        <w:rPr>
          <w:rFonts w:eastAsia="Calibri" w:cs="Tahoma"/>
          <w:sz w:val="22"/>
        </w:rPr>
        <w:t xml:space="preserve"> practices. However, the draft s</w:t>
      </w:r>
      <w:r w:rsidR="00306B81" w:rsidRPr="00052714">
        <w:rPr>
          <w:rFonts w:eastAsia="Calibri" w:cs="Tahoma"/>
          <w:sz w:val="22"/>
        </w:rPr>
        <w:t>trategy does not outline the likely financial resources required to ensure co-operation is effi</w:t>
      </w:r>
      <w:r w:rsidR="00B25009">
        <w:rPr>
          <w:rFonts w:eastAsia="Calibri" w:cs="Tahoma"/>
          <w:sz w:val="22"/>
        </w:rPr>
        <w:t>cient and effective. The draft s</w:t>
      </w:r>
      <w:r w:rsidR="00306B81" w:rsidRPr="00052714">
        <w:rPr>
          <w:rFonts w:eastAsia="Calibri" w:cs="Tahoma"/>
          <w:sz w:val="22"/>
        </w:rPr>
        <w:t>trategy also does not contain any costings</w:t>
      </w:r>
      <w:r w:rsidR="0049632A">
        <w:rPr>
          <w:rFonts w:eastAsia="Calibri" w:cs="Tahoma"/>
          <w:sz w:val="22"/>
        </w:rPr>
        <w:t xml:space="preserve"> analysis, either for the D</w:t>
      </w:r>
      <w:r w:rsidR="00306B81" w:rsidRPr="00052714">
        <w:rPr>
          <w:rFonts w:eastAsia="Calibri" w:cs="Tahoma"/>
          <w:sz w:val="22"/>
        </w:rPr>
        <w:t>epartment of Education, or for the potential financial</w:t>
      </w:r>
      <w:r w:rsidR="0049632A">
        <w:rPr>
          <w:rFonts w:eastAsia="Calibri" w:cs="Tahoma"/>
          <w:sz w:val="22"/>
        </w:rPr>
        <w:t xml:space="preserve"> resources to be used by other d</w:t>
      </w:r>
      <w:r w:rsidR="00306B81" w:rsidRPr="00052714">
        <w:rPr>
          <w:rFonts w:eastAsia="Calibri" w:cs="Tahoma"/>
          <w:sz w:val="22"/>
        </w:rPr>
        <w:t xml:space="preserve">epartments including the Department of Health and the Department for Agriculture, Environment and Rural Affairs, in collaborating to achieve the strategic outcomes. Whilst the Department has committed to the </w:t>
      </w:r>
      <w:r w:rsidR="00FD308D" w:rsidRPr="00052714">
        <w:rPr>
          <w:rFonts w:eastAsia="Calibri" w:cs="Tahoma"/>
          <w:sz w:val="22"/>
        </w:rPr>
        <w:t>SMART</w:t>
      </w:r>
      <w:r w:rsidR="00306B81" w:rsidRPr="00052714">
        <w:rPr>
          <w:rFonts w:eastAsia="Calibri" w:cs="Tahoma"/>
          <w:sz w:val="22"/>
        </w:rPr>
        <w:t xml:space="preserve"> allocation of resources in general, further information is required as to the specific measures to be taken to ensure this objective is met.</w:t>
      </w:r>
    </w:p>
    <w:p w:rsidR="00306B81" w:rsidRPr="00052714" w:rsidRDefault="00306B81" w:rsidP="00306B81">
      <w:pPr>
        <w:spacing w:after="0" w:line="240" w:lineRule="auto"/>
        <w:rPr>
          <w:rFonts w:eastAsia="Calibri" w:cs="Tahoma"/>
          <w:sz w:val="22"/>
        </w:rPr>
      </w:pPr>
    </w:p>
    <w:p w:rsidR="00306B81" w:rsidRPr="00052714" w:rsidRDefault="00786D95" w:rsidP="00786D95">
      <w:pPr>
        <w:spacing w:after="0" w:line="240" w:lineRule="auto"/>
        <w:rPr>
          <w:rFonts w:eastAsia="Calibri" w:cs="Tahoma"/>
          <w:sz w:val="22"/>
        </w:rPr>
      </w:pPr>
      <w:r w:rsidRPr="00052714">
        <w:rPr>
          <w:rFonts w:eastAsia="Calibri" w:cs="Tahoma"/>
          <w:b/>
          <w:sz w:val="22"/>
        </w:rPr>
        <w:t xml:space="preserve">3.4 </w:t>
      </w:r>
      <w:r w:rsidR="00306B81" w:rsidRPr="00052714">
        <w:rPr>
          <w:rFonts w:eastAsia="Calibri" w:cs="Tahoma"/>
          <w:b/>
          <w:sz w:val="22"/>
        </w:rPr>
        <w:t>Th</w:t>
      </w:r>
      <w:r w:rsidR="00B25009">
        <w:rPr>
          <w:rFonts w:eastAsia="Calibri" w:cs="Tahoma"/>
          <w:b/>
          <w:sz w:val="22"/>
        </w:rPr>
        <w:t>e Commission requests that the s</w:t>
      </w:r>
      <w:r w:rsidR="00306B81" w:rsidRPr="00052714">
        <w:rPr>
          <w:rFonts w:eastAsia="Calibri" w:cs="Tahoma"/>
          <w:b/>
          <w:sz w:val="22"/>
        </w:rPr>
        <w:t xml:space="preserve">trategy provide an analysis of the </w:t>
      </w:r>
      <w:r w:rsidR="00FD308D" w:rsidRPr="00052714">
        <w:rPr>
          <w:rFonts w:eastAsia="Calibri" w:cs="Tahoma"/>
          <w:b/>
          <w:sz w:val="22"/>
        </w:rPr>
        <w:t>actual financial expenditure needed to achieve</w:t>
      </w:r>
      <w:r w:rsidR="00306B81" w:rsidRPr="00052714">
        <w:rPr>
          <w:rFonts w:eastAsia="Calibri" w:cs="Tahoma"/>
          <w:b/>
          <w:sz w:val="22"/>
        </w:rPr>
        <w:t xml:space="preserve"> meaningful and permanent collaboration between departments and between departments and children’s authorities. The Commission recommends that the NI Executive provide details as to how maximum available resources are to be allocated to ensure the strategic outcomes are achieved.</w:t>
      </w:r>
      <w:r w:rsidR="00306B81" w:rsidRPr="00052714">
        <w:rPr>
          <w:rFonts w:eastAsia="Calibri" w:cs="Tahoma"/>
          <w:sz w:val="22"/>
        </w:rPr>
        <w:t xml:space="preserve"> </w:t>
      </w:r>
    </w:p>
    <w:p w:rsidR="00811FA9" w:rsidRPr="00052714" w:rsidRDefault="00811FA9" w:rsidP="00306B81">
      <w:pPr>
        <w:spacing w:after="0" w:line="240" w:lineRule="auto"/>
        <w:rPr>
          <w:rFonts w:eastAsia="Calibri" w:cs="Tahoma"/>
          <w:i/>
          <w:sz w:val="22"/>
        </w:rPr>
      </w:pPr>
    </w:p>
    <w:p w:rsidR="00306B81" w:rsidRPr="00052714" w:rsidRDefault="00306B81" w:rsidP="00306B81">
      <w:pPr>
        <w:spacing w:after="0" w:line="240" w:lineRule="auto"/>
        <w:rPr>
          <w:rFonts w:eastAsia="Calibri" w:cs="Tahoma"/>
          <w:i/>
          <w:sz w:val="22"/>
        </w:rPr>
      </w:pPr>
      <w:r w:rsidRPr="00052714">
        <w:rPr>
          <w:rFonts w:eastAsia="Calibri" w:cs="Tahoma"/>
          <w:i/>
          <w:sz w:val="22"/>
        </w:rPr>
        <w:t>Right to health</w:t>
      </w:r>
    </w:p>
    <w:p w:rsidR="00306B81" w:rsidRPr="00052714" w:rsidRDefault="00306B81" w:rsidP="00306B81">
      <w:pPr>
        <w:spacing w:after="0" w:line="240" w:lineRule="auto"/>
        <w:rPr>
          <w:rFonts w:eastAsia="Calibri" w:cs="Tahoma"/>
          <w:i/>
          <w:sz w:val="22"/>
        </w:rPr>
      </w:pPr>
    </w:p>
    <w:p w:rsidR="00306B81" w:rsidRPr="00052714" w:rsidRDefault="00306B81" w:rsidP="00306B81">
      <w:pPr>
        <w:spacing w:after="0" w:line="240" w:lineRule="auto"/>
        <w:rPr>
          <w:rFonts w:eastAsia="Calibri" w:cs="Tahoma"/>
          <w:sz w:val="22"/>
        </w:rPr>
      </w:pPr>
      <w:r w:rsidRPr="00052714">
        <w:rPr>
          <w:rFonts w:eastAsia="Calibri" w:cs="Tahoma"/>
          <w:sz w:val="22"/>
        </w:rPr>
        <w:t>4.1 Article 24 CRC enshrines the right of the child to the highest attainable standard of health and obliges the State Party to ensure children’s access to health care services. States Parties must take measures to, inter alia, diminish infant mortality, combat disease and malnutrition considering the dangers and risks of environmental pollution, and ensure readily-available health information for children and parents/guardians.</w:t>
      </w:r>
      <w:r w:rsidRPr="00052714">
        <w:rPr>
          <w:rFonts w:eastAsia="Calibri" w:cs="Tahoma"/>
          <w:sz w:val="22"/>
          <w:vertAlign w:val="superscript"/>
        </w:rPr>
        <w:footnoteReference w:id="23"/>
      </w:r>
      <w:r w:rsidRPr="00052714">
        <w:rPr>
          <w:rFonts w:eastAsia="Calibri" w:cs="Tahoma"/>
          <w:sz w:val="22"/>
        </w:rPr>
        <w:t xml:space="preserve"> </w:t>
      </w:r>
    </w:p>
    <w:p w:rsidR="00306B81" w:rsidRPr="00052714" w:rsidRDefault="00306B81" w:rsidP="00306B81">
      <w:pPr>
        <w:spacing w:after="0" w:line="240" w:lineRule="auto"/>
        <w:rPr>
          <w:rFonts w:eastAsia="Calibri" w:cs="Tahoma"/>
          <w:sz w:val="22"/>
        </w:rPr>
      </w:pPr>
    </w:p>
    <w:p w:rsidR="00306B81" w:rsidRPr="00052714" w:rsidRDefault="00306B81" w:rsidP="00306B81">
      <w:pPr>
        <w:spacing w:after="0" w:line="240" w:lineRule="auto"/>
        <w:rPr>
          <w:rFonts w:eastAsia="Calibri" w:cs="Tahoma"/>
          <w:sz w:val="22"/>
        </w:rPr>
      </w:pPr>
      <w:r w:rsidRPr="00052714">
        <w:rPr>
          <w:rFonts w:eastAsia="Calibri" w:cs="Tahoma"/>
          <w:sz w:val="22"/>
        </w:rPr>
        <w:t xml:space="preserve">4.2 With respect </w:t>
      </w:r>
      <w:r w:rsidR="00811FA9" w:rsidRPr="00052714">
        <w:rPr>
          <w:rFonts w:eastAsia="Calibri" w:cs="Tahoma"/>
          <w:sz w:val="22"/>
        </w:rPr>
        <w:t xml:space="preserve">to </w:t>
      </w:r>
      <w:r w:rsidRPr="00052714">
        <w:rPr>
          <w:rFonts w:eastAsia="Calibri" w:cs="Tahoma"/>
          <w:sz w:val="22"/>
        </w:rPr>
        <w:t>the mental health the UN CRC</w:t>
      </w:r>
      <w:r w:rsidR="00811FA9" w:rsidRPr="00052714">
        <w:rPr>
          <w:rFonts w:eastAsia="Calibri" w:cs="Tahoma"/>
          <w:sz w:val="22"/>
        </w:rPr>
        <w:t xml:space="preserve"> Committee</w:t>
      </w:r>
      <w:r w:rsidRPr="00052714">
        <w:rPr>
          <w:rFonts w:eastAsia="Calibri" w:cs="Tahoma"/>
          <w:sz w:val="22"/>
        </w:rPr>
        <w:t xml:space="preserve"> raised a specific concern that </w:t>
      </w:r>
      <w:r w:rsidRPr="00052714">
        <w:rPr>
          <w:rFonts w:eastAsia="Calibri" w:cs="Times New Roman"/>
          <w:sz w:val="22"/>
        </w:rPr>
        <w:t xml:space="preserve">the ‘number of child suicides has been steadily increasing in Northern Ireland in the past ten years’. </w:t>
      </w:r>
      <w:r w:rsidRPr="00052714">
        <w:rPr>
          <w:rFonts w:eastAsia="Calibri" w:cs="Tahoma"/>
          <w:sz w:val="22"/>
        </w:rPr>
        <w:t xml:space="preserve">As indicated in the strategy there has been </w:t>
      </w:r>
      <w:r w:rsidR="0049632A">
        <w:rPr>
          <w:rFonts w:eastAsia="Calibri" w:cs="Tahoma"/>
          <w:sz w:val="22"/>
        </w:rPr>
        <w:t xml:space="preserve">an </w:t>
      </w:r>
      <w:r w:rsidRPr="00052714">
        <w:rPr>
          <w:rFonts w:eastAsia="Calibri" w:cs="Tahoma"/>
          <w:sz w:val="22"/>
        </w:rPr>
        <w:t xml:space="preserve">increase in </w:t>
      </w:r>
      <w:r w:rsidR="00811FA9" w:rsidRPr="00052714">
        <w:rPr>
          <w:rFonts w:eastAsia="Calibri" w:cs="Tahoma"/>
          <w:sz w:val="22"/>
        </w:rPr>
        <w:t xml:space="preserve">both </w:t>
      </w:r>
      <w:r w:rsidRPr="00052714">
        <w:rPr>
          <w:rFonts w:eastAsia="Calibri" w:cs="Tahoma"/>
          <w:sz w:val="22"/>
        </w:rPr>
        <w:t xml:space="preserve">the </w:t>
      </w:r>
      <w:r w:rsidR="0049632A">
        <w:rPr>
          <w:rFonts w:eastAsia="Calibri" w:cs="Tahoma"/>
          <w:sz w:val="22"/>
        </w:rPr>
        <w:t xml:space="preserve">need for and </w:t>
      </w:r>
      <w:r w:rsidRPr="00052714">
        <w:rPr>
          <w:rFonts w:eastAsia="Calibri" w:cs="Tahoma"/>
          <w:sz w:val="22"/>
        </w:rPr>
        <w:t xml:space="preserve">use of counselling sessions </w:t>
      </w:r>
      <w:r w:rsidR="00811FA9" w:rsidRPr="00052714">
        <w:rPr>
          <w:rFonts w:eastAsia="Calibri" w:cs="Tahoma"/>
          <w:sz w:val="22"/>
        </w:rPr>
        <w:t>and</w:t>
      </w:r>
      <w:r w:rsidRPr="00052714">
        <w:rPr>
          <w:rFonts w:eastAsia="Calibri" w:cs="Tahoma"/>
          <w:sz w:val="22"/>
        </w:rPr>
        <w:t xml:space="preserve"> suicide and self-harm figures among children and young people in Northern Ireland. The info</w:t>
      </w:r>
      <w:r w:rsidR="00B25009">
        <w:rPr>
          <w:rFonts w:eastAsia="Calibri" w:cs="Tahoma"/>
          <w:sz w:val="22"/>
        </w:rPr>
        <w:t>rmation contained in the draft s</w:t>
      </w:r>
      <w:r w:rsidRPr="00052714">
        <w:rPr>
          <w:rFonts w:eastAsia="Calibri" w:cs="Tahoma"/>
          <w:sz w:val="22"/>
        </w:rPr>
        <w:t>trategy reveals a continuing stigma attaching to mental health issues among children and young people which has exacerbated the isolation felt by those who suffer from them.</w:t>
      </w:r>
      <w:r w:rsidRPr="00052714">
        <w:rPr>
          <w:rFonts w:eastAsia="Calibri" w:cs="Tahoma"/>
          <w:sz w:val="22"/>
          <w:vertAlign w:val="superscript"/>
        </w:rPr>
        <w:footnoteReference w:id="24"/>
      </w:r>
      <w:r w:rsidRPr="00052714">
        <w:rPr>
          <w:rFonts w:eastAsia="Calibri" w:cs="Tahoma"/>
          <w:sz w:val="22"/>
        </w:rPr>
        <w:t xml:space="preserve"> </w:t>
      </w:r>
      <w:r w:rsidRPr="00052714">
        <w:rPr>
          <w:rFonts w:eastAsia="Calibri" w:cs="Times New Roman"/>
          <w:sz w:val="22"/>
        </w:rPr>
        <w:t>The Committee recommended that the State Party including the NI Executive:</w:t>
      </w:r>
    </w:p>
    <w:p w:rsidR="00306B81" w:rsidRPr="00052714" w:rsidRDefault="00306B81" w:rsidP="00306B81">
      <w:pPr>
        <w:spacing w:after="0" w:line="240" w:lineRule="auto"/>
        <w:rPr>
          <w:rFonts w:eastAsia="Calibri" w:cs="Tahoma"/>
          <w:sz w:val="22"/>
        </w:rPr>
      </w:pPr>
    </w:p>
    <w:p w:rsidR="00306B81" w:rsidRPr="00052714" w:rsidRDefault="00306B81" w:rsidP="00EF01BE">
      <w:pPr>
        <w:suppressAutoHyphens/>
        <w:spacing w:after="120" w:line="240" w:lineRule="atLeast"/>
        <w:ind w:left="1134" w:right="1134"/>
        <w:rPr>
          <w:rFonts w:eastAsia="Times New Roman" w:cs="Times New Roman"/>
          <w:sz w:val="22"/>
        </w:rPr>
      </w:pPr>
      <w:r w:rsidRPr="00052714">
        <w:rPr>
          <w:rFonts w:eastAsia="Times New Roman" w:cs="Times New Roman"/>
          <w:sz w:val="22"/>
        </w:rPr>
        <w:t>Rigorously invest in child and adolescent mental health services and develop strategies at national and devolved levels, with clear time frames, targets, measureable indicators, effective monitoring mechanisms and sufficient human, technical and financial resources. Such strategy should include measures to ensure availability, accessibility, acceptability, quality and stability of such services, with particular attention to children at greater risk, including children living in poverty, children in care and children in contact with the criminal justice system.</w:t>
      </w:r>
    </w:p>
    <w:p w:rsidR="00306B81" w:rsidRPr="00052714" w:rsidRDefault="00306B81" w:rsidP="00306B81">
      <w:pPr>
        <w:spacing w:after="0" w:line="240" w:lineRule="auto"/>
        <w:rPr>
          <w:rFonts w:eastAsia="Calibri" w:cs="Tahoma"/>
          <w:sz w:val="22"/>
        </w:rPr>
      </w:pPr>
    </w:p>
    <w:p w:rsidR="00306B81" w:rsidRPr="00052714" w:rsidRDefault="00306B81" w:rsidP="00306B81">
      <w:pPr>
        <w:spacing w:after="0" w:line="240" w:lineRule="auto"/>
        <w:rPr>
          <w:rFonts w:eastAsia="Calibri" w:cs="Tahoma"/>
          <w:sz w:val="22"/>
        </w:rPr>
      </w:pPr>
      <w:r w:rsidRPr="00052714">
        <w:rPr>
          <w:rFonts w:eastAsia="Calibri" w:cs="Tahoma"/>
          <w:sz w:val="22"/>
        </w:rPr>
        <w:t>4.3 The performance indicators for mental health and emotional well-being are circumstantial and not based on targeted, accurate data.</w:t>
      </w:r>
      <w:r w:rsidRPr="00052714">
        <w:rPr>
          <w:rFonts w:eastAsia="Calibri" w:cs="Tahoma"/>
          <w:sz w:val="22"/>
          <w:vertAlign w:val="superscript"/>
        </w:rPr>
        <w:footnoteReference w:id="25"/>
      </w:r>
      <w:r w:rsidRPr="00052714">
        <w:rPr>
          <w:rFonts w:eastAsia="Calibri" w:cs="Tahoma"/>
          <w:sz w:val="22"/>
        </w:rPr>
        <w:t xml:space="preserve">  A public consultation on the </w:t>
      </w:r>
      <w:r w:rsidR="00B25009">
        <w:rPr>
          <w:rFonts w:eastAsia="Calibri" w:cs="Times New Roman"/>
          <w:sz w:val="22"/>
        </w:rPr>
        <w:t>Protect Life 2 s</w:t>
      </w:r>
      <w:r w:rsidRPr="00052714">
        <w:rPr>
          <w:rFonts w:eastAsia="Calibri" w:cs="Times New Roman"/>
          <w:sz w:val="22"/>
        </w:rPr>
        <w:t xml:space="preserve">trategy concluded in November 2016 and the final strategy is awaited. </w:t>
      </w:r>
    </w:p>
    <w:p w:rsidR="00306B81" w:rsidRPr="00052714" w:rsidRDefault="00306B81" w:rsidP="00306B81">
      <w:pPr>
        <w:spacing w:after="0" w:line="240" w:lineRule="auto"/>
        <w:rPr>
          <w:rFonts w:eastAsia="Calibri" w:cs="Tahoma"/>
          <w:sz w:val="22"/>
        </w:rPr>
      </w:pPr>
    </w:p>
    <w:p w:rsidR="00306B81" w:rsidRPr="00052714" w:rsidRDefault="00786D95" w:rsidP="00786D95">
      <w:pPr>
        <w:spacing w:after="0" w:line="240" w:lineRule="auto"/>
        <w:rPr>
          <w:rFonts w:eastAsia="Calibri" w:cs="Tahoma"/>
          <w:b/>
          <w:sz w:val="22"/>
        </w:rPr>
      </w:pPr>
      <w:r w:rsidRPr="00052714">
        <w:rPr>
          <w:rFonts w:eastAsia="Calibri" w:cs="Tahoma"/>
          <w:b/>
          <w:sz w:val="22"/>
        </w:rPr>
        <w:t xml:space="preserve">4.4 </w:t>
      </w:r>
      <w:r w:rsidR="00306B81" w:rsidRPr="00052714">
        <w:rPr>
          <w:rFonts w:eastAsia="Calibri" w:cs="Tahoma"/>
          <w:b/>
          <w:sz w:val="22"/>
        </w:rPr>
        <w:t xml:space="preserve">The </w:t>
      </w:r>
      <w:r w:rsidR="00B25009">
        <w:rPr>
          <w:rFonts w:eastAsia="Calibri" w:cs="Tahoma"/>
          <w:b/>
          <w:sz w:val="22"/>
        </w:rPr>
        <w:t>Commission recommends that the s</w:t>
      </w:r>
      <w:r w:rsidR="00306B81" w:rsidRPr="00052714">
        <w:rPr>
          <w:rFonts w:eastAsia="Calibri" w:cs="Tahoma"/>
          <w:b/>
          <w:sz w:val="22"/>
        </w:rPr>
        <w:t xml:space="preserve">trategy </w:t>
      </w:r>
      <w:r w:rsidR="00811FA9" w:rsidRPr="00052714">
        <w:rPr>
          <w:rFonts w:eastAsia="Calibri" w:cs="Tahoma"/>
          <w:b/>
          <w:sz w:val="22"/>
        </w:rPr>
        <w:t xml:space="preserve">commits </w:t>
      </w:r>
      <w:r w:rsidR="00306B81" w:rsidRPr="00052714">
        <w:rPr>
          <w:rFonts w:eastAsia="Calibri" w:cs="Tahoma"/>
          <w:b/>
          <w:sz w:val="22"/>
        </w:rPr>
        <w:t>to collect</w:t>
      </w:r>
      <w:r w:rsidR="00811FA9" w:rsidRPr="00052714">
        <w:rPr>
          <w:rFonts w:eastAsia="Calibri" w:cs="Tahoma"/>
          <w:b/>
          <w:sz w:val="22"/>
        </w:rPr>
        <w:t>ing</w:t>
      </w:r>
      <w:r w:rsidR="00306B81" w:rsidRPr="00052714">
        <w:rPr>
          <w:rFonts w:eastAsia="Calibri" w:cs="Tahoma"/>
          <w:b/>
          <w:sz w:val="22"/>
        </w:rPr>
        <w:t xml:space="preserve"> comprehensive data on child </w:t>
      </w:r>
      <w:r w:rsidR="00A252FA" w:rsidRPr="00052714">
        <w:rPr>
          <w:rFonts w:eastAsia="Calibri" w:cs="Tahoma"/>
          <w:b/>
          <w:sz w:val="22"/>
        </w:rPr>
        <w:t xml:space="preserve">and adolescent </w:t>
      </w:r>
      <w:r w:rsidR="00B25009">
        <w:rPr>
          <w:rFonts w:eastAsia="Calibri" w:cs="Tahoma"/>
          <w:b/>
          <w:sz w:val="22"/>
        </w:rPr>
        <w:t>mental health. The s</w:t>
      </w:r>
      <w:r w:rsidR="00306B81" w:rsidRPr="00052714">
        <w:rPr>
          <w:rFonts w:eastAsia="Calibri" w:cs="Tahoma"/>
          <w:b/>
          <w:sz w:val="22"/>
        </w:rPr>
        <w:t xml:space="preserve">trategy should also outline how it intends to tackle mental health issues among at risk children and young people in addition to those in contact with the criminal justice </w:t>
      </w:r>
      <w:r w:rsidR="00811FA9" w:rsidRPr="00052714">
        <w:rPr>
          <w:rFonts w:eastAsia="Calibri" w:cs="Tahoma"/>
          <w:b/>
          <w:sz w:val="22"/>
        </w:rPr>
        <w:t xml:space="preserve">system, </w:t>
      </w:r>
      <w:r w:rsidR="00306B81" w:rsidRPr="00052714">
        <w:rPr>
          <w:rFonts w:eastAsia="Calibri" w:cs="Tahoma"/>
          <w:b/>
          <w:sz w:val="22"/>
        </w:rPr>
        <w:t>children and young people in poverty and looked after children.</w:t>
      </w:r>
    </w:p>
    <w:p w:rsidR="00306B81" w:rsidRPr="00052714" w:rsidRDefault="00306B81" w:rsidP="00306B81">
      <w:pPr>
        <w:spacing w:after="0" w:line="240" w:lineRule="auto"/>
        <w:rPr>
          <w:rFonts w:eastAsia="Calibri" w:cs="Tahoma"/>
          <w:sz w:val="22"/>
        </w:rPr>
      </w:pPr>
    </w:p>
    <w:p w:rsidR="00306B81" w:rsidRPr="00052714" w:rsidRDefault="00306B81" w:rsidP="00306B81">
      <w:pPr>
        <w:spacing w:after="0" w:line="240" w:lineRule="auto"/>
        <w:rPr>
          <w:rFonts w:eastAsia="Calibri" w:cs="Tahoma"/>
          <w:sz w:val="22"/>
        </w:rPr>
      </w:pPr>
    </w:p>
    <w:p w:rsidR="00306B81" w:rsidRPr="00052714" w:rsidRDefault="00786D95" w:rsidP="00306B81">
      <w:pPr>
        <w:spacing w:after="0" w:line="240" w:lineRule="auto"/>
        <w:rPr>
          <w:rFonts w:eastAsia="Calibri" w:cs="Tahoma"/>
          <w:sz w:val="22"/>
        </w:rPr>
      </w:pPr>
      <w:r w:rsidRPr="00052714">
        <w:rPr>
          <w:rFonts w:eastAsia="Calibri" w:cs="Tahoma"/>
          <w:sz w:val="22"/>
        </w:rPr>
        <w:t>4.5</w:t>
      </w:r>
      <w:r w:rsidR="00B25009">
        <w:rPr>
          <w:rFonts w:eastAsia="Calibri" w:cs="Tahoma"/>
          <w:sz w:val="22"/>
        </w:rPr>
        <w:t xml:space="preserve"> The draft s</w:t>
      </w:r>
      <w:r w:rsidR="00306B81" w:rsidRPr="00052714">
        <w:rPr>
          <w:rFonts w:eastAsia="Calibri" w:cs="Tahoma"/>
          <w:sz w:val="22"/>
        </w:rPr>
        <w:t>trategy reveals existing health inequalities for children and young people with disabilities, compared to those without, and children and young people from deprived areas compared to those from more well-off backgrounds. For children and young people from deprived areas, this context is shown to have effects on life expectancy, obesity levels, drug and alcohol abuse, suicide and self-harm.</w:t>
      </w:r>
      <w:r w:rsidR="00306B81" w:rsidRPr="00052714">
        <w:rPr>
          <w:rFonts w:eastAsia="Calibri" w:cs="Tahoma"/>
          <w:sz w:val="22"/>
          <w:vertAlign w:val="superscript"/>
        </w:rPr>
        <w:footnoteReference w:id="26"/>
      </w:r>
      <w:r w:rsidR="00306B81" w:rsidRPr="00052714">
        <w:rPr>
          <w:rFonts w:eastAsia="Calibri" w:cs="Tahoma"/>
          <w:sz w:val="22"/>
        </w:rPr>
        <w:t xml:space="preserve">  </w:t>
      </w:r>
    </w:p>
    <w:p w:rsidR="00306B81" w:rsidRPr="00052714" w:rsidRDefault="00306B81" w:rsidP="00306B81">
      <w:pPr>
        <w:spacing w:after="0" w:line="240" w:lineRule="auto"/>
        <w:rPr>
          <w:rFonts w:eastAsia="Calibri" w:cs="Tahoma"/>
          <w:sz w:val="22"/>
        </w:rPr>
      </w:pPr>
    </w:p>
    <w:p w:rsidR="00306B81" w:rsidRPr="00052714" w:rsidRDefault="00786D95" w:rsidP="00306B81">
      <w:pPr>
        <w:spacing w:after="0" w:line="240" w:lineRule="auto"/>
        <w:rPr>
          <w:rFonts w:eastAsia="Calibri" w:cs="Tahoma"/>
          <w:sz w:val="22"/>
        </w:rPr>
      </w:pPr>
      <w:r w:rsidRPr="00052714">
        <w:rPr>
          <w:rFonts w:eastAsia="Calibri" w:cs="Tahoma"/>
          <w:sz w:val="22"/>
        </w:rPr>
        <w:t>4.6</w:t>
      </w:r>
      <w:r w:rsidR="00306B81" w:rsidRPr="00052714">
        <w:rPr>
          <w:rFonts w:eastAsia="Calibri" w:cs="Tahoma"/>
          <w:sz w:val="22"/>
        </w:rPr>
        <w:t xml:space="preserve"> The UNCRC </w:t>
      </w:r>
      <w:r w:rsidR="00811FA9" w:rsidRPr="00052714">
        <w:rPr>
          <w:rFonts w:eastAsia="Calibri" w:cs="Tahoma"/>
          <w:sz w:val="22"/>
        </w:rPr>
        <w:t xml:space="preserve">Committee </w:t>
      </w:r>
      <w:r w:rsidR="00306B81" w:rsidRPr="00052714">
        <w:rPr>
          <w:rFonts w:eastAsia="Calibri" w:cs="Tahoma"/>
          <w:sz w:val="22"/>
        </w:rPr>
        <w:t>has noted with concern the health inequalities present in the United Kingdom, specifically affecting Roma and Traveller children, ethnic minority children, children living in poverty and in deprived areas and LGBTI children and young people.</w:t>
      </w:r>
      <w:r w:rsidR="00306B81" w:rsidRPr="00052714">
        <w:rPr>
          <w:rFonts w:eastAsia="Calibri" w:cs="Tahoma"/>
          <w:sz w:val="22"/>
          <w:vertAlign w:val="superscript"/>
        </w:rPr>
        <w:footnoteReference w:id="27"/>
      </w:r>
      <w:r w:rsidR="00811FA9" w:rsidRPr="00052714">
        <w:rPr>
          <w:rFonts w:eastAsia="Calibri" w:cs="Tahoma"/>
          <w:sz w:val="22"/>
        </w:rPr>
        <w:t xml:space="preserve"> The Committee</w:t>
      </w:r>
      <w:r w:rsidR="00306B81" w:rsidRPr="00052714">
        <w:rPr>
          <w:rFonts w:eastAsia="Calibri" w:cs="Tahoma"/>
          <w:sz w:val="22"/>
        </w:rPr>
        <w:t xml:space="preserve"> has recommended that devolved administrations, including the NI Executive, develop multi-sectoral strategies on child health in order to eliminate such inequalities and to address “underlying social determinants of health”.</w:t>
      </w:r>
      <w:r w:rsidR="00306B81" w:rsidRPr="00052714">
        <w:rPr>
          <w:rFonts w:eastAsia="Calibri" w:cs="Tahoma"/>
          <w:sz w:val="22"/>
          <w:vertAlign w:val="superscript"/>
        </w:rPr>
        <w:footnoteReference w:id="28"/>
      </w:r>
      <w:r w:rsidR="00306B81" w:rsidRPr="00052714">
        <w:rPr>
          <w:rFonts w:eastAsia="Calibri" w:cs="Tahoma"/>
          <w:sz w:val="22"/>
        </w:rPr>
        <w:t xml:space="preserve"> </w:t>
      </w:r>
    </w:p>
    <w:p w:rsidR="00306B81" w:rsidRPr="00052714" w:rsidRDefault="00306B81" w:rsidP="00306B81">
      <w:pPr>
        <w:spacing w:after="0" w:line="240" w:lineRule="auto"/>
        <w:rPr>
          <w:rFonts w:eastAsia="Calibri" w:cs="Tahoma"/>
          <w:sz w:val="22"/>
        </w:rPr>
      </w:pPr>
    </w:p>
    <w:p w:rsidR="00306B81" w:rsidRPr="00052714" w:rsidRDefault="00786D95" w:rsidP="00786D95">
      <w:pPr>
        <w:spacing w:after="0" w:line="240" w:lineRule="auto"/>
        <w:rPr>
          <w:rFonts w:eastAsia="Calibri" w:cs="Tahoma"/>
          <w:b/>
          <w:sz w:val="22"/>
        </w:rPr>
      </w:pPr>
      <w:r w:rsidRPr="00052714">
        <w:rPr>
          <w:rFonts w:eastAsia="Calibri" w:cs="Tahoma"/>
          <w:b/>
          <w:sz w:val="22"/>
        </w:rPr>
        <w:t xml:space="preserve">4.7 </w:t>
      </w:r>
      <w:r w:rsidR="00306B81" w:rsidRPr="00052714">
        <w:rPr>
          <w:rFonts w:eastAsia="Calibri" w:cs="Tahoma"/>
          <w:b/>
          <w:sz w:val="22"/>
        </w:rPr>
        <w:t xml:space="preserve">The </w:t>
      </w:r>
      <w:r w:rsidR="00B25009">
        <w:rPr>
          <w:rFonts w:eastAsia="Calibri" w:cs="Tahoma"/>
          <w:b/>
          <w:sz w:val="22"/>
        </w:rPr>
        <w:t>Commission recommends that the s</w:t>
      </w:r>
      <w:r w:rsidR="00306B81" w:rsidRPr="00052714">
        <w:rPr>
          <w:rFonts w:eastAsia="Calibri" w:cs="Tahoma"/>
          <w:b/>
          <w:sz w:val="22"/>
        </w:rPr>
        <w:t xml:space="preserve">trategy should set out actions to eliminate healthcare inequalities amongst children and young people, </w:t>
      </w:r>
      <w:r w:rsidR="00811FA9" w:rsidRPr="00052714">
        <w:rPr>
          <w:rFonts w:eastAsia="Calibri" w:cs="Tahoma"/>
          <w:b/>
          <w:sz w:val="22"/>
        </w:rPr>
        <w:t>covering</w:t>
      </w:r>
      <w:r w:rsidR="00306B81" w:rsidRPr="00052714">
        <w:rPr>
          <w:rFonts w:eastAsia="Calibri" w:cs="Tahoma"/>
          <w:b/>
          <w:sz w:val="22"/>
        </w:rPr>
        <w:t xml:space="preserve"> both overall health outcomes and accessibility to health care services.</w:t>
      </w:r>
    </w:p>
    <w:p w:rsidR="00306B81" w:rsidRPr="00052714" w:rsidRDefault="00306B81" w:rsidP="00306B81">
      <w:pPr>
        <w:spacing w:after="0" w:line="240" w:lineRule="auto"/>
        <w:rPr>
          <w:rFonts w:eastAsia="Calibri" w:cs="Tahoma"/>
          <w:sz w:val="22"/>
        </w:rPr>
      </w:pPr>
    </w:p>
    <w:p w:rsidR="00306B81" w:rsidRPr="00052714" w:rsidRDefault="00786D95" w:rsidP="00306B81">
      <w:pPr>
        <w:spacing w:after="0" w:line="240" w:lineRule="auto"/>
        <w:rPr>
          <w:rFonts w:eastAsia="Calibri" w:cs="Tahoma"/>
          <w:sz w:val="22"/>
        </w:rPr>
      </w:pPr>
      <w:r w:rsidRPr="00052714">
        <w:rPr>
          <w:rFonts w:eastAsia="Calibri" w:cs="Tahoma"/>
          <w:sz w:val="22"/>
        </w:rPr>
        <w:t>4.8</w:t>
      </w:r>
      <w:r w:rsidR="00B25009">
        <w:rPr>
          <w:rFonts w:eastAsia="Calibri" w:cs="Tahoma"/>
          <w:sz w:val="22"/>
        </w:rPr>
        <w:t xml:space="preserve"> The draft s</w:t>
      </w:r>
      <w:r w:rsidR="00306B81" w:rsidRPr="00052714">
        <w:rPr>
          <w:rFonts w:eastAsia="Calibri" w:cs="Tahoma"/>
          <w:sz w:val="22"/>
        </w:rPr>
        <w:t>trategy does not, however, outline important issues in adolescent health such as sexual and reproductive health and education and the use of psychotropic drugs. The UNCRC</w:t>
      </w:r>
      <w:r w:rsidR="00F41871" w:rsidRPr="00052714">
        <w:rPr>
          <w:rFonts w:eastAsia="Calibri" w:cs="Tahoma"/>
          <w:sz w:val="22"/>
        </w:rPr>
        <w:t xml:space="preserve"> Committee</w:t>
      </w:r>
      <w:r w:rsidR="00306B81" w:rsidRPr="00052714">
        <w:rPr>
          <w:rFonts w:eastAsia="Calibri" w:cs="Tahoma"/>
          <w:sz w:val="22"/>
        </w:rPr>
        <w:t xml:space="preserve"> in its concluding observations in 2016 highlighted these specific issues within adolescent health, taking note of the rate of teenage pregnancy and the non-mandatory nature of sexual education in some NI schools.</w:t>
      </w:r>
      <w:r w:rsidR="00306B81" w:rsidRPr="00052714">
        <w:rPr>
          <w:rFonts w:eastAsia="Calibri" w:cs="Tahoma"/>
          <w:sz w:val="22"/>
          <w:vertAlign w:val="superscript"/>
        </w:rPr>
        <w:footnoteReference w:id="29"/>
      </w:r>
      <w:r w:rsidR="00306B81" w:rsidRPr="00052714">
        <w:rPr>
          <w:rFonts w:eastAsia="Calibri" w:cs="Tahoma"/>
          <w:sz w:val="22"/>
        </w:rPr>
        <w:t xml:space="preserve"> </w:t>
      </w:r>
    </w:p>
    <w:p w:rsidR="00306B81" w:rsidRPr="00052714" w:rsidRDefault="00306B81" w:rsidP="00306B81">
      <w:pPr>
        <w:spacing w:after="0" w:line="240" w:lineRule="auto"/>
        <w:rPr>
          <w:rFonts w:eastAsia="Calibri" w:cs="Tahoma"/>
          <w:sz w:val="22"/>
        </w:rPr>
      </w:pPr>
    </w:p>
    <w:p w:rsidR="00306B81" w:rsidRPr="00052714" w:rsidRDefault="00786D95" w:rsidP="00306B81">
      <w:pPr>
        <w:spacing w:after="0" w:line="240" w:lineRule="auto"/>
        <w:rPr>
          <w:rFonts w:eastAsia="Calibri" w:cs="Tahoma"/>
          <w:sz w:val="22"/>
        </w:rPr>
      </w:pPr>
      <w:r w:rsidRPr="00052714">
        <w:rPr>
          <w:rFonts w:eastAsia="Calibri" w:cs="Tahoma"/>
          <w:sz w:val="22"/>
        </w:rPr>
        <w:t>4.9</w:t>
      </w:r>
      <w:r w:rsidR="00306B81" w:rsidRPr="00052714">
        <w:rPr>
          <w:rFonts w:eastAsia="Calibri" w:cs="Tahoma"/>
          <w:sz w:val="22"/>
        </w:rPr>
        <w:t xml:space="preserve"> In October 2016 the Minister for Health informed the NI Assembly that: </w:t>
      </w:r>
    </w:p>
    <w:p w:rsidR="00306B81" w:rsidRPr="00052714" w:rsidRDefault="00306B81" w:rsidP="00306B81">
      <w:pPr>
        <w:spacing w:after="0" w:line="240" w:lineRule="auto"/>
        <w:rPr>
          <w:rFonts w:eastAsia="Calibri" w:cs="Tahoma"/>
          <w:sz w:val="22"/>
        </w:rPr>
      </w:pPr>
    </w:p>
    <w:p w:rsidR="00306B81" w:rsidRPr="00EF01BE" w:rsidRDefault="00306B81" w:rsidP="00EF01BE">
      <w:pPr>
        <w:spacing w:after="0" w:line="336" w:lineRule="atLeast"/>
        <w:ind w:left="720"/>
        <w:rPr>
          <w:rFonts w:eastAsia="Times New Roman" w:cs="Times New Roman"/>
          <w:i/>
          <w:sz w:val="22"/>
          <w:lang w:eastAsia="en-GB"/>
        </w:rPr>
      </w:pPr>
      <w:r w:rsidRPr="00EF01BE">
        <w:rPr>
          <w:rFonts w:eastAsia="Times New Roman" w:cs="Times New Roman"/>
          <w:i/>
          <w:sz w:val="22"/>
          <w:lang w:eastAsia="en-GB"/>
        </w:rPr>
        <w:t>The five year Sexual Health Promotion Strategy and Action Plan was published in December 2008. In June 2013, the then Minister for Health agreed to extend the life of the Strategy and Action Plan for a further two years. This work commenced in the summer of 2013. The updated Action Plan was published in March 2014 and ran to the end of December 2015.</w:t>
      </w:r>
      <w:r w:rsidRPr="00EF01BE">
        <w:rPr>
          <w:rFonts w:eastAsia="Times New Roman" w:cs="Times New Roman"/>
          <w:i/>
          <w:sz w:val="22"/>
          <w:vertAlign w:val="superscript"/>
          <w:lang w:eastAsia="en-GB"/>
        </w:rPr>
        <w:footnoteReference w:id="30"/>
      </w:r>
      <w:r w:rsidR="00EF01BE" w:rsidRPr="00EF01BE">
        <w:rPr>
          <w:rFonts w:eastAsia="Times New Roman" w:cs="Times New Roman"/>
          <w:i/>
          <w:sz w:val="22"/>
          <w:lang w:eastAsia="en-GB"/>
        </w:rPr>
        <w:t xml:space="preserve"> </w:t>
      </w:r>
      <w:r w:rsidRPr="00EF01BE">
        <w:rPr>
          <w:rFonts w:eastAsia="Times New Roman" w:cs="Times New Roman"/>
          <w:i/>
          <w:sz w:val="22"/>
          <w:lang w:eastAsia="en-GB"/>
        </w:rPr>
        <w:t>The Public Health Agency facilitated a major sexual health workshop on 25 October with stakeholders to consider key issues and potential actions for improving sexual health services and approaches to sexual health promotion. I will consider the report on the outcome and proposals from this workshop before making any decision on the way forward.</w:t>
      </w:r>
    </w:p>
    <w:p w:rsidR="00306B81" w:rsidRPr="00052714" w:rsidRDefault="00306B81" w:rsidP="00306B81">
      <w:pPr>
        <w:spacing w:after="0" w:line="240" w:lineRule="auto"/>
        <w:rPr>
          <w:rFonts w:eastAsia="Calibri" w:cs="Tahoma"/>
          <w:sz w:val="22"/>
        </w:rPr>
      </w:pPr>
    </w:p>
    <w:p w:rsidR="00306B81" w:rsidRPr="00052714" w:rsidRDefault="00EF01BE" w:rsidP="00786D95">
      <w:pPr>
        <w:spacing w:after="0" w:line="240" w:lineRule="auto"/>
        <w:rPr>
          <w:rFonts w:eastAsia="Calibri" w:cs="Tahoma"/>
          <w:b/>
          <w:sz w:val="22"/>
        </w:rPr>
      </w:pPr>
      <w:r>
        <w:rPr>
          <w:rFonts w:eastAsia="Calibri" w:cs="Tahoma"/>
          <w:b/>
          <w:sz w:val="22"/>
        </w:rPr>
        <w:t>4.10</w:t>
      </w:r>
      <w:r w:rsidR="00786D95" w:rsidRPr="00052714">
        <w:rPr>
          <w:rFonts w:eastAsia="Calibri" w:cs="Tahoma"/>
          <w:b/>
          <w:sz w:val="22"/>
        </w:rPr>
        <w:t xml:space="preserve"> </w:t>
      </w:r>
      <w:r w:rsidR="00306B81" w:rsidRPr="00052714">
        <w:rPr>
          <w:rFonts w:eastAsia="Calibri" w:cs="Tahoma"/>
          <w:b/>
          <w:sz w:val="22"/>
        </w:rPr>
        <w:t xml:space="preserve">The Commission advises that the strategy should seek to address the recommendations of the UN CRC Committee relating to sexual and reproductive health and should include a plan to ensure the development of a strategy and action plan </w:t>
      </w:r>
      <w:r w:rsidR="00811FA9" w:rsidRPr="00052714">
        <w:rPr>
          <w:rFonts w:eastAsia="Calibri" w:cs="Tahoma"/>
          <w:b/>
          <w:sz w:val="22"/>
        </w:rPr>
        <w:t>to promote sexual health among</w:t>
      </w:r>
      <w:r w:rsidR="00306B81" w:rsidRPr="00052714">
        <w:rPr>
          <w:rFonts w:eastAsia="Calibri" w:cs="Tahoma"/>
          <w:b/>
          <w:sz w:val="22"/>
        </w:rPr>
        <w:t xml:space="preserve"> adolescents, which should include provision of sexual and reproductive health education and support for LGBTI children and young people in </w:t>
      </w:r>
      <w:r w:rsidR="00811FA9" w:rsidRPr="00052714">
        <w:rPr>
          <w:rFonts w:eastAsia="Calibri" w:cs="Tahoma"/>
          <w:b/>
          <w:sz w:val="22"/>
        </w:rPr>
        <w:t xml:space="preserve">all </w:t>
      </w:r>
      <w:r w:rsidR="00306B81" w:rsidRPr="00052714">
        <w:rPr>
          <w:rFonts w:eastAsia="Calibri" w:cs="Tahoma"/>
          <w:b/>
          <w:sz w:val="22"/>
        </w:rPr>
        <w:t>schools.</w:t>
      </w:r>
    </w:p>
    <w:p w:rsidR="00306B81" w:rsidRPr="00052714" w:rsidRDefault="00306B81" w:rsidP="00306B81">
      <w:pPr>
        <w:spacing w:after="0" w:line="240" w:lineRule="auto"/>
        <w:rPr>
          <w:rFonts w:eastAsia="Calibri" w:cs="Tahoma"/>
          <w:i/>
          <w:sz w:val="22"/>
        </w:rPr>
      </w:pPr>
    </w:p>
    <w:p w:rsidR="00306B81" w:rsidRPr="00052714" w:rsidRDefault="00306B81" w:rsidP="00306B81">
      <w:pPr>
        <w:spacing w:after="0" w:line="240" w:lineRule="auto"/>
        <w:rPr>
          <w:rFonts w:eastAsia="Calibri" w:cs="Tahoma"/>
          <w:sz w:val="22"/>
        </w:rPr>
      </w:pPr>
      <w:r w:rsidRPr="00052714">
        <w:rPr>
          <w:rFonts w:eastAsia="Calibri" w:cs="Tahoma"/>
          <w:i/>
          <w:sz w:val="22"/>
        </w:rPr>
        <w:t>Violence against children</w:t>
      </w:r>
    </w:p>
    <w:p w:rsidR="00306B81" w:rsidRPr="00052714" w:rsidRDefault="00306B81" w:rsidP="00306B81">
      <w:pPr>
        <w:spacing w:after="0" w:line="240" w:lineRule="auto"/>
        <w:rPr>
          <w:rFonts w:eastAsia="Calibri" w:cs="Tahoma"/>
          <w:sz w:val="22"/>
        </w:rPr>
      </w:pPr>
    </w:p>
    <w:p w:rsidR="00306B81" w:rsidRPr="00052714" w:rsidRDefault="00B25009" w:rsidP="000655D9">
      <w:pPr>
        <w:spacing w:after="0" w:line="240" w:lineRule="auto"/>
        <w:rPr>
          <w:rFonts w:eastAsia="Calibri" w:cs="Tahoma"/>
          <w:sz w:val="22"/>
        </w:rPr>
      </w:pPr>
      <w:r>
        <w:rPr>
          <w:rFonts w:eastAsia="Calibri" w:cs="Tahoma"/>
          <w:sz w:val="22"/>
        </w:rPr>
        <w:t>5.1 The draft s</w:t>
      </w:r>
      <w:r w:rsidR="00306B81" w:rsidRPr="00052714">
        <w:rPr>
          <w:rFonts w:eastAsia="Calibri" w:cs="Tahoma"/>
          <w:sz w:val="22"/>
        </w:rPr>
        <w:t>trategy highlights important issues for the safety of children and young people including cyberbullying, domestic violence and homelessness, as well as the knock-on effects these experiences can have on mental health and educational attainment. Article 19 CRC requires the State Party to adopt measures to protect children from “all forms of physical or mental violence, injury or abuse, neglect or negligent treatmen</w:t>
      </w:r>
      <w:r>
        <w:rPr>
          <w:rFonts w:eastAsia="Calibri" w:cs="Tahoma"/>
          <w:sz w:val="22"/>
        </w:rPr>
        <w:t>t” including sexual abuse. The s</w:t>
      </w:r>
      <w:r w:rsidR="00306B81" w:rsidRPr="00052714">
        <w:rPr>
          <w:rFonts w:eastAsia="Calibri" w:cs="Tahoma"/>
          <w:sz w:val="22"/>
        </w:rPr>
        <w:t xml:space="preserve">trategy acknowledges this article. However it fails to acknowledge that NI law continues to allow for the reasonable chastisement of children. In its most recent concluding observations on the UK, the UNCRC </w:t>
      </w:r>
      <w:r w:rsidR="00811FA9" w:rsidRPr="00052714">
        <w:rPr>
          <w:rFonts w:eastAsia="Calibri" w:cs="Tahoma"/>
          <w:sz w:val="22"/>
        </w:rPr>
        <w:t xml:space="preserve">Committee </w:t>
      </w:r>
      <w:r w:rsidR="00306B81" w:rsidRPr="00052714">
        <w:rPr>
          <w:rFonts w:eastAsia="Calibri" w:cs="Tahoma"/>
          <w:sz w:val="22"/>
        </w:rPr>
        <w:t>once again expressed concern at the continuing availability of the defence of reasonable chastisement of children.</w:t>
      </w:r>
      <w:r w:rsidR="00306B81" w:rsidRPr="00052714">
        <w:rPr>
          <w:rFonts w:eastAsia="Calibri" w:cs="Tahoma"/>
          <w:sz w:val="22"/>
          <w:vertAlign w:val="superscript"/>
        </w:rPr>
        <w:footnoteReference w:id="31"/>
      </w:r>
      <w:r w:rsidR="00306B81" w:rsidRPr="00052714">
        <w:rPr>
          <w:rFonts w:eastAsia="Calibri" w:cs="Tahoma"/>
          <w:sz w:val="22"/>
        </w:rPr>
        <w:t xml:space="preserve"> </w:t>
      </w:r>
      <w:r w:rsidR="000655D9" w:rsidRPr="00052714">
        <w:rPr>
          <w:rFonts w:eastAsia="Calibri" w:cs="Tahoma"/>
          <w:sz w:val="22"/>
        </w:rPr>
        <w:t xml:space="preserve">It is noted that in Ireland, the Children Act 2011 and Children First Act 2015 abolished the statutory and common law defence of reasonable chastisement respectively. </w:t>
      </w:r>
      <w:r>
        <w:rPr>
          <w:rFonts w:eastAsia="Calibri" w:cs="Tahoma"/>
          <w:sz w:val="22"/>
        </w:rPr>
        <w:t>Whilst the draft s</w:t>
      </w:r>
      <w:r w:rsidR="00306B81" w:rsidRPr="00052714">
        <w:rPr>
          <w:rFonts w:eastAsia="Calibri" w:cs="Tahoma"/>
          <w:sz w:val="22"/>
        </w:rPr>
        <w:t xml:space="preserve">trategy acknowledges the high rates of domestic violence against children and young people, it is silent on any measures that could be taken to instil greater parental awareness on the issue of reasonable chastisement. </w:t>
      </w:r>
    </w:p>
    <w:p w:rsidR="00306B81" w:rsidRPr="00052714" w:rsidRDefault="00306B81" w:rsidP="00306B81">
      <w:pPr>
        <w:spacing w:after="0" w:line="240" w:lineRule="auto"/>
        <w:rPr>
          <w:rFonts w:eastAsia="Calibri" w:cs="Tahoma"/>
          <w:sz w:val="22"/>
        </w:rPr>
      </w:pPr>
    </w:p>
    <w:p w:rsidR="00306B81" w:rsidRPr="00052714" w:rsidRDefault="00786D95" w:rsidP="00786D95">
      <w:pPr>
        <w:spacing w:after="0" w:line="240" w:lineRule="auto"/>
        <w:rPr>
          <w:rFonts w:eastAsia="Calibri" w:cs="Tahoma"/>
          <w:b/>
          <w:sz w:val="22"/>
        </w:rPr>
      </w:pPr>
      <w:r w:rsidRPr="00052714">
        <w:rPr>
          <w:rFonts w:eastAsia="Calibri" w:cs="Tahoma"/>
          <w:b/>
          <w:sz w:val="22"/>
        </w:rPr>
        <w:t xml:space="preserve">5.2 </w:t>
      </w:r>
      <w:r w:rsidR="00306B81" w:rsidRPr="00052714">
        <w:rPr>
          <w:rFonts w:eastAsia="Calibri" w:cs="Tahoma"/>
          <w:b/>
          <w:sz w:val="22"/>
        </w:rPr>
        <w:t xml:space="preserve">The Commission recommends that the strategy include actions to address the UN CRC Committee recommendation to </w:t>
      </w:r>
      <w:r w:rsidR="00306B81" w:rsidRPr="00052714">
        <w:rPr>
          <w:rFonts w:eastAsia="Calibri" w:cs="Times New Roman"/>
          <w:b/>
          <w:sz w:val="22"/>
          <w:lang w:eastAsia="ja-JP"/>
        </w:rPr>
        <w:t xml:space="preserve">‘prohibit as a matter of priority all corporal punishment in the family, including through the repeal of all legal defences, such as “reasonable chastisement”’. </w:t>
      </w:r>
    </w:p>
    <w:p w:rsidR="00306B81" w:rsidRPr="00052714" w:rsidRDefault="00306B81" w:rsidP="00306B81">
      <w:pPr>
        <w:spacing w:after="0" w:line="240" w:lineRule="auto"/>
        <w:rPr>
          <w:rFonts w:eastAsia="Calibri" w:cs="Tahoma"/>
          <w:sz w:val="22"/>
        </w:rPr>
      </w:pPr>
    </w:p>
    <w:p w:rsidR="00306B81" w:rsidRPr="00052714" w:rsidRDefault="00786D95" w:rsidP="00306B81">
      <w:pPr>
        <w:spacing w:after="0" w:line="240" w:lineRule="auto"/>
        <w:rPr>
          <w:rFonts w:eastAsia="Calibri" w:cs="Tahoma"/>
          <w:sz w:val="22"/>
        </w:rPr>
      </w:pPr>
      <w:r w:rsidRPr="00052714">
        <w:rPr>
          <w:rFonts w:eastAsia="Calibri" w:cs="Tahoma"/>
          <w:sz w:val="22"/>
        </w:rPr>
        <w:t>5.3</w:t>
      </w:r>
      <w:r w:rsidR="00306B81" w:rsidRPr="00052714">
        <w:rPr>
          <w:rFonts w:eastAsia="Calibri" w:cs="Tahoma"/>
          <w:sz w:val="22"/>
        </w:rPr>
        <w:t xml:space="preserve"> The UNCRC </w:t>
      </w:r>
      <w:r w:rsidR="000655D9" w:rsidRPr="00052714">
        <w:rPr>
          <w:rFonts w:eastAsia="Calibri" w:cs="Tahoma"/>
          <w:sz w:val="22"/>
        </w:rPr>
        <w:t xml:space="preserve">Committee </w:t>
      </w:r>
      <w:r w:rsidR="00306B81" w:rsidRPr="00052714">
        <w:rPr>
          <w:rFonts w:eastAsia="Calibri" w:cs="Tahoma"/>
          <w:sz w:val="22"/>
        </w:rPr>
        <w:t xml:space="preserve">has also raised concerns regarding the increase in online child sexual exploitation and abuse, recommending multi-sectoral strategies to ensure prevention, early detection and intervention. In the Northern Ireland context, the UNCRC </w:t>
      </w:r>
      <w:r w:rsidR="000655D9" w:rsidRPr="00052714">
        <w:rPr>
          <w:rFonts w:eastAsia="Calibri" w:cs="Tahoma"/>
          <w:sz w:val="22"/>
        </w:rPr>
        <w:t xml:space="preserve">Committee </w:t>
      </w:r>
      <w:r w:rsidR="00306B81" w:rsidRPr="00052714">
        <w:rPr>
          <w:rFonts w:eastAsia="Calibri" w:cs="Tahoma"/>
          <w:sz w:val="22"/>
        </w:rPr>
        <w:t>recommends that the NI Executive implement the recommendations of the Marshall Inquiry into child sexual exploitation.</w:t>
      </w:r>
      <w:r w:rsidR="00306B81" w:rsidRPr="00052714">
        <w:rPr>
          <w:rFonts w:eastAsia="Calibri" w:cs="Tahoma"/>
          <w:sz w:val="22"/>
          <w:vertAlign w:val="superscript"/>
        </w:rPr>
        <w:footnoteReference w:id="32"/>
      </w:r>
      <w:r w:rsidR="00306B81" w:rsidRPr="00052714">
        <w:rPr>
          <w:rFonts w:eastAsia="Calibri" w:cs="Tahoma"/>
          <w:sz w:val="22"/>
        </w:rPr>
        <w:t xml:space="preserve"> The Marshall Inquiry identified looked after children as a particularly vulnerable group. The</w:t>
      </w:r>
      <w:r w:rsidR="000655D9" w:rsidRPr="00052714">
        <w:rPr>
          <w:rFonts w:eastAsia="Calibri" w:cs="Tahoma"/>
          <w:sz w:val="22"/>
        </w:rPr>
        <w:t xml:space="preserve"> draft </w:t>
      </w:r>
      <w:r w:rsidR="00B25009">
        <w:rPr>
          <w:rFonts w:eastAsia="Calibri" w:cs="Tahoma"/>
          <w:sz w:val="22"/>
        </w:rPr>
        <w:t>s</w:t>
      </w:r>
      <w:r w:rsidR="00306B81" w:rsidRPr="00052714">
        <w:rPr>
          <w:rFonts w:eastAsia="Calibri" w:cs="Tahoma"/>
          <w:sz w:val="22"/>
        </w:rPr>
        <w:t>trategy similarly recognises that looked after children are particularly vulnerable to violence and e</w:t>
      </w:r>
      <w:r w:rsidR="00B25009">
        <w:rPr>
          <w:rFonts w:eastAsia="Calibri" w:cs="Tahoma"/>
          <w:sz w:val="22"/>
        </w:rPr>
        <w:t>xploitation. However the draft s</w:t>
      </w:r>
      <w:r w:rsidR="00306B81" w:rsidRPr="00052714">
        <w:rPr>
          <w:rFonts w:eastAsia="Calibri" w:cs="Tahoma"/>
          <w:sz w:val="22"/>
        </w:rPr>
        <w:t>trategy does not outline in detail how the recommendations of the Marshall Report are to be fully implemented.</w:t>
      </w:r>
      <w:r w:rsidR="00306B81" w:rsidRPr="00052714">
        <w:rPr>
          <w:rFonts w:eastAsia="Calibri" w:cs="Tahoma"/>
          <w:sz w:val="22"/>
          <w:vertAlign w:val="superscript"/>
        </w:rPr>
        <w:footnoteReference w:id="33"/>
      </w:r>
      <w:r w:rsidR="00306B81" w:rsidRPr="00052714">
        <w:rPr>
          <w:rFonts w:eastAsia="Calibri" w:cs="Tahoma"/>
          <w:sz w:val="22"/>
        </w:rPr>
        <w:t xml:space="preserve"> In September 2016 a Department of Justice progress report on im</w:t>
      </w:r>
      <w:r w:rsidR="000655D9" w:rsidRPr="00052714">
        <w:rPr>
          <w:rFonts w:eastAsia="Calibri" w:cs="Tahoma"/>
          <w:sz w:val="22"/>
        </w:rPr>
        <w:t xml:space="preserve">plementation of the Action Plan </w:t>
      </w:r>
      <w:r w:rsidR="00306B81" w:rsidRPr="00052714">
        <w:rPr>
          <w:rFonts w:eastAsia="Calibri" w:cs="Tahoma"/>
          <w:sz w:val="22"/>
        </w:rPr>
        <w:t>recommendations indicated some areas required further progress.</w:t>
      </w:r>
      <w:r w:rsidR="00306B81" w:rsidRPr="00052714">
        <w:rPr>
          <w:rFonts w:eastAsia="Calibri" w:cs="Tahoma"/>
          <w:sz w:val="22"/>
          <w:vertAlign w:val="superscript"/>
        </w:rPr>
        <w:footnoteReference w:id="34"/>
      </w:r>
      <w:r w:rsidR="00306B81" w:rsidRPr="00052714">
        <w:rPr>
          <w:rFonts w:eastAsia="Calibri" w:cs="Tahoma"/>
          <w:sz w:val="22"/>
        </w:rPr>
        <w:t xml:space="preserve"> </w:t>
      </w:r>
    </w:p>
    <w:p w:rsidR="00306B81" w:rsidRPr="00052714" w:rsidRDefault="00306B81" w:rsidP="00306B81">
      <w:pPr>
        <w:spacing w:after="0" w:line="240" w:lineRule="auto"/>
        <w:rPr>
          <w:rFonts w:eastAsia="Calibri" w:cs="Tahoma"/>
          <w:sz w:val="22"/>
        </w:rPr>
      </w:pPr>
    </w:p>
    <w:p w:rsidR="00306B81" w:rsidRPr="00052714" w:rsidRDefault="00786D95" w:rsidP="00306B81">
      <w:pPr>
        <w:spacing w:after="0" w:line="240" w:lineRule="auto"/>
        <w:rPr>
          <w:rFonts w:eastAsia="Calibri" w:cs="Tahoma"/>
          <w:sz w:val="22"/>
        </w:rPr>
      </w:pPr>
      <w:r w:rsidRPr="00052714">
        <w:rPr>
          <w:rFonts w:eastAsia="Calibri" w:cs="Tahoma"/>
          <w:sz w:val="22"/>
        </w:rPr>
        <w:t>5.4</w:t>
      </w:r>
      <w:r w:rsidR="00306B81" w:rsidRPr="00052714">
        <w:rPr>
          <w:rFonts w:eastAsia="Calibri" w:cs="Tahoma"/>
          <w:sz w:val="22"/>
        </w:rPr>
        <w:t xml:space="preserve"> The Marshall Report identified significant concerns regarding arrangements to address circumstances in which a child goes missing. In particular, the report identified difficulties in data collection.</w:t>
      </w:r>
      <w:r w:rsidR="00306B81" w:rsidRPr="00052714">
        <w:rPr>
          <w:rFonts w:eastAsia="Calibri" w:cs="Tahoma"/>
          <w:sz w:val="22"/>
          <w:vertAlign w:val="superscript"/>
        </w:rPr>
        <w:footnoteReference w:id="35"/>
      </w:r>
      <w:r w:rsidR="000655D9" w:rsidRPr="00052714">
        <w:rPr>
          <w:rFonts w:eastAsia="Calibri" w:cs="Tahoma"/>
          <w:sz w:val="22"/>
        </w:rPr>
        <w:t xml:space="preserve"> </w:t>
      </w:r>
      <w:r w:rsidR="00306B81" w:rsidRPr="00052714">
        <w:rPr>
          <w:rFonts w:eastAsia="Calibri" w:cs="Tahoma"/>
          <w:sz w:val="22"/>
        </w:rPr>
        <w:t>This is a particular concern for looked after children.</w:t>
      </w:r>
    </w:p>
    <w:p w:rsidR="00306B81" w:rsidRPr="00052714" w:rsidRDefault="00306B81" w:rsidP="00306B81">
      <w:pPr>
        <w:spacing w:after="0" w:line="240" w:lineRule="auto"/>
        <w:rPr>
          <w:rFonts w:eastAsia="Calibri" w:cs="Tahoma"/>
          <w:sz w:val="22"/>
        </w:rPr>
      </w:pPr>
    </w:p>
    <w:p w:rsidR="00A252FA" w:rsidRDefault="00CF7E1D" w:rsidP="00786D95">
      <w:pPr>
        <w:spacing w:after="0" w:line="240" w:lineRule="auto"/>
        <w:rPr>
          <w:rFonts w:eastAsia="Calibri" w:cs="Tahoma"/>
          <w:b/>
          <w:sz w:val="22"/>
        </w:rPr>
      </w:pPr>
      <w:r>
        <w:rPr>
          <w:rFonts w:eastAsia="Calibri" w:cs="Tahoma"/>
          <w:b/>
          <w:sz w:val="22"/>
        </w:rPr>
        <w:t xml:space="preserve">5.5 </w:t>
      </w:r>
      <w:r w:rsidRPr="00CF7E1D">
        <w:rPr>
          <w:rFonts w:eastAsia="Calibri" w:cs="Tahoma"/>
          <w:b/>
          <w:sz w:val="22"/>
        </w:rPr>
        <w:t>The Commission recommends that the strategy should include</w:t>
      </w:r>
      <w:r w:rsidRPr="00CF7E1D">
        <w:rPr>
          <w:rFonts w:eastAsia="Calibri" w:cs="Tahoma"/>
          <w:b/>
          <w:sz w:val="22"/>
        </w:rPr>
        <w:tab/>
        <w:t xml:space="preserve"> actions to support the implementation of the recommendations of the Marshall Report and actions to ensure the protection of looked after children who are particularly vulnerable to abuse.</w:t>
      </w:r>
    </w:p>
    <w:p w:rsidR="00CF7E1D" w:rsidRPr="00052714" w:rsidRDefault="00CF7E1D" w:rsidP="00786D95">
      <w:pPr>
        <w:spacing w:after="0" w:line="240" w:lineRule="auto"/>
        <w:rPr>
          <w:rFonts w:eastAsia="Calibri" w:cs="Tahoma"/>
          <w:b/>
          <w:sz w:val="22"/>
        </w:rPr>
      </w:pPr>
    </w:p>
    <w:p w:rsidR="00A252FA" w:rsidRPr="00A252FA" w:rsidRDefault="00A252FA" w:rsidP="00A252FA">
      <w:pPr>
        <w:rPr>
          <w:sz w:val="22"/>
        </w:rPr>
      </w:pPr>
      <w:r w:rsidRPr="00052714">
        <w:rPr>
          <w:sz w:val="22"/>
        </w:rPr>
        <w:t xml:space="preserve">5.6 </w:t>
      </w:r>
      <w:r w:rsidRPr="00A252FA">
        <w:rPr>
          <w:sz w:val="22"/>
        </w:rPr>
        <w:t>The strategy recognises the importance of internet safety. Article 3 of the UN Convention on the Rights of the Child requires State parties to ‘ensure the child such protection and care as is necessary for his or her well-being.’</w:t>
      </w:r>
      <w:r w:rsidRPr="00052714">
        <w:rPr>
          <w:sz w:val="22"/>
          <w:vertAlign w:val="superscript"/>
        </w:rPr>
        <w:footnoteReference w:id="36"/>
      </w:r>
      <w:r w:rsidRPr="00A252FA">
        <w:rPr>
          <w:sz w:val="22"/>
        </w:rPr>
        <w:t xml:space="preserve"> It further requires that a child’s right to privacy, family and home life is protected</w:t>
      </w:r>
      <w:r w:rsidRPr="00052714">
        <w:rPr>
          <w:sz w:val="22"/>
          <w:vertAlign w:val="superscript"/>
        </w:rPr>
        <w:footnoteReference w:id="37"/>
      </w:r>
      <w:r w:rsidRPr="00A252FA">
        <w:rPr>
          <w:sz w:val="22"/>
        </w:rPr>
        <w:t xml:space="preserve"> and that ‘guidelines for the protection of the child from information and material injurious to his or her well-being’</w:t>
      </w:r>
      <w:r w:rsidRPr="00052714">
        <w:rPr>
          <w:sz w:val="22"/>
          <w:vertAlign w:val="superscript"/>
        </w:rPr>
        <w:footnoteReference w:id="38"/>
      </w:r>
      <w:r w:rsidRPr="00A252FA">
        <w:rPr>
          <w:sz w:val="22"/>
        </w:rPr>
        <w:t xml:space="preserve"> are encouraged. In June 2016 the UNCRC raised concerns regarding cyberbullying in the UK. The Committee stated that: </w:t>
      </w:r>
    </w:p>
    <w:p w:rsidR="00A252FA" w:rsidRPr="00A252FA" w:rsidRDefault="00A252FA" w:rsidP="00A252FA">
      <w:pPr>
        <w:ind w:left="720"/>
        <w:rPr>
          <w:sz w:val="22"/>
        </w:rPr>
      </w:pPr>
      <w:r w:rsidRPr="00A252FA">
        <w:rPr>
          <w:sz w:val="22"/>
        </w:rPr>
        <w:t>‘In the light of the recommendations resulting from the day of general discussion on digital media and children’s rights, [the Committee recommends that the State party] train children, teachers and families on the safe use of information and communication technologies, raise awareness among children on the severe effects that online bullying can have on their peers and increase the involvement of social media outlets in the efforts to combat cyberbullying.’</w:t>
      </w:r>
      <w:r w:rsidRPr="00052714">
        <w:rPr>
          <w:sz w:val="22"/>
          <w:vertAlign w:val="superscript"/>
        </w:rPr>
        <w:footnoteReference w:id="39"/>
      </w:r>
    </w:p>
    <w:p w:rsidR="00A252FA" w:rsidRPr="00A252FA" w:rsidRDefault="00A252FA" w:rsidP="00A252FA">
      <w:pPr>
        <w:rPr>
          <w:sz w:val="22"/>
        </w:rPr>
      </w:pPr>
      <w:r w:rsidRPr="00052714">
        <w:rPr>
          <w:sz w:val="22"/>
        </w:rPr>
        <w:t xml:space="preserve">5.7 </w:t>
      </w:r>
      <w:r w:rsidRPr="00A252FA">
        <w:rPr>
          <w:sz w:val="22"/>
        </w:rPr>
        <w:t xml:space="preserve">The Commission notes that the indicators and actions listed under ‘Living in safety and with stability’ do not directly address the risks presented to children’s safety by the internet. </w:t>
      </w:r>
    </w:p>
    <w:p w:rsidR="00306B81" w:rsidRPr="00052714" w:rsidRDefault="00A252FA" w:rsidP="00A252FA">
      <w:pPr>
        <w:rPr>
          <w:b/>
          <w:sz w:val="22"/>
        </w:rPr>
      </w:pPr>
      <w:r w:rsidRPr="00052714">
        <w:rPr>
          <w:b/>
          <w:sz w:val="22"/>
        </w:rPr>
        <w:t xml:space="preserve">5.8 </w:t>
      </w:r>
      <w:r w:rsidRPr="00A252FA">
        <w:rPr>
          <w:b/>
          <w:sz w:val="22"/>
        </w:rPr>
        <w:t>The Commission recommends that the strategy consider what actions are required to address the risk presented by the internet to c</w:t>
      </w:r>
      <w:r w:rsidR="002E382A">
        <w:rPr>
          <w:b/>
          <w:sz w:val="22"/>
        </w:rPr>
        <w:t>hild safety and should include</w:t>
      </w:r>
      <w:r w:rsidRPr="00A252FA">
        <w:rPr>
          <w:b/>
          <w:sz w:val="22"/>
        </w:rPr>
        <w:t xml:space="preserve"> specific indicators to ensure those responsible for the strategy are conscious of the need to address online risks, in line with the recommendation of the UN CRC Committee. </w:t>
      </w:r>
    </w:p>
    <w:p w:rsidR="00306B81" w:rsidRPr="00052714" w:rsidRDefault="00A252FA" w:rsidP="00306B81">
      <w:pPr>
        <w:spacing w:after="0" w:line="240" w:lineRule="auto"/>
        <w:rPr>
          <w:rFonts w:eastAsia="Calibri" w:cs="Tahoma"/>
          <w:sz w:val="22"/>
        </w:rPr>
      </w:pPr>
      <w:r w:rsidRPr="00052714">
        <w:rPr>
          <w:rFonts w:eastAsia="Calibri" w:cs="Tahoma"/>
          <w:sz w:val="22"/>
        </w:rPr>
        <w:t>5.9</w:t>
      </w:r>
      <w:r w:rsidR="00B25009">
        <w:rPr>
          <w:rFonts w:eastAsia="Calibri" w:cs="Tahoma"/>
          <w:sz w:val="22"/>
        </w:rPr>
        <w:t xml:space="preserve"> The draft s</w:t>
      </w:r>
      <w:r w:rsidR="00306B81" w:rsidRPr="00052714">
        <w:rPr>
          <w:rFonts w:eastAsia="Calibri" w:cs="Tahoma"/>
          <w:sz w:val="22"/>
        </w:rPr>
        <w:t xml:space="preserve">trategy records that the issue of paramilitary intimidation was ‘raised consistently during co-design as an area of </w:t>
      </w:r>
      <w:r w:rsidR="00B25009">
        <w:rPr>
          <w:rFonts w:eastAsia="Calibri" w:cs="Tahoma"/>
          <w:sz w:val="22"/>
        </w:rPr>
        <w:t>concern for young people’. The s</w:t>
      </w:r>
      <w:r w:rsidR="00306B81" w:rsidRPr="00052714">
        <w:rPr>
          <w:rFonts w:eastAsia="Calibri" w:cs="Tahoma"/>
          <w:sz w:val="22"/>
        </w:rPr>
        <w:t>trategy acknowledges that instances of threats of paramilitary intimidation against children and young people “could be subject to under-reporting”.</w:t>
      </w:r>
      <w:r w:rsidR="00306B81" w:rsidRPr="00052714">
        <w:rPr>
          <w:rFonts w:eastAsia="Calibri" w:cs="Tahoma"/>
          <w:sz w:val="22"/>
          <w:vertAlign w:val="superscript"/>
        </w:rPr>
        <w:footnoteReference w:id="40"/>
      </w:r>
      <w:r w:rsidR="00306B81" w:rsidRPr="00052714">
        <w:rPr>
          <w:rFonts w:eastAsia="Calibri" w:cs="Tahoma"/>
          <w:sz w:val="22"/>
        </w:rPr>
        <w:t xml:space="preserve"> </w:t>
      </w:r>
    </w:p>
    <w:p w:rsidR="00306B81" w:rsidRPr="00052714" w:rsidRDefault="00306B81" w:rsidP="00306B81">
      <w:pPr>
        <w:spacing w:after="0" w:line="240" w:lineRule="auto"/>
        <w:rPr>
          <w:rFonts w:eastAsia="Calibri" w:cs="Tahoma"/>
          <w:i/>
          <w:sz w:val="22"/>
        </w:rPr>
      </w:pPr>
    </w:p>
    <w:p w:rsidR="00306B81" w:rsidRPr="00052714" w:rsidRDefault="00A252FA" w:rsidP="00306B81">
      <w:pPr>
        <w:spacing w:after="0" w:line="240" w:lineRule="auto"/>
        <w:rPr>
          <w:rFonts w:eastAsia="Calibri" w:cs="Tahoma"/>
          <w:sz w:val="22"/>
        </w:rPr>
      </w:pPr>
      <w:r w:rsidRPr="00052714">
        <w:rPr>
          <w:rFonts w:eastAsia="Calibri" w:cs="Tahoma"/>
          <w:sz w:val="22"/>
        </w:rPr>
        <w:t>5.10</w:t>
      </w:r>
      <w:r w:rsidR="00306B81" w:rsidRPr="00052714">
        <w:rPr>
          <w:rFonts w:eastAsia="Calibri" w:cs="Tahoma"/>
          <w:sz w:val="22"/>
        </w:rPr>
        <w:t xml:space="preserve"> In its 2016 report the UN CRC Committee raised concerns regarding the threat to children of paramilitaries and recommended th</w:t>
      </w:r>
      <w:r w:rsidR="000655D9" w:rsidRPr="00052714">
        <w:rPr>
          <w:rFonts w:eastAsia="Calibri" w:cs="Tahoma"/>
          <w:sz w:val="22"/>
        </w:rPr>
        <w:t>e taking of</w:t>
      </w:r>
      <w:r w:rsidR="00306B81" w:rsidRPr="00052714">
        <w:rPr>
          <w:rFonts w:eastAsia="Calibri" w:cs="Tahoma"/>
          <w:sz w:val="22"/>
        </w:rPr>
        <w:t xml:space="preserve">: </w:t>
      </w:r>
    </w:p>
    <w:p w:rsidR="00306B81" w:rsidRPr="00052714" w:rsidRDefault="00306B81" w:rsidP="00306B81">
      <w:pPr>
        <w:spacing w:after="0" w:line="240" w:lineRule="auto"/>
        <w:rPr>
          <w:rFonts w:eastAsia="Calibri" w:cs="Tahoma"/>
          <w:sz w:val="22"/>
        </w:rPr>
      </w:pPr>
    </w:p>
    <w:p w:rsidR="00306B81" w:rsidRPr="00052714" w:rsidRDefault="00306B81" w:rsidP="00306B81">
      <w:pPr>
        <w:suppressAutoHyphens/>
        <w:spacing w:after="120" w:line="240" w:lineRule="atLeast"/>
        <w:ind w:left="1134" w:right="1134"/>
        <w:jc w:val="both"/>
        <w:rPr>
          <w:rFonts w:eastAsia="Times New Roman" w:cs="Times New Roman"/>
          <w:color w:val="000000"/>
          <w:sz w:val="22"/>
          <w:lang w:eastAsia="ja-JP"/>
        </w:rPr>
      </w:pPr>
      <w:proofErr w:type="gramStart"/>
      <w:r w:rsidRPr="00052714">
        <w:rPr>
          <w:rFonts w:eastAsia="Times New Roman" w:cs="Times New Roman"/>
          <w:color w:val="000000"/>
          <w:sz w:val="22"/>
          <w:lang w:eastAsia="ja-JP"/>
        </w:rPr>
        <w:t>immediate</w:t>
      </w:r>
      <w:proofErr w:type="gramEnd"/>
      <w:r w:rsidRPr="00052714">
        <w:rPr>
          <w:rFonts w:eastAsia="Times New Roman" w:cs="Times New Roman"/>
          <w:color w:val="000000"/>
          <w:sz w:val="22"/>
          <w:lang w:eastAsia="ja-JP"/>
        </w:rPr>
        <w:t xml:space="preserve"> and effective measures to protect children from </w:t>
      </w:r>
      <w:r w:rsidRPr="00052714">
        <w:rPr>
          <w:rFonts w:eastAsia="Times New Roman" w:cs="Times New Roman"/>
          <w:sz w:val="22"/>
        </w:rPr>
        <w:t xml:space="preserve">violence by non-State actors involved in paramilitary-style attacks as well as from recruitment by such actors into violent activities, including through measures </w:t>
      </w:r>
      <w:r w:rsidRPr="00052714">
        <w:rPr>
          <w:rFonts w:eastAsia="Times New Roman" w:cs="Times New Roman"/>
          <w:color w:val="000000"/>
          <w:sz w:val="22"/>
          <w:lang w:eastAsia="ja-JP"/>
        </w:rPr>
        <w:t>relating to transitional and criminal justice.</w:t>
      </w:r>
      <w:r w:rsidRPr="00052714">
        <w:rPr>
          <w:rFonts w:eastAsia="Times New Roman" w:cs="Times New Roman"/>
          <w:color w:val="000000"/>
          <w:sz w:val="22"/>
          <w:vertAlign w:val="superscript"/>
          <w:lang w:eastAsia="ja-JP"/>
        </w:rPr>
        <w:footnoteReference w:id="41"/>
      </w:r>
    </w:p>
    <w:p w:rsidR="00306B81" w:rsidRPr="00052714" w:rsidRDefault="00306B81" w:rsidP="00306B81">
      <w:pPr>
        <w:spacing w:after="0" w:line="240" w:lineRule="auto"/>
        <w:rPr>
          <w:rFonts w:eastAsia="Calibri" w:cs="Tahoma"/>
          <w:sz w:val="22"/>
        </w:rPr>
      </w:pPr>
    </w:p>
    <w:p w:rsidR="00306B81" w:rsidRPr="00052714" w:rsidRDefault="00A252FA" w:rsidP="00306B81">
      <w:pPr>
        <w:spacing w:after="0" w:line="240" w:lineRule="auto"/>
        <w:rPr>
          <w:rFonts w:eastAsia="Calibri" w:cs="Tahoma"/>
          <w:sz w:val="22"/>
        </w:rPr>
      </w:pPr>
      <w:r w:rsidRPr="00052714">
        <w:rPr>
          <w:rFonts w:eastAsia="Calibri" w:cs="Tahoma"/>
          <w:sz w:val="22"/>
        </w:rPr>
        <w:t>5.11</w:t>
      </w:r>
      <w:r w:rsidR="00306B81" w:rsidRPr="00052714">
        <w:rPr>
          <w:rFonts w:eastAsia="Calibri" w:cs="Tahoma"/>
          <w:sz w:val="22"/>
        </w:rPr>
        <w:t xml:space="preserve"> In light of the acknowledged under reporting by child victims of paramilitary violence the proposed indicator of ‘Number of young people who are victims of the crime’ may not provide a clear picture of the experience of young people. In light of the acknowledged threat to young people and the nature of the abuses committed by parami</w:t>
      </w:r>
      <w:r w:rsidR="00B25009">
        <w:rPr>
          <w:rFonts w:eastAsia="Calibri" w:cs="Tahoma"/>
          <w:sz w:val="22"/>
        </w:rPr>
        <w:t>litary organisations the draft s</w:t>
      </w:r>
      <w:r w:rsidR="00306B81" w:rsidRPr="00052714">
        <w:rPr>
          <w:rFonts w:eastAsia="Calibri" w:cs="Tahoma"/>
          <w:sz w:val="22"/>
        </w:rPr>
        <w:t xml:space="preserve">trategy should include more sophisticated indicators to assess the current extent of paramilitary violence and intimidation against children. This should include the number of individuals who are prosecuted and imprisoned for acts of violence or intimidation against children and young people. </w:t>
      </w:r>
    </w:p>
    <w:p w:rsidR="00306B81" w:rsidRPr="00052714" w:rsidRDefault="00306B81" w:rsidP="00306B81">
      <w:pPr>
        <w:spacing w:after="0" w:line="240" w:lineRule="auto"/>
        <w:rPr>
          <w:rFonts w:eastAsia="Calibri" w:cs="Tahoma"/>
          <w:sz w:val="22"/>
        </w:rPr>
      </w:pPr>
    </w:p>
    <w:p w:rsidR="00306B81" w:rsidRPr="00052714" w:rsidRDefault="00A252FA" w:rsidP="00786D95">
      <w:pPr>
        <w:spacing w:after="0" w:line="240" w:lineRule="auto"/>
        <w:rPr>
          <w:rFonts w:eastAsia="Calibri" w:cs="Tahoma"/>
          <w:b/>
          <w:sz w:val="22"/>
        </w:rPr>
      </w:pPr>
      <w:r w:rsidRPr="00052714">
        <w:rPr>
          <w:rFonts w:eastAsia="Calibri" w:cs="Tahoma"/>
          <w:b/>
          <w:sz w:val="22"/>
        </w:rPr>
        <w:t>5.12</w:t>
      </w:r>
      <w:r w:rsidR="00786D95" w:rsidRPr="00052714">
        <w:rPr>
          <w:rFonts w:eastAsia="Calibri" w:cs="Tahoma"/>
          <w:b/>
          <w:sz w:val="22"/>
        </w:rPr>
        <w:t xml:space="preserve"> </w:t>
      </w:r>
      <w:r w:rsidR="00306B81" w:rsidRPr="00052714">
        <w:rPr>
          <w:rFonts w:eastAsia="Calibri" w:cs="Tahoma"/>
          <w:b/>
          <w:sz w:val="22"/>
        </w:rPr>
        <w:t xml:space="preserve">The Commission recommends that action should </w:t>
      </w:r>
      <w:r w:rsidR="000655D9" w:rsidRPr="00052714">
        <w:rPr>
          <w:rFonts w:eastAsia="Calibri" w:cs="Tahoma"/>
          <w:b/>
          <w:sz w:val="22"/>
        </w:rPr>
        <w:t>be taken to develop</w:t>
      </w:r>
      <w:r w:rsidR="00306B81" w:rsidRPr="00052714">
        <w:rPr>
          <w:rFonts w:eastAsia="Calibri" w:cs="Tahoma"/>
          <w:b/>
          <w:sz w:val="22"/>
        </w:rPr>
        <w:t xml:space="preserve"> confidence within children and young people to ensure incidents of paramilitary intimidation and violence are reported to the police and investigated with a view to prosecution. </w:t>
      </w:r>
      <w:r w:rsidR="000655D9" w:rsidRPr="00052714">
        <w:rPr>
          <w:rFonts w:eastAsia="Calibri" w:cs="Tahoma"/>
          <w:b/>
          <w:sz w:val="22"/>
        </w:rPr>
        <w:t>In addition the key performance indicator around child victims of crime should be developed further to ensure it will record comprehensively the levels of paramilitary intimidation and violence directed against children and young people</w:t>
      </w:r>
      <w:r w:rsidR="009D40D8" w:rsidRPr="00052714">
        <w:rPr>
          <w:rFonts w:eastAsia="Calibri" w:cs="Tahoma"/>
          <w:b/>
          <w:sz w:val="22"/>
        </w:rPr>
        <w:t>.</w:t>
      </w:r>
    </w:p>
    <w:p w:rsidR="00306B81" w:rsidRPr="00052714" w:rsidRDefault="00306B81" w:rsidP="00306B81">
      <w:pPr>
        <w:spacing w:after="0" w:line="240" w:lineRule="auto"/>
        <w:rPr>
          <w:rFonts w:eastAsia="Calibri" w:cs="Tahoma"/>
          <w:i/>
          <w:sz w:val="22"/>
        </w:rPr>
      </w:pPr>
    </w:p>
    <w:p w:rsidR="00306B81" w:rsidRPr="00052714" w:rsidRDefault="00306B81" w:rsidP="00306B81">
      <w:pPr>
        <w:spacing w:after="0" w:line="240" w:lineRule="auto"/>
        <w:rPr>
          <w:rFonts w:eastAsia="Calibri" w:cs="Tahoma"/>
          <w:sz w:val="22"/>
        </w:rPr>
      </w:pPr>
      <w:r w:rsidRPr="00052714">
        <w:rPr>
          <w:rFonts w:eastAsia="Calibri" w:cs="Tahoma"/>
          <w:sz w:val="22"/>
        </w:rPr>
        <w:t xml:space="preserve">Child carers </w:t>
      </w:r>
    </w:p>
    <w:p w:rsidR="00306B81" w:rsidRPr="00052714" w:rsidRDefault="00306B81" w:rsidP="00306B81">
      <w:pPr>
        <w:spacing w:after="0" w:line="240" w:lineRule="auto"/>
        <w:rPr>
          <w:rFonts w:eastAsia="Calibri" w:cs="Tahoma"/>
          <w:sz w:val="22"/>
        </w:rPr>
      </w:pPr>
    </w:p>
    <w:p w:rsidR="00306B81" w:rsidRPr="00052714" w:rsidRDefault="00306B81" w:rsidP="00306B81">
      <w:pPr>
        <w:spacing w:after="0" w:line="240" w:lineRule="auto"/>
        <w:rPr>
          <w:rFonts w:cs="Zurich BT"/>
          <w:color w:val="000000"/>
          <w:sz w:val="22"/>
        </w:rPr>
      </w:pPr>
      <w:r w:rsidRPr="00052714">
        <w:rPr>
          <w:rFonts w:eastAsia="Calibri" w:cs="Tahoma"/>
          <w:sz w:val="22"/>
        </w:rPr>
        <w:t>6.1 Th</w:t>
      </w:r>
      <w:r w:rsidR="00B25009">
        <w:rPr>
          <w:rFonts w:eastAsia="Calibri" w:cs="Tahoma"/>
          <w:sz w:val="22"/>
        </w:rPr>
        <w:t>e Commission welcomes that the s</w:t>
      </w:r>
      <w:r w:rsidRPr="00052714">
        <w:rPr>
          <w:rFonts w:eastAsia="Calibri" w:cs="Tahoma"/>
          <w:sz w:val="22"/>
        </w:rPr>
        <w:t>trategy recognises that children acting as carers ‘are at risk of missing out on their childhood’. In November 2014 the NIHRC published a report entitled ‘The Human Rights of Carers in Northern Ireland’.</w:t>
      </w:r>
      <w:r w:rsidRPr="00052714">
        <w:rPr>
          <w:rFonts w:eastAsia="Calibri" w:cs="Tahoma"/>
          <w:sz w:val="22"/>
          <w:vertAlign w:val="superscript"/>
        </w:rPr>
        <w:footnoteReference w:id="42"/>
      </w:r>
      <w:r w:rsidRPr="00052714">
        <w:rPr>
          <w:rFonts w:eastAsia="Calibri" w:cs="Tahoma"/>
          <w:sz w:val="22"/>
        </w:rPr>
        <w:t xml:space="preserve"> The report identified that child carers are often not identified by public authorities and that the assessment processes in place are not sufficiently robust to ensure all rights of children are taken into account, in particular the right to education and health. </w:t>
      </w:r>
      <w:r w:rsidRPr="00052714">
        <w:rPr>
          <w:rFonts w:cs="Zurich BT"/>
          <w:color w:val="000000"/>
          <w:sz w:val="22"/>
        </w:rPr>
        <w:t>The Commission recommended the introduction of a ‘young carer’s needs assessment’, in line with that provided for in the Children and Families Act 2014 in England &amp; Wales.</w:t>
      </w:r>
      <w:r w:rsidRPr="00052714">
        <w:rPr>
          <w:rFonts w:cs="Zurich BT"/>
          <w:color w:val="000000"/>
          <w:sz w:val="22"/>
          <w:vertAlign w:val="superscript"/>
        </w:rPr>
        <w:footnoteReference w:id="43"/>
      </w:r>
    </w:p>
    <w:p w:rsidR="00306B81" w:rsidRPr="00052714" w:rsidRDefault="00306B81" w:rsidP="00306B81">
      <w:pPr>
        <w:spacing w:after="0" w:line="240" w:lineRule="auto"/>
        <w:rPr>
          <w:rFonts w:eastAsia="Calibri" w:cs="Tahoma"/>
          <w:sz w:val="22"/>
        </w:rPr>
      </w:pPr>
    </w:p>
    <w:p w:rsidR="00306B81" w:rsidRPr="00052714" w:rsidRDefault="00786D95" w:rsidP="00786D95">
      <w:pPr>
        <w:spacing w:after="0" w:line="240" w:lineRule="auto"/>
        <w:rPr>
          <w:rFonts w:eastAsia="Calibri" w:cs="Tahoma"/>
          <w:b/>
          <w:sz w:val="22"/>
        </w:rPr>
      </w:pPr>
      <w:r w:rsidRPr="00052714">
        <w:rPr>
          <w:rFonts w:eastAsia="Calibri" w:cs="Tahoma"/>
          <w:b/>
          <w:sz w:val="22"/>
        </w:rPr>
        <w:t xml:space="preserve">6.2 </w:t>
      </w:r>
      <w:r w:rsidR="00306B81" w:rsidRPr="00052714">
        <w:rPr>
          <w:rFonts w:eastAsia="Calibri" w:cs="Tahoma"/>
          <w:b/>
          <w:sz w:val="22"/>
        </w:rPr>
        <w:t>The Commis</w:t>
      </w:r>
      <w:r w:rsidR="00B25009">
        <w:rPr>
          <w:rFonts w:eastAsia="Calibri" w:cs="Tahoma"/>
          <w:b/>
          <w:sz w:val="22"/>
        </w:rPr>
        <w:t>sion recommends that the draft s</w:t>
      </w:r>
      <w:r w:rsidR="00306B81" w:rsidRPr="00052714">
        <w:rPr>
          <w:rFonts w:eastAsia="Calibri" w:cs="Tahoma"/>
          <w:b/>
          <w:sz w:val="22"/>
        </w:rPr>
        <w:t xml:space="preserve">trategy should </w:t>
      </w:r>
      <w:r w:rsidR="002E382A">
        <w:rPr>
          <w:rFonts w:eastAsia="Calibri" w:cs="Tahoma"/>
          <w:b/>
          <w:sz w:val="22"/>
        </w:rPr>
        <w:t>address the challenges facing</w:t>
      </w:r>
      <w:r w:rsidR="00306B81" w:rsidRPr="00052714">
        <w:rPr>
          <w:rFonts w:eastAsia="Calibri" w:cs="Tahoma"/>
          <w:b/>
          <w:sz w:val="22"/>
        </w:rPr>
        <w:t xml:space="preserve"> vulnerable groups, in particular child carers, from </w:t>
      </w:r>
      <w:r w:rsidR="002E382A">
        <w:rPr>
          <w:rFonts w:eastAsia="Calibri" w:cs="Tahoma"/>
          <w:b/>
          <w:sz w:val="22"/>
        </w:rPr>
        <w:t xml:space="preserve">fully realising </w:t>
      </w:r>
      <w:r w:rsidR="00306B81" w:rsidRPr="00052714">
        <w:rPr>
          <w:rFonts w:eastAsia="Calibri" w:cs="Tahoma"/>
          <w:b/>
          <w:sz w:val="22"/>
        </w:rPr>
        <w:t>the right to education and the right to health. The proposed indicators regarding the objective, ‘A positive contribution to society’, should be further developed and include the number of children who avail of additional su</w:t>
      </w:r>
      <w:r w:rsidR="002E382A">
        <w:rPr>
          <w:rFonts w:eastAsia="Calibri" w:cs="Tahoma"/>
          <w:b/>
          <w:sz w:val="22"/>
        </w:rPr>
        <w:t>pport such as that provided by health and social care t</w:t>
      </w:r>
      <w:r w:rsidR="00306B81" w:rsidRPr="00052714">
        <w:rPr>
          <w:rFonts w:eastAsia="Calibri" w:cs="Tahoma"/>
          <w:b/>
          <w:sz w:val="22"/>
        </w:rPr>
        <w:t xml:space="preserve">rusts to child carers. </w:t>
      </w:r>
    </w:p>
    <w:p w:rsidR="00306B81" w:rsidRPr="00052714" w:rsidRDefault="00306B81" w:rsidP="00306B81">
      <w:pPr>
        <w:spacing w:after="0" w:line="240" w:lineRule="auto"/>
        <w:rPr>
          <w:rFonts w:eastAsia="Calibri" w:cs="Tahoma"/>
          <w:i/>
          <w:sz w:val="22"/>
        </w:rPr>
      </w:pPr>
    </w:p>
    <w:p w:rsidR="00306B81" w:rsidRPr="00052714" w:rsidRDefault="00306B81" w:rsidP="00306B81">
      <w:pPr>
        <w:spacing w:after="0" w:line="240" w:lineRule="auto"/>
        <w:rPr>
          <w:rFonts w:eastAsia="Calibri" w:cs="Tahoma"/>
          <w:i/>
          <w:sz w:val="22"/>
        </w:rPr>
      </w:pPr>
      <w:r w:rsidRPr="00052714">
        <w:rPr>
          <w:rFonts w:eastAsia="Calibri" w:cs="Tahoma"/>
          <w:i/>
          <w:sz w:val="22"/>
        </w:rPr>
        <w:t>Children and young people in custody</w:t>
      </w:r>
    </w:p>
    <w:p w:rsidR="00306B81" w:rsidRPr="00052714" w:rsidRDefault="00306B81" w:rsidP="00306B81">
      <w:pPr>
        <w:spacing w:after="0" w:line="240" w:lineRule="auto"/>
        <w:rPr>
          <w:rFonts w:eastAsia="Calibri" w:cs="Tahoma"/>
          <w:sz w:val="22"/>
        </w:rPr>
      </w:pPr>
    </w:p>
    <w:p w:rsidR="000655D9" w:rsidRPr="00052714" w:rsidRDefault="000655D9" w:rsidP="000655D9">
      <w:pPr>
        <w:spacing w:after="0" w:line="240" w:lineRule="auto"/>
        <w:rPr>
          <w:rFonts w:eastAsia="Calibri" w:cs="Tahoma"/>
          <w:sz w:val="22"/>
        </w:rPr>
      </w:pPr>
      <w:r w:rsidRPr="00052714">
        <w:rPr>
          <w:rFonts w:eastAsia="Calibri" w:cs="Tahoma"/>
          <w:sz w:val="22"/>
        </w:rPr>
        <w:t>7.1</w:t>
      </w:r>
      <w:r w:rsidR="00306B81" w:rsidRPr="00052714">
        <w:rPr>
          <w:rFonts w:eastAsia="Calibri" w:cs="Tahoma"/>
          <w:sz w:val="22"/>
        </w:rPr>
        <w:t xml:space="preserve"> The draft </w:t>
      </w:r>
      <w:r w:rsidR="00B25009">
        <w:rPr>
          <w:rFonts w:eastAsia="Calibri" w:cs="Tahoma"/>
          <w:sz w:val="22"/>
        </w:rPr>
        <w:t xml:space="preserve">9 </w:t>
      </w:r>
      <w:r w:rsidR="00306B81" w:rsidRPr="00052714">
        <w:rPr>
          <w:rFonts w:eastAsia="Calibri" w:cs="Tahoma"/>
          <w:sz w:val="22"/>
        </w:rPr>
        <w:t>does not provide specific measures designed to improve the safety of children and young people in contact with the youth justice system, nor are performance indicators provided which would permit the monitoring of measures designed to prevent children coming into contact with the youth justice system, in particular around repeat offenders.</w:t>
      </w:r>
      <w:r w:rsidRPr="00052714">
        <w:rPr>
          <w:rFonts w:eastAsia="Calibri" w:cs="Tahoma"/>
          <w:sz w:val="22"/>
        </w:rPr>
        <w:t xml:space="preserve"> The UNCRC has raised concerns regarding the use of restraint in institutional settings in Northern Ireland.</w:t>
      </w:r>
      <w:r w:rsidRPr="00052714">
        <w:rPr>
          <w:rFonts w:eastAsia="Calibri" w:cs="Tahoma"/>
          <w:sz w:val="22"/>
          <w:vertAlign w:val="superscript"/>
        </w:rPr>
        <w:footnoteReference w:id="44"/>
      </w:r>
      <w:r w:rsidRPr="00052714">
        <w:rPr>
          <w:rFonts w:eastAsia="Calibri" w:cs="Tahoma"/>
          <w:sz w:val="22"/>
        </w:rPr>
        <w:t xml:space="preserve"> It has requested that the State Party abolish all use of restraint for disciplinary purposes in all institutional settings, and that disaggregated data on the use of restraint be collected and published.</w:t>
      </w:r>
      <w:r w:rsidRPr="00052714">
        <w:rPr>
          <w:rFonts w:eastAsia="Calibri" w:cs="Tahoma"/>
          <w:sz w:val="22"/>
          <w:vertAlign w:val="superscript"/>
        </w:rPr>
        <w:footnoteReference w:id="45"/>
      </w:r>
      <w:r w:rsidRPr="00052714">
        <w:rPr>
          <w:rFonts w:eastAsia="Calibri" w:cs="Tahoma"/>
          <w:sz w:val="22"/>
        </w:rPr>
        <w:t xml:space="preserve"> </w:t>
      </w:r>
    </w:p>
    <w:p w:rsidR="00306B81" w:rsidRPr="00052714" w:rsidRDefault="00306B81" w:rsidP="00306B81">
      <w:pPr>
        <w:spacing w:after="0" w:line="240" w:lineRule="auto"/>
        <w:rPr>
          <w:rFonts w:eastAsia="Calibri" w:cs="Tahoma"/>
          <w:i/>
          <w:sz w:val="22"/>
        </w:rPr>
      </w:pPr>
    </w:p>
    <w:p w:rsidR="00306B81" w:rsidRPr="00052714" w:rsidRDefault="009D40D8" w:rsidP="00306B81">
      <w:pPr>
        <w:rPr>
          <w:sz w:val="22"/>
        </w:rPr>
      </w:pPr>
      <w:r w:rsidRPr="00052714">
        <w:rPr>
          <w:sz w:val="22"/>
        </w:rPr>
        <w:t>7.2</w:t>
      </w:r>
      <w:r w:rsidR="00306B81" w:rsidRPr="00052714">
        <w:rPr>
          <w:sz w:val="22"/>
        </w:rPr>
        <w:t xml:space="preserve"> The proposed indicator will record the ‘Number of first time entrants into the criminal justice system’. However there are no indicators for recording the experiences of children held in custody. There are also no indicators to record the outcomes for children who have entered the criminal justice system. </w:t>
      </w:r>
    </w:p>
    <w:p w:rsidR="00306B81" w:rsidRPr="00052714" w:rsidRDefault="00786D95" w:rsidP="00786D95">
      <w:pPr>
        <w:rPr>
          <w:b/>
          <w:sz w:val="22"/>
        </w:rPr>
      </w:pPr>
      <w:r w:rsidRPr="00052714">
        <w:rPr>
          <w:b/>
          <w:sz w:val="22"/>
        </w:rPr>
        <w:t xml:space="preserve">7.3 </w:t>
      </w:r>
      <w:r w:rsidR="00306B81" w:rsidRPr="00052714">
        <w:rPr>
          <w:b/>
          <w:sz w:val="22"/>
        </w:rPr>
        <w:t xml:space="preserve">The </w:t>
      </w:r>
      <w:r w:rsidR="00B25009">
        <w:rPr>
          <w:b/>
          <w:sz w:val="22"/>
        </w:rPr>
        <w:t>Commission recommends that the s</w:t>
      </w:r>
      <w:r w:rsidR="00306B81" w:rsidRPr="00052714">
        <w:rPr>
          <w:b/>
          <w:sz w:val="22"/>
        </w:rPr>
        <w:t>trategy record how the rights of children held in custody are protected and how outcomes for children held in custody will be monitored.</w:t>
      </w:r>
      <w:r w:rsidR="00B25009">
        <w:rPr>
          <w:b/>
          <w:sz w:val="22"/>
        </w:rPr>
        <w:t xml:space="preserve"> In particular, the s</w:t>
      </w:r>
      <w:r w:rsidR="008D35CF" w:rsidRPr="00052714">
        <w:rPr>
          <w:b/>
          <w:sz w:val="22"/>
        </w:rPr>
        <w:t xml:space="preserve">trategy should set out actions to significantly reduce with a view to abolishing the use of restraint against children in places of detention. In addition the relevant performance indicators should ensure the recording of all incidents in which a child is restrained in a place of detention and should record reoffending rates amongst child offenders. </w:t>
      </w:r>
    </w:p>
    <w:p w:rsidR="00893E4B" w:rsidRPr="00B867D0" w:rsidRDefault="00893E4B" w:rsidP="00B867D0">
      <w:pPr>
        <w:ind w:right="720"/>
        <w:jc w:val="both"/>
        <w:rPr>
          <w:b/>
          <w:sz w:val="22"/>
        </w:rPr>
      </w:pPr>
    </w:p>
    <w:sectPr w:rsidR="00893E4B" w:rsidRPr="00B867D0" w:rsidSect="00FC0976">
      <w:footerReference w:type="default" r:id="rId10"/>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777" w:rsidRDefault="00651777" w:rsidP="00A81211">
      <w:pPr>
        <w:spacing w:after="0" w:line="240" w:lineRule="auto"/>
      </w:pPr>
      <w:r>
        <w:separator/>
      </w:r>
    </w:p>
  </w:endnote>
  <w:endnote w:type="continuationSeparator" w:id="0">
    <w:p w:rsidR="00651777" w:rsidRDefault="00651777" w:rsidP="00A81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Zurich BT">
    <w:altName w:val="Zurich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742258"/>
      <w:docPartObj>
        <w:docPartGallery w:val="Page Numbers (Bottom of Page)"/>
        <w:docPartUnique/>
      </w:docPartObj>
    </w:sdtPr>
    <w:sdtEndPr>
      <w:rPr>
        <w:rFonts w:ascii="Times New Roman" w:hAnsi="Times New Roman" w:cs="Times New Roman"/>
        <w:noProof/>
        <w:sz w:val="22"/>
      </w:rPr>
    </w:sdtEndPr>
    <w:sdtContent>
      <w:p w:rsidR="00FC0976" w:rsidRPr="00FC0976" w:rsidRDefault="00FC0976">
        <w:pPr>
          <w:pStyle w:val="Footer"/>
          <w:jc w:val="right"/>
          <w:rPr>
            <w:rFonts w:ascii="Times New Roman" w:hAnsi="Times New Roman" w:cs="Times New Roman"/>
            <w:sz w:val="22"/>
          </w:rPr>
        </w:pPr>
        <w:r w:rsidRPr="00FC0976">
          <w:rPr>
            <w:rFonts w:ascii="Times New Roman" w:hAnsi="Times New Roman" w:cs="Times New Roman"/>
            <w:sz w:val="22"/>
          </w:rPr>
          <w:fldChar w:fldCharType="begin"/>
        </w:r>
        <w:r w:rsidRPr="00FC0976">
          <w:rPr>
            <w:rFonts w:ascii="Times New Roman" w:hAnsi="Times New Roman" w:cs="Times New Roman"/>
            <w:sz w:val="22"/>
          </w:rPr>
          <w:instrText xml:space="preserve"> PAGE   \* MERGEFORMAT </w:instrText>
        </w:r>
        <w:r w:rsidRPr="00FC0976">
          <w:rPr>
            <w:rFonts w:ascii="Times New Roman" w:hAnsi="Times New Roman" w:cs="Times New Roman"/>
            <w:sz w:val="22"/>
          </w:rPr>
          <w:fldChar w:fldCharType="separate"/>
        </w:r>
        <w:r w:rsidR="00B5056D">
          <w:rPr>
            <w:rFonts w:ascii="Times New Roman" w:hAnsi="Times New Roman" w:cs="Times New Roman"/>
            <w:noProof/>
            <w:sz w:val="22"/>
          </w:rPr>
          <w:t>2</w:t>
        </w:r>
        <w:r w:rsidRPr="00FC0976">
          <w:rPr>
            <w:rFonts w:ascii="Times New Roman" w:hAnsi="Times New Roman" w:cs="Times New Roman"/>
            <w:noProof/>
            <w:sz w:val="22"/>
          </w:rPr>
          <w:fldChar w:fldCharType="end"/>
        </w:r>
      </w:p>
    </w:sdtContent>
  </w:sdt>
  <w:p w:rsidR="00FC0976" w:rsidRDefault="00FC09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777" w:rsidRDefault="00651777" w:rsidP="00A81211">
      <w:pPr>
        <w:spacing w:after="0" w:line="240" w:lineRule="auto"/>
      </w:pPr>
      <w:r>
        <w:separator/>
      </w:r>
    </w:p>
  </w:footnote>
  <w:footnote w:type="continuationSeparator" w:id="0">
    <w:p w:rsidR="00651777" w:rsidRDefault="00651777" w:rsidP="00A81211">
      <w:pPr>
        <w:spacing w:after="0" w:line="240" w:lineRule="auto"/>
      </w:pPr>
      <w:r>
        <w:continuationSeparator/>
      </w:r>
    </w:p>
  </w:footnote>
  <w:footnote w:id="1">
    <w:p w:rsidR="00A81211" w:rsidRPr="00E95452" w:rsidRDefault="00A81211" w:rsidP="00E95452">
      <w:pPr>
        <w:pStyle w:val="FootnoteText"/>
      </w:pPr>
      <w:r w:rsidRPr="00E95452">
        <w:rPr>
          <w:rStyle w:val="FootnoteReference"/>
        </w:rPr>
        <w:footnoteRef/>
      </w:r>
      <w:r w:rsidRPr="00E95452">
        <w:t xml:space="preserve"> Northern Ireland Act 1998, section 69(1).</w:t>
      </w:r>
    </w:p>
  </w:footnote>
  <w:footnote w:id="2">
    <w:p w:rsidR="00F42DFF" w:rsidRPr="00E95452" w:rsidRDefault="00F42DFF" w:rsidP="00E95452">
      <w:pPr>
        <w:pStyle w:val="FootnoteText"/>
      </w:pPr>
      <w:r w:rsidRPr="00E95452">
        <w:rPr>
          <w:rStyle w:val="FootnoteReference"/>
        </w:rPr>
        <w:footnoteRef/>
      </w:r>
      <w:r w:rsidRPr="00E95452">
        <w:t xml:space="preserve"> The UK ratified the ECHR in 1951.</w:t>
      </w:r>
    </w:p>
  </w:footnote>
  <w:footnote w:id="3">
    <w:p w:rsidR="00A81211" w:rsidRPr="00E95452" w:rsidRDefault="00A81211" w:rsidP="00E95452">
      <w:pPr>
        <w:pStyle w:val="FootnoteText"/>
      </w:pPr>
      <w:r w:rsidRPr="00E95452">
        <w:rPr>
          <w:rStyle w:val="FootnoteReference"/>
        </w:rPr>
        <w:footnoteRef/>
      </w:r>
      <w:r w:rsidRPr="00E95452">
        <w:t xml:space="preserve"> </w:t>
      </w:r>
      <w:proofErr w:type="gramStart"/>
      <w:r w:rsidRPr="00E95452">
        <w:rPr>
          <w:rFonts w:cs="Times New Roman"/>
        </w:rPr>
        <w:t>Ratified by the UK in 1991.</w:t>
      </w:r>
      <w:proofErr w:type="gramEnd"/>
    </w:p>
  </w:footnote>
  <w:footnote w:id="4">
    <w:p w:rsidR="00A81211" w:rsidRPr="00E95452" w:rsidRDefault="00A81211" w:rsidP="00E95452">
      <w:pPr>
        <w:pStyle w:val="FootnoteText"/>
      </w:pPr>
      <w:r w:rsidRPr="00E95452">
        <w:rPr>
          <w:rStyle w:val="FootnoteReference"/>
        </w:rPr>
        <w:footnoteRef/>
      </w:r>
      <w:r w:rsidRPr="00E95452">
        <w:t xml:space="preserve"> </w:t>
      </w:r>
      <w:proofErr w:type="gramStart"/>
      <w:r w:rsidRPr="00E95452">
        <w:t>Ratified by the UK in 2009.</w:t>
      </w:r>
      <w:proofErr w:type="gramEnd"/>
    </w:p>
  </w:footnote>
  <w:footnote w:id="5">
    <w:p w:rsidR="009F1F96" w:rsidRPr="00E95452" w:rsidRDefault="009F1F96" w:rsidP="00E95452">
      <w:pPr>
        <w:pStyle w:val="FootnoteText"/>
      </w:pPr>
      <w:r w:rsidRPr="00E95452">
        <w:rPr>
          <w:rStyle w:val="FootnoteReference"/>
        </w:rPr>
        <w:footnoteRef/>
      </w:r>
      <w:r w:rsidRPr="00E95452">
        <w:t xml:space="preserve"> </w:t>
      </w:r>
      <w:r w:rsidRPr="00E95452">
        <w:rPr>
          <w:rFonts w:cs="Times New Roman"/>
        </w:rPr>
        <w:t>In addition, the Northern Ireland Act 1998, section 26 (1) provides that ‘if the Secretary of State considers that any action proposed to be taken by a Minister or Northern Ireland department would be incompatible with any international obligations... he may by order direct that the proposed action shall not be taken’. Moreover the Northern Ireland Act 1998, section 24(1) states that ‘a Minister or Northern Ireland department has no power to make, confirm or approve any subordinate legislation, or to do any act, so far as the legislation or act – (a) is incompatible with any of the Convention rights’.</w:t>
      </w:r>
    </w:p>
  </w:footnote>
  <w:footnote w:id="6">
    <w:p w:rsidR="00306B81" w:rsidRDefault="00306B81" w:rsidP="00306B81">
      <w:pPr>
        <w:pStyle w:val="FootnoteText"/>
      </w:pPr>
      <w:r>
        <w:rPr>
          <w:rStyle w:val="FootnoteReference"/>
        </w:rPr>
        <w:footnoteRef/>
      </w:r>
      <w:r>
        <w:t xml:space="preserve"> </w:t>
      </w:r>
      <w:r w:rsidRPr="003C2433">
        <w:t>UN Committee on the Rights of the Child, Concluding observations on the fifth periodic report of the United Kingdom of Great Britain and Northern Ireland, CRC/C/GBR/CO/5, 12 July 2016</w:t>
      </w:r>
    </w:p>
  </w:footnote>
  <w:footnote w:id="7">
    <w:p w:rsidR="00624BBB" w:rsidRDefault="00624BBB">
      <w:pPr>
        <w:pStyle w:val="FootnoteText"/>
      </w:pPr>
      <w:r>
        <w:rPr>
          <w:rStyle w:val="FootnoteReference"/>
        </w:rPr>
        <w:footnoteRef/>
      </w:r>
      <w:r>
        <w:t xml:space="preserve"> UN CRC Committee General comment no. 5 (2003): General measures of implementation of the Convention on the Rights of the Child </w:t>
      </w:r>
      <w:r w:rsidRPr="00624BBB">
        <w:t>27 November 2003</w:t>
      </w:r>
      <w:r>
        <w:t xml:space="preserve"> para 29</w:t>
      </w:r>
    </w:p>
  </w:footnote>
  <w:footnote w:id="8">
    <w:p w:rsidR="00306B81" w:rsidRDefault="00306B81" w:rsidP="00306B81">
      <w:pPr>
        <w:pStyle w:val="FootnoteText"/>
      </w:pPr>
      <w:r>
        <w:rPr>
          <w:rStyle w:val="FootnoteReference"/>
        </w:rPr>
        <w:footnoteRef/>
      </w:r>
      <w:r>
        <w:t xml:space="preserve"> </w:t>
      </w:r>
      <w:r w:rsidRPr="00113385">
        <w:t>UN Committee on the Rights of the Child, Concluding observations on the fifth periodic report of the United Kingdom of Great Britain and Northern Ireland, CRC/C/GBR/CO/5, 12 July 2016</w:t>
      </w:r>
    </w:p>
  </w:footnote>
  <w:footnote w:id="9">
    <w:p w:rsidR="00306B81" w:rsidRDefault="00306B81" w:rsidP="00306B81">
      <w:pPr>
        <w:pStyle w:val="FootnoteText"/>
      </w:pPr>
      <w:r>
        <w:rPr>
          <w:rStyle w:val="FootnoteReference"/>
        </w:rPr>
        <w:footnoteRef/>
      </w:r>
      <w:r>
        <w:t xml:space="preserve"> UN Office of the High Commissioner for Human Rights, Developing National  Action Plans Against Racial Discrimination: A Practical Guide (2014), p. 94, </w:t>
      </w:r>
      <w:hyperlink r:id="rId1" w:history="1">
        <w:r w:rsidRPr="00B136BA">
          <w:rPr>
            <w:rStyle w:val="Hyperlink1"/>
          </w:rPr>
          <w:t>http://www.ohchr.org/Documents/Publications/HR-PUB-13-03.pdf</w:t>
        </w:r>
      </w:hyperlink>
      <w:r>
        <w:t xml:space="preserve">. </w:t>
      </w:r>
    </w:p>
  </w:footnote>
  <w:footnote w:id="10">
    <w:p w:rsidR="00624BBB" w:rsidRDefault="00624BBB">
      <w:pPr>
        <w:pStyle w:val="FootnoteText"/>
      </w:pPr>
      <w:r>
        <w:rPr>
          <w:rStyle w:val="FootnoteReference"/>
        </w:rPr>
        <w:footnoteRef/>
      </w:r>
      <w:r>
        <w:t xml:space="preserve"> </w:t>
      </w:r>
      <w:r w:rsidRPr="00624BBB">
        <w:t>UN CRC Committee General comment no. 5 (2003): General measures of implementation of the Convention on the Rights of the Child 27 November 2003 para</w:t>
      </w:r>
      <w:r>
        <w:t xml:space="preserve"> 32</w:t>
      </w:r>
    </w:p>
  </w:footnote>
  <w:footnote w:id="11">
    <w:p w:rsidR="00306B81" w:rsidRDefault="00306B81" w:rsidP="00306B81">
      <w:pPr>
        <w:pStyle w:val="FootnoteText"/>
      </w:pPr>
      <w:r>
        <w:rPr>
          <w:rStyle w:val="FootnoteReference"/>
        </w:rPr>
        <w:footnoteRef/>
      </w:r>
      <w:r>
        <w:t xml:space="preserve"> </w:t>
      </w:r>
      <w:proofErr w:type="gramStart"/>
      <w:r>
        <w:t>Department of Education ‘Children and Young People’s Strategy 2017-2027’ December 2016, para.</w:t>
      </w:r>
      <w:proofErr w:type="gramEnd"/>
      <w:r>
        <w:t xml:space="preserve"> 6.4.25.</w:t>
      </w:r>
    </w:p>
  </w:footnote>
  <w:footnote w:id="12">
    <w:p w:rsidR="00306B81" w:rsidRDefault="00306B81" w:rsidP="00306B81">
      <w:pPr>
        <w:pStyle w:val="FootnoteText"/>
      </w:pPr>
      <w:r>
        <w:rPr>
          <w:rStyle w:val="FootnoteReference"/>
        </w:rPr>
        <w:footnoteRef/>
      </w:r>
      <w:r>
        <w:t xml:space="preserve"> </w:t>
      </w:r>
      <w:r w:rsidRPr="001E5325">
        <w:t xml:space="preserve">UN Office of the High Commissioner for Human Rights, Developing </w:t>
      </w:r>
      <w:proofErr w:type="gramStart"/>
      <w:r w:rsidRPr="001E5325">
        <w:t>National  Action</w:t>
      </w:r>
      <w:proofErr w:type="gramEnd"/>
      <w:r w:rsidRPr="001E5325">
        <w:t xml:space="preserve"> Plans Against Racial Discrimination: A Practical Guide (2014)</w:t>
      </w:r>
      <w:r>
        <w:t>, p. 96.</w:t>
      </w:r>
    </w:p>
  </w:footnote>
  <w:footnote w:id="13">
    <w:p w:rsidR="00306B81" w:rsidRDefault="00306B81" w:rsidP="00306B81">
      <w:pPr>
        <w:pStyle w:val="FootnoteText"/>
      </w:pPr>
      <w:r>
        <w:rPr>
          <w:rStyle w:val="FootnoteReference"/>
        </w:rPr>
        <w:footnoteRef/>
      </w:r>
      <w:r>
        <w:t xml:space="preserve"> </w:t>
      </w:r>
      <w:proofErr w:type="gramStart"/>
      <w:r w:rsidRPr="001E5325">
        <w:t>Department of Education ‘Children and Young People’s Strategy 2017-2027’ December 2016</w:t>
      </w:r>
      <w:r>
        <w:t>, para.</w:t>
      </w:r>
      <w:proofErr w:type="gramEnd"/>
      <w:r>
        <w:t xml:space="preserve"> 6.7.26.</w:t>
      </w:r>
    </w:p>
  </w:footnote>
  <w:footnote w:id="14">
    <w:p w:rsidR="00306B81" w:rsidRDefault="00306B81" w:rsidP="00306B81">
      <w:pPr>
        <w:pStyle w:val="FootnoteText"/>
      </w:pPr>
      <w:r>
        <w:rPr>
          <w:rStyle w:val="FootnoteReference"/>
        </w:rPr>
        <w:footnoteRef/>
      </w:r>
      <w:r>
        <w:t xml:space="preserve"> </w:t>
      </w:r>
      <w:r w:rsidRPr="003C2433">
        <w:t>UN Committee on the Rights of the Child, Concluding observations on the fifth periodic report of the United Kingdom of Great Britain and Northern Ireland, CRC/C/GBR/CO/5, 12 July 2016, paras 10(a) and 14.</w:t>
      </w:r>
    </w:p>
  </w:footnote>
  <w:footnote w:id="15">
    <w:p w:rsidR="00306B81" w:rsidRDefault="00306B81" w:rsidP="00306B81">
      <w:pPr>
        <w:pStyle w:val="FootnoteText"/>
      </w:pPr>
      <w:r>
        <w:rPr>
          <w:rStyle w:val="FootnoteReference"/>
        </w:rPr>
        <w:footnoteRef/>
      </w:r>
      <w:r>
        <w:t xml:space="preserve"> </w:t>
      </w:r>
      <w:r w:rsidRPr="000D038C">
        <w:t>AQO 9789/11-16</w:t>
      </w:r>
      <w:r>
        <w:t xml:space="preserve"> 25.02.2016</w:t>
      </w:r>
    </w:p>
  </w:footnote>
  <w:footnote w:id="16">
    <w:p w:rsidR="00306B81" w:rsidRDefault="00306B81" w:rsidP="00306B81">
      <w:pPr>
        <w:pStyle w:val="FootnoteText"/>
      </w:pPr>
      <w:r>
        <w:rPr>
          <w:rStyle w:val="FootnoteReference"/>
        </w:rPr>
        <w:footnoteRef/>
      </w:r>
      <w:r>
        <w:t xml:space="preserve"> UN Committee on the Rights of the Child, Concluding observations on the fifth periodic report of the United Kingdom of Great Britain and Northern Ireland, CRC/C/GBR/CO/5, 12 July 2016, paras 10(a) and 14.</w:t>
      </w:r>
    </w:p>
  </w:footnote>
  <w:footnote w:id="17">
    <w:p w:rsidR="00FD308D" w:rsidRDefault="00FD308D" w:rsidP="00FD308D">
      <w:pPr>
        <w:pStyle w:val="FootnoteText"/>
      </w:pPr>
      <w:r>
        <w:rPr>
          <w:rStyle w:val="FootnoteReference"/>
        </w:rPr>
        <w:footnoteRef/>
      </w:r>
      <w:r>
        <w:t xml:space="preserve"> R&amp;S Bulletin 23/2016 Adult and Youth Reoffending in Northern Ireland (Cohort 2013/14) Date published:  26 August 2016</w:t>
      </w:r>
    </w:p>
  </w:footnote>
  <w:footnote w:id="18">
    <w:p w:rsidR="00306B81" w:rsidRDefault="00306B81" w:rsidP="00306B81">
      <w:pPr>
        <w:pStyle w:val="FootnoteText"/>
      </w:pPr>
      <w:r>
        <w:rPr>
          <w:rStyle w:val="FootnoteReference"/>
        </w:rPr>
        <w:footnoteRef/>
      </w:r>
      <w:r>
        <w:t xml:space="preserve"> </w:t>
      </w:r>
      <w:r w:rsidRPr="007033C5">
        <w:t>UN Committee on the Rights of the Child, Concluding observations on the fifth periodic report of the United Kingdom of Great Britain and Northern Ireland, CRC/C/GBR/CO/5, 12 July 2016</w:t>
      </w:r>
      <w:r>
        <w:t xml:space="preserve">, para. </w:t>
      </w:r>
      <w:proofErr w:type="gramStart"/>
      <w:r>
        <w:t>43(b).</w:t>
      </w:r>
      <w:proofErr w:type="gramEnd"/>
    </w:p>
  </w:footnote>
  <w:footnote w:id="19">
    <w:p w:rsidR="00306B81" w:rsidRDefault="00306B81" w:rsidP="00306B81">
      <w:pPr>
        <w:pStyle w:val="FootnoteText"/>
      </w:pPr>
      <w:r>
        <w:rPr>
          <w:rStyle w:val="FootnoteReference"/>
        </w:rPr>
        <w:footnoteRef/>
      </w:r>
      <w:r>
        <w:t xml:space="preserve"> </w:t>
      </w:r>
      <w:proofErr w:type="gramStart"/>
      <w:r>
        <w:t>UNCRC, General Comment No. 15 (2013) on the right of the child to the enjoyment of the highest attainable standard of health (art. 24), CRC/C/GC/15, 17 April 2013, p. 3.</w:t>
      </w:r>
      <w:proofErr w:type="gramEnd"/>
    </w:p>
  </w:footnote>
  <w:footnote w:id="20">
    <w:p w:rsidR="00306B81" w:rsidRDefault="00306B81" w:rsidP="00306B81">
      <w:pPr>
        <w:pStyle w:val="FootnoteText"/>
      </w:pPr>
      <w:r>
        <w:rPr>
          <w:rStyle w:val="FootnoteReference"/>
        </w:rPr>
        <w:footnoteRef/>
      </w:r>
      <w:r>
        <w:t xml:space="preserve"> UNCRC, General Comment No. 15 (2013), p. 9.</w:t>
      </w:r>
    </w:p>
  </w:footnote>
  <w:footnote w:id="21">
    <w:p w:rsidR="00306B81" w:rsidRDefault="00306B81" w:rsidP="00306B81">
      <w:pPr>
        <w:pStyle w:val="FootnoteText"/>
      </w:pPr>
      <w:r>
        <w:rPr>
          <w:rStyle w:val="FootnoteReference"/>
        </w:rPr>
        <w:footnoteRef/>
      </w:r>
      <w:r>
        <w:t xml:space="preserve"> </w:t>
      </w:r>
      <w:r w:rsidRPr="007033C5">
        <w:t>UN Committee on the Rights of the Child, Concluding observations on the fifth periodic report of the United Kingdom of Great Britain and Northern Ireland, CRC/C/GBR/CO/5, 12 July 2016</w:t>
      </w:r>
      <w:r>
        <w:t>, para. 13.</w:t>
      </w:r>
    </w:p>
  </w:footnote>
  <w:footnote w:id="22">
    <w:p w:rsidR="002F4C86" w:rsidRDefault="002F4C86">
      <w:pPr>
        <w:pStyle w:val="FootnoteText"/>
      </w:pPr>
      <w:r>
        <w:rPr>
          <w:rStyle w:val="FootnoteReference"/>
        </w:rPr>
        <w:footnoteRef/>
      </w:r>
      <w:r>
        <w:t xml:space="preserve"> </w:t>
      </w:r>
      <w:proofErr w:type="gramStart"/>
      <w:r w:rsidRPr="002F4C86">
        <w:t>UNCRC, General Comment No. 15 (2013) on the right of the child to the enjoyment of the highest attainable standard of health (art. 24), CRC/C/GC/15, 17 April 2013, p.</w:t>
      </w:r>
      <w:proofErr w:type="gramEnd"/>
    </w:p>
  </w:footnote>
  <w:footnote w:id="23">
    <w:p w:rsidR="00306B81" w:rsidRDefault="00306B81" w:rsidP="00306B81">
      <w:pPr>
        <w:pStyle w:val="FootnoteText"/>
      </w:pPr>
      <w:r>
        <w:rPr>
          <w:rStyle w:val="FootnoteReference"/>
        </w:rPr>
        <w:footnoteRef/>
      </w:r>
      <w:r>
        <w:t xml:space="preserve"> Article 24(2) CRC.</w:t>
      </w:r>
    </w:p>
  </w:footnote>
  <w:footnote w:id="24">
    <w:p w:rsidR="00306B81" w:rsidRDefault="00306B81" w:rsidP="00306B81">
      <w:pPr>
        <w:pStyle w:val="FootnoteText"/>
      </w:pPr>
      <w:r>
        <w:rPr>
          <w:rStyle w:val="FootnoteReference"/>
        </w:rPr>
        <w:footnoteRef/>
      </w:r>
      <w:r>
        <w:t xml:space="preserve"> </w:t>
      </w:r>
      <w:proofErr w:type="gramStart"/>
      <w:r w:rsidRPr="001E5325">
        <w:t>Department of Education ‘Children and Young People’s Strategy 2017-2027’ December 2016</w:t>
      </w:r>
      <w:r>
        <w:t>, para.</w:t>
      </w:r>
      <w:proofErr w:type="gramEnd"/>
      <w:r>
        <w:t xml:space="preserve"> 6.4.17.</w:t>
      </w:r>
    </w:p>
  </w:footnote>
  <w:footnote w:id="25">
    <w:p w:rsidR="00306B81" w:rsidRDefault="00306B81" w:rsidP="00306B81">
      <w:pPr>
        <w:pStyle w:val="FootnoteText"/>
      </w:pPr>
      <w:r>
        <w:rPr>
          <w:rStyle w:val="FootnoteReference"/>
        </w:rPr>
        <w:footnoteRef/>
      </w:r>
      <w:r>
        <w:t xml:space="preserve"> </w:t>
      </w:r>
      <w:proofErr w:type="gramStart"/>
      <w:r w:rsidRPr="001E5325">
        <w:t>Department of Education ‘Children and Young People’s Strategy 2017-2027’ December 2016</w:t>
      </w:r>
      <w:r>
        <w:t>, para.</w:t>
      </w:r>
      <w:proofErr w:type="gramEnd"/>
      <w:r>
        <w:t xml:space="preserve"> 6.4.25.</w:t>
      </w:r>
    </w:p>
  </w:footnote>
  <w:footnote w:id="26">
    <w:p w:rsidR="00306B81" w:rsidRDefault="00306B81" w:rsidP="00306B81">
      <w:pPr>
        <w:pStyle w:val="FootnoteText"/>
      </w:pPr>
      <w:r>
        <w:rPr>
          <w:rStyle w:val="FootnoteReference"/>
        </w:rPr>
        <w:footnoteRef/>
      </w:r>
      <w:r>
        <w:t xml:space="preserve"> </w:t>
      </w:r>
      <w:proofErr w:type="gramStart"/>
      <w:r w:rsidRPr="001E5325">
        <w:t>Department of Education ‘Children and Young People’s Strategy 2017-2027’ December 2016</w:t>
      </w:r>
      <w:r>
        <w:t>, para.</w:t>
      </w:r>
      <w:proofErr w:type="gramEnd"/>
      <w:r>
        <w:t xml:space="preserve"> 6.4.11.</w:t>
      </w:r>
    </w:p>
  </w:footnote>
  <w:footnote w:id="27">
    <w:p w:rsidR="00306B81" w:rsidRDefault="00306B81" w:rsidP="00306B81">
      <w:pPr>
        <w:pStyle w:val="FootnoteText"/>
      </w:pPr>
      <w:r>
        <w:rPr>
          <w:rStyle w:val="FootnoteReference"/>
        </w:rPr>
        <w:footnoteRef/>
      </w:r>
      <w:r>
        <w:t xml:space="preserve"> </w:t>
      </w:r>
      <w:r w:rsidRPr="007033C5">
        <w:t>UN Committee on the Rights of the Child, Concluding observations on the fifth periodic report of the United Kingdom of Great Britain and Northern Ireland, CRC/C/GBR/CO/5, 12 July 2016</w:t>
      </w:r>
      <w:r>
        <w:t>, para. 58.</w:t>
      </w:r>
    </w:p>
  </w:footnote>
  <w:footnote w:id="28">
    <w:p w:rsidR="00306B81" w:rsidRDefault="00306B81" w:rsidP="00306B81">
      <w:pPr>
        <w:pStyle w:val="FootnoteText"/>
      </w:pPr>
      <w:r>
        <w:rPr>
          <w:rStyle w:val="FootnoteReference"/>
        </w:rPr>
        <w:footnoteRef/>
      </w:r>
      <w:r>
        <w:t xml:space="preserve"> </w:t>
      </w:r>
      <w:r w:rsidRPr="007033C5">
        <w:t>UN Committee on the Rights of the Child, Concluding observations on the fifth periodic report of the United Kingdom of Great Britain and Northern Ireland, CRC/C/GBR/CO/5, 12 July 2016</w:t>
      </w:r>
      <w:r>
        <w:t>, para. 59.</w:t>
      </w:r>
    </w:p>
  </w:footnote>
  <w:footnote w:id="29">
    <w:p w:rsidR="00306B81" w:rsidRDefault="00306B81" w:rsidP="00306B81">
      <w:pPr>
        <w:pStyle w:val="FootnoteText"/>
      </w:pPr>
      <w:r>
        <w:rPr>
          <w:rStyle w:val="FootnoteReference"/>
        </w:rPr>
        <w:footnoteRef/>
      </w:r>
      <w:r>
        <w:t xml:space="preserve"> </w:t>
      </w:r>
      <w:r w:rsidRPr="007033C5">
        <w:t>UN Committee on the Rights of the Child, Concluding observations on the fifth periodic report of the United Kingdom of Great Britain and Northern Ireland, CRC/C/GBR/CO/5, 12 July 2016</w:t>
      </w:r>
      <w:r>
        <w:t>, para. 64.</w:t>
      </w:r>
    </w:p>
  </w:footnote>
  <w:footnote w:id="30">
    <w:p w:rsidR="00306B81" w:rsidRDefault="00306B81" w:rsidP="00306B81">
      <w:pPr>
        <w:pStyle w:val="FootnoteText"/>
      </w:pPr>
      <w:r>
        <w:rPr>
          <w:rStyle w:val="FootnoteReference"/>
        </w:rPr>
        <w:footnoteRef/>
      </w:r>
      <w:r>
        <w:t xml:space="preserve"> </w:t>
      </w:r>
      <w:r w:rsidRPr="00AA4D96">
        <w:t>AQW 5801/16-21</w:t>
      </w:r>
    </w:p>
  </w:footnote>
  <w:footnote w:id="31">
    <w:p w:rsidR="00306B81" w:rsidRDefault="00306B81" w:rsidP="00306B81">
      <w:pPr>
        <w:pStyle w:val="FootnoteText"/>
      </w:pPr>
      <w:r>
        <w:rPr>
          <w:rStyle w:val="FootnoteReference"/>
        </w:rPr>
        <w:footnoteRef/>
      </w:r>
      <w:r>
        <w:t xml:space="preserve"> </w:t>
      </w:r>
      <w:r w:rsidRPr="007033C5">
        <w:t>UN Committee on the Rights of the Child, Concluding observations on the fifth periodic report of the United Kingdom of Great Britain and Northern Ireland, CRC/C/GBR/CO/5, 12 July 2016</w:t>
      </w:r>
      <w:r>
        <w:t>, para. 39(a)</w:t>
      </w:r>
    </w:p>
  </w:footnote>
  <w:footnote w:id="32">
    <w:p w:rsidR="00306B81" w:rsidRDefault="00306B81" w:rsidP="00306B81">
      <w:pPr>
        <w:pStyle w:val="FootnoteText"/>
      </w:pPr>
      <w:r>
        <w:rPr>
          <w:rStyle w:val="FootnoteReference"/>
        </w:rPr>
        <w:footnoteRef/>
      </w:r>
      <w:r>
        <w:t xml:space="preserve"> </w:t>
      </w:r>
      <w:r w:rsidRPr="007033C5">
        <w:t>UN Committee on the Rights of the Child, Concluding observations on the fifth periodic report of the United Kingdom of Great Britain and Northern Ireland, CRC/C/GBR/CO/5, 12 July 2016</w:t>
      </w:r>
      <w:r>
        <w:t>, para. 45.</w:t>
      </w:r>
    </w:p>
  </w:footnote>
  <w:footnote w:id="33">
    <w:p w:rsidR="00306B81" w:rsidRDefault="00306B81" w:rsidP="00306B81">
      <w:pPr>
        <w:pStyle w:val="FootnoteText"/>
      </w:pPr>
      <w:r>
        <w:rPr>
          <w:rStyle w:val="FootnoteReference"/>
        </w:rPr>
        <w:footnoteRef/>
      </w:r>
      <w:r>
        <w:t xml:space="preserve"> </w:t>
      </w:r>
      <w:proofErr w:type="gramStart"/>
      <w:r w:rsidRPr="001E5325">
        <w:t>Department of Education ‘Children and Young People’s Strategy 2017-2027’ December 2016</w:t>
      </w:r>
      <w:r>
        <w:t>, para.</w:t>
      </w:r>
      <w:proofErr w:type="gramEnd"/>
      <w:r>
        <w:t xml:space="preserve"> 6.7.14.</w:t>
      </w:r>
    </w:p>
  </w:footnote>
  <w:footnote w:id="34">
    <w:p w:rsidR="00306B81" w:rsidRDefault="00306B81" w:rsidP="00306B81">
      <w:pPr>
        <w:pStyle w:val="FootnoteText"/>
      </w:pPr>
      <w:r>
        <w:rPr>
          <w:rStyle w:val="FootnoteReference"/>
        </w:rPr>
        <w:footnoteRef/>
      </w:r>
      <w:r>
        <w:t xml:space="preserve"> </w:t>
      </w:r>
      <w:r w:rsidRPr="00290369">
        <w:t>Department of Justice, Department of Education and Department of Health, Tackling Child Sexual Exploitation in Northern Ireland: First Composite CSE Implementation Plan Progress Report 1st April 2015 to 30th September 2015, August 2016, p. 14</w:t>
      </w:r>
    </w:p>
  </w:footnote>
  <w:footnote w:id="35">
    <w:p w:rsidR="00306B81" w:rsidRDefault="00306B81" w:rsidP="00306B81">
      <w:pPr>
        <w:pStyle w:val="FootnoteText"/>
      </w:pPr>
      <w:r>
        <w:rPr>
          <w:rStyle w:val="FootnoteReference"/>
        </w:rPr>
        <w:footnoteRef/>
      </w:r>
      <w:r>
        <w:t xml:space="preserve"> </w:t>
      </w:r>
      <w:r w:rsidRPr="00A649AE">
        <w:t>Kathleen Marshall, ‘Child Sexual Exploitation in Northern Ireland Report of the Independent Inquiry’, November 2014</w:t>
      </w:r>
      <w:r>
        <w:t xml:space="preserve"> p. 70 </w:t>
      </w:r>
    </w:p>
  </w:footnote>
  <w:footnote w:id="36">
    <w:p w:rsidR="00A252FA" w:rsidRPr="00DF2DC6" w:rsidRDefault="00A252FA" w:rsidP="00A252FA">
      <w:pPr>
        <w:pStyle w:val="FootnoteText"/>
      </w:pPr>
      <w:r>
        <w:rPr>
          <w:rStyle w:val="FootnoteReference"/>
        </w:rPr>
        <w:footnoteRef/>
      </w:r>
      <w:r>
        <w:t xml:space="preserve"> CRC, Article 3(2). </w:t>
      </w:r>
    </w:p>
  </w:footnote>
  <w:footnote w:id="37">
    <w:p w:rsidR="00A252FA" w:rsidRPr="00DF2DC6" w:rsidRDefault="00A252FA" w:rsidP="00A252FA">
      <w:pPr>
        <w:pStyle w:val="FootnoteText"/>
      </w:pPr>
      <w:r>
        <w:rPr>
          <w:rStyle w:val="FootnoteReference"/>
        </w:rPr>
        <w:footnoteRef/>
      </w:r>
      <w:r>
        <w:t xml:space="preserve"> CRC, Article 16. </w:t>
      </w:r>
    </w:p>
  </w:footnote>
  <w:footnote w:id="38">
    <w:p w:rsidR="00A252FA" w:rsidRPr="00DF2DC6" w:rsidRDefault="00A252FA" w:rsidP="00A252FA">
      <w:pPr>
        <w:pStyle w:val="FootnoteText"/>
      </w:pPr>
      <w:r>
        <w:rPr>
          <w:rStyle w:val="FootnoteReference"/>
        </w:rPr>
        <w:footnoteRef/>
      </w:r>
      <w:r>
        <w:t xml:space="preserve"> CRC, Article 17(e). </w:t>
      </w:r>
    </w:p>
  </w:footnote>
  <w:footnote w:id="39">
    <w:p w:rsidR="00A252FA" w:rsidRPr="00C57FE5" w:rsidRDefault="00A252FA" w:rsidP="00A252FA">
      <w:pPr>
        <w:pStyle w:val="FootnoteText"/>
        <w:tabs>
          <w:tab w:val="right" w:pos="142"/>
        </w:tabs>
        <w:ind w:left="142"/>
      </w:pPr>
      <w:r>
        <w:rPr>
          <w:rStyle w:val="FootnoteReference"/>
        </w:rPr>
        <w:footnoteRef/>
      </w:r>
      <w:r>
        <w:t xml:space="preserve"> </w:t>
      </w:r>
      <w:r w:rsidRPr="00D024D8">
        <w:t>Concluding observations on the fifth periodic report of the United Kingdom of Great Britain and Northern Ireland* CRC/C/GBR/CO/5</w:t>
      </w:r>
      <w:r>
        <w:t xml:space="preserve"> </w:t>
      </w:r>
      <w:r w:rsidRPr="00D024D8">
        <w:t>12 July 2016</w:t>
      </w:r>
      <w:r>
        <w:t xml:space="preserve"> para 49 (b)</w:t>
      </w:r>
    </w:p>
  </w:footnote>
  <w:footnote w:id="40">
    <w:p w:rsidR="00306B81" w:rsidRDefault="00306B81" w:rsidP="00306B81">
      <w:pPr>
        <w:pStyle w:val="FootnoteText"/>
      </w:pPr>
      <w:r>
        <w:rPr>
          <w:rStyle w:val="FootnoteReference"/>
        </w:rPr>
        <w:footnoteRef/>
      </w:r>
      <w:r>
        <w:t xml:space="preserve"> </w:t>
      </w:r>
      <w:proofErr w:type="gramStart"/>
      <w:r w:rsidRPr="001E5325">
        <w:t>Department of Education ‘Children and Young People’s Strategy 2017-2027’ December 2016</w:t>
      </w:r>
      <w:r>
        <w:t>, para.</w:t>
      </w:r>
      <w:proofErr w:type="gramEnd"/>
      <w:r>
        <w:t xml:space="preserve"> 6.7.22.</w:t>
      </w:r>
    </w:p>
  </w:footnote>
  <w:footnote w:id="41">
    <w:p w:rsidR="00306B81" w:rsidRDefault="00306B81" w:rsidP="00306B81">
      <w:pPr>
        <w:pStyle w:val="FootnoteText"/>
      </w:pPr>
      <w:r>
        <w:rPr>
          <w:rStyle w:val="FootnoteReference"/>
        </w:rPr>
        <w:footnoteRef/>
      </w:r>
      <w:r>
        <w:t xml:space="preserve"> </w:t>
      </w:r>
      <w:r w:rsidRPr="007033C5">
        <w:t>UN Committee on the Rights of the Child, Concluding observations on the fifth periodic report of the United Kingdom of Great Britain and Northern Ireland, CRC/C/GBR/CO/5, 12 July 2016</w:t>
      </w:r>
      <w:r>
        <w:t xml:space="preserve">, para, 48 (c) </w:t>
      </w:r>
    </w:p>
  </w:footnote>
  <w:footnote w:id="42">
    <w:p w:rsidR="00306B81" w:rsidRDefault="00306B81" w:rsidP="00306B81">
      <w:pPr>
        <w:pStyle w:val="FootnoteText"/>
      </w:pPr>
      <w:r>
        <w:rPr>
          <w:rStyle w:val="FootnoteReference"/>
        </w:rPr>
        <w:footnoteRef/>
      </w:r>
      <w:r>
        <w:t xml:space="preserve"> NIHRC ‘The Human Rights of Carers in NI’ November 2014 </w:t>
      </w:r>
    </w:p>
  </w:footnote>
  <w:footnote w:id="43">
    <w:p w:rsidR="00306B81" w:rsidRDefault="00306B81" w:rsidP="00306B81">
      <w:pPr>
        <w:pStyle w:val="FootnoteText"/>
      </w:pPr>
      <w:r>
        <w:rPr>
          <w:rStyle w:val="FootnoteReference"/>
        </w:rPr>
        <w:footnoteRef/>
      </w:r>
      <w:r>
        <w:t xml:space="preserve"> Ibid </w:t>
      </w:r>
    </w:p>
  </w:footnote>
  <w:footnote w:id="44">
    <w:p w:rsidR="000655D9" w:rsidRDefault="000655D9" w:rsidP="000655D9">
      <w:pPr>
        <w:pStyle w:val="FootnoteText"/>
      </w:pPr>
      <w:r>
        <w:rPr>
          <w:rStyle w:val="FootnoteReference"/>
        </w:rPr>
        <w:footnoteRef/>
      </w:r>
      <w:r>
        <w:t xml:space="preserve"> </w:t>
      </w:r>
      <w:r w:rsidRPr="007033C5">
        <w:t>UN Committee on the Rights of the Child, Concluding observations on the fifth periodic report of the United Kingdom of Great Britain and Northern Ireland, CRC/C/GBR/CO/5, 12 July 2016</w:t>
      </w:r>
      <w:r>
        <w:t xml:space="preserve">, para. </w:t>
      </w:r>
      <w:proofErr w:type="gramStart"/>
      <w:r>
        <w:t>39(c).</w:t>
      </w:r>
      <w:proofErr w:type="gramEnd"/>
    </w:p>
  </w:footnote>
  <w:footnote w:id="45">
    <w:p w:rsidR="000655D9" w:rsidRDefault="000655D9" w:rsidP="000655D9">
      <w:pPr>
        <w:pStyle w:val="FootnoteText"/>
      </w:pPr>
      <w:r>
        <w:rPr>
          <w:rStyle w:val="FootnoteReference"/>
        </w:rPr>
        <w:footnoteRef/>
      </w:r>
      <w:r>
        <w:t xml:space="preserve"> </w:t>
      </w:r>
      <w:r w:rsidRPr="007033C5">
        <w:t>UN Committee on the Rights of the Child, Concluding observations on the fifth periodic report of the United Kingdom of Great Britain and Northern Ireland, CRC/C/GBR/CO/5, 12 July 2016</w:t>
      </w:r>
      <w:r>
        <w:t>, para. 40.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072DC"/>
    <w:multiLevelType w:val="hybridMultilevel"/>
    <w:tmpl w:val="48E273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43B2A4B"/>
    <w:multiLevelType w:val="hybridMultilevel"/>
    <w:tmpl w:val="7F14CA8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nsid w:val="2F546172"/>
    <w:multiLevelType w:val="hybridMultilevel"/>
    <w:tmpl w:val="4ECEC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B1A21F1"/>
    <w:multiLevelType w:val="hybridMultilevel"/>
    <w:tmpl w:val="B4AC9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0681125"/>
    <w:multiLevelType w:val="hybridMultilevel"/>
    <w:tmpl w:val="E9DE66B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nsid w:val="4EAC7030"/>
    <w:multiLevelType w:val="hybridMultilevel"/>
    <w:tmpl w:val="6206D42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nsid w:val="4EC63529"/>
    <w:multiLevelType w:val="hybridMultilevel"/>
    <w:tmpl w:val="357078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FF776B7"/>
    <w:multiLevelType w:val="hybridMultilevel"/>
    <w:tmpl w:val="C45CB65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51032D11"/>
    <w:multiLevelType w:val="hybridMultilevel"/>
    <w:tmpl w:val="40C88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3"/>
  </w:num>
  <w:num w:numId="4">
    <w:abstractNumId w:val="1"/>
  </w:num>
  <w:num w:numId="5">
    <w:abstractNumId w:val="4"/>
  </w:num>
  <w:num w:numId="6">
    <w:abstractNumId w:val="5"/>
  </w:num>
  <w:num w:numId="7">
    <w:abstractNumId w:val="8"/>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F5B"/>
    <w:rsid w:val="000127F3"/>
    <w:rsid w:val="00026B67"/>
    <w:rsid w:val="00037FB4"/>
    <w:rsid w:val="00042D1E"/>
    <w:rsid w:val="00047C70"/>
    <w:rsid w:val="00052714"/>
    <w:rsid w:val="00053626"/>
    <w:rsid w:val="000655D9"/>
    <w:rsid w:val="00073448"/>
    <w:rsid w:val="0009645A"/>
    <w:rsid w:val="000C0CD4"/>
    <w:rsid w:val="000E5CAD"/>
    <w:rsid w:val="000F41FC"/>
    <w:rsid w:val="00137C57"/>
    <w:rsid w:val="001A0EA0"/>
    <w:rsid w:val="0021137D"/>
    <w:rsid w:val="002269A0"/>
    <w:rsid w:val="00226D71"/>
    <w:rsid w:val="002451EE"/>
    <w:rsid w:val="002902AC"/>
    <w:rsid w:val="002A0B9E"/>
    <w:rsid w:val="002E382A"/>
    <w:rsid w:val="002F4C86"/>
    <w:rsid w:val="00301986"/>
    <w:rsid w:val="00306B81"/>
    <w:rsid w:val="00376381"/>
    <w:rsid w:val="003807A0"/>
    <w:rsid w:val="0039631C"/>
    <w:rsid w:val="003B252C"/>
    <w:rsid w:val="003C09C6"/>
    <w:rsid w:val="003C6CC9"/>
    <w:rsid w:val="003D5DCD"/>
    <w:rsid w:val="003F15A5"/>
    <w:rsid w:val="00420548"/>
    <w:rsid w:val="00425CB3"/>
    <w:rsid w:val="00442849"/>
    <w:rsid w:val="0047610B"/>
    <w:rsid w:val="004804AF"/>
    <w:rsid w:val="00493E02"/>
    <w:rsid w:val="0049632A"/>
    <w:rsid w:val="004A43E7"/>
    <w:rsid w:val="004A765D"/>
    <w:rsid w:val="004D64C7"/>
    <w:rsid w:val="005250CF"/>
    <w:rsid w:val="00553CB3"/>
    <w:rsid w:val="00567F3A"/>
    <w:rsid w:val="005B2472"/>
    <w:rsid w:val="005F5B48"/>
    <w:rsid w:val="006034B6"/>
    <w:rsid w:val="00607CF2"/>
    <w:rsid w:val="00624BBB"/>
    <w:rsid w:val="0062763F"/>
    <w:rsid w:val="00643807"/>
    <w:rsid w:val="00651777"/>
    <w:rsid w:val="006630FF"/>
    <w:rsid w:val="006B0DED"/>
    <w:rsid w:val="006E7CB2"/>
    <w:rsid w:val="00704BA3"/>
    <w:rsid w:val="00712BA8"/>
    <w:rsid w:val="00723743"/>
    <w:rsid w:val="007678A2"/>
    <w:rsid w:val="0078297C"/>
    <w:rsid w:val="0078478A"/>
    <w:rsid w:val="00786D95"/>
    <w:rsid w:val="007940FF"/>
    <w:rsid w:val="007A0416"/>
    <w:rsid w:val="007A32AA"/>
    <w:rsid w:val="007A4D8F"/>
    <w:rsid w:val="007B2552"/>
    <w:rsid w:val="007C3523"/>
    <w:rsid w:val="007F0A9E"/>
    <w:rsid w:val="00811FA9"/>
    <w:rsid w:val="00865421"/>
    <w:rsid w:val="00880EFE"/>
    <w:rsid w:val="00891DDD"/>
    <w:rsid w:val="00893E4B"/>
    <w:rsid w:val="008B217A"/>
    <w:rsid w:val="008D35CF"/>
    <w:rsid w:val="008E1778"/>
    <w:rsid w:val="00937A85"/>
    <w:rsid w:val="00960AA7"/>
    <w:rsid w:val="009B4B31"/>
    <w:rsid w:val="009D2E15"/>
    <w:rsid w:val="009D40D8"/>
    <w:rsid w:val="009F1F96"/>
    <w:rsid w:val="00A17682"/>
    <w:rsid w:val="00A252FA"/>
    <w:rsid w:val="00A27750"/>
    <w:rsid w:val="00A4466B"/>
    <w:rsid w:val="00A45CA1"/>
    <w:rsid w:val="00A81211"/>
    <w:rsid w:val="00AA0644"/>
    <w:rsid w:val="00AA2FD0"/>
    <w:rsid w:val="00AD76A5"/>
    <w:rsid w:val="00B25009"/>
    <w:rsid w:val="00B43C34"/>
    <w:rsid w:val="00B5056D"/>
    <w:rsid w:val="00B52C6C"/>
    <w:rsid w:val="00B867D0"/>
    <w:rsid w:val="00B96F5B"/>
    <w:rsid w:val="00BA1210"/>
    <w:rsid w:val="00BD062F"/>
    <w:rsid w:val="00C15E61"/>
    <w:rsid w:val="00C275FC"/>
    <w:rsid w:val="00C531F9"/>
    <w:rsid w:val="00C543CD"/>
    <w:rsid w:val="00C723A0"/>
    <w:rsid w:val="00C7675A"/>
    <w:rsid w:val="00CA4AB8"/>
    <w:rsid w:val="00CD4E54"/>
    <w:rsid w:val="00CF7E1D"/>
    <w:rsid w:val="00D16512"/>
    <w:rsid w:val="00D349D1"/>
    <w:rsid w:val="00D34D90"/>
    <w:rsid w:val="00D7063E"/>
    <w:rsid w:val="00D93B05"/>
    <w:rsid w:val="00D97BDA"/>
    <w:rsid w:val="00DB5BFB"/>
    <w:rsid w:val="00DF333B"/>
    <w:rsid w:val="00E35807"/>
    <w:rsid w:val="00E418E6"/>
    <w:rsid w:val="00E95452"/>
    <w:rsid w:val="00EA05E4"/>
    <w:rsid w:val="00EA4E7F"/>
    <w:rsid w:val="00EC05EF"/>
    <w:rsid w:val="00EC3655"/>
    <w:rsid w:val="00EC53D6"/>
    <w:rsid w:val="00EE1A74"/>
    <w:rsid w:val="00EF01BE"/>
    <w:rsid w:val="00F40D60"/>
    <w:rsid w:val="00F41333"/>
    <w:rsid w:val="00F41871"/>
    <w:rsid w:val="00F42DFF"/>
    <w:rsid w:val="00F477A2"/>
    <w:rsid w:val="00F52557"/>
    <w:rsid w:val="00F62F13"/>
    <w:rsid w:val="00F92C94"/>
    <w:rsid w:val="00FC0976"/>
    <w:rsid w:val="00FC3D32"/>
    <w:rsid w:val="00FD30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5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6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F5B"/>
    <w:rPr>
      <w:rFonts w:ascii="Tahoma" w:hAnsi="Tahoma" w:cs="Tahoma"/>
      <w:sz w:val="16"/>
      <w:szCs w:val="16"/>
    </w:rPr>
  </w:style>
  <w:style w:type="paragraph" w:styleId="ListParagraph">
    <w:name w:val="List Paragraph"/>
    <w:basedOn w:val="Normal"/>
    <w:uiPriority w:val="34"/>
    <w:qFormat/>
    <w:rsid w:val="00A81211"/>
    <w:pPr>
      <w:ind w:left="720"/>
      <w:contextualSpacing/>
    </w:pPr>
  </w:style>
  <w:style w:type="paragraph" w:styleId="FootnoteText">
    <w:name w:val="footnote text"/>
    <w:basedOn w:val="Normal"/>
    <w:link w:val="FootnoteTextChar"/>
    <w:uiPriority w:val="99"/>
    <w:semiHidden/>
    <w:unhideWhenUsed/>
    <w:rsid w:val="00A812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1211"/>
    <w:rPr>
      <w:sz w:val="20"/>
      <w:szCs w:val="20"/>
    </w:rPr>
  </w:style>
  <w:style w:type="character" w:styleId="FootnoteReference">
    <w:name w:val="footnote reference"/>
    <w:basedOn w:val="DefaultParagraphFont"/>
    <w:uiPriority w:val="99"/>
    <w:semiHidden/>
    <w:unhideWhenUsed/>
    <w:rsid w:val="00A81211"/>
    <w:rPr>
      <w:vertAlign w:val="superscript"/>
    </w:rPr>
  </w:style>
  <w:style w:type="character" w:styleId="Hyperlink">
    <w:name w:val="Hyperlink"/>
    <w:basedOn w:val="DefaultParagraphFont"/>
    <w:uiPriority w:val="99"/>
    <w:unhideWhenUsed/>
    <w:rsid w:val="00A81211"/>
    <w:rPr>
      <w:color w:val="0000FF" w:themeColor="hyperlink"/>
      <w:u w:val="single"/>
    </w:rPr>
  </w:style>
  <w:style w:type="character" w:styleId="PlaceholderText">
    <w:name w:val="Placeholder Text"/>
    <w:basedOn w:val="DefaultParagraphFont"/>
    <w:uiPriority w:val="99"/>
    <w:semiHidden/>
    <w:rsid w:val="0078297C"/>
    <w:rPr>
      <w:color w:val="808080"/>
    </w:rPr>
  </w:style>
  <w:style w:type="character" w:styleId="CommentReference">
    <w:name w:val="annotation reference"/>
    <w:basedOn w:val="DefaultParagraphFont"/>
    <w:uiPriority w:val="99"/>
    <w:semiHidden/>
    <w:unhideWhenUsed/>
    <w:rsid w:val="00F40D60"/>
    <w:rPr>
      <w:sz w:val="16"/>
      <w:szCs w:val="16"/>
    </w:rPr>
  </w:style>
  <w:style w:type="paragraph" w:styleId="CommentText">
    <w:name w:val="annotation text"/>
    <w:basedOn w:val="Normal"/>
    <w:link w:val="CommentTextChar"/>
    <w:uiPriority w:val="99"/>
    <w:semiHidden/>
    <w:unhideWhenUsed/>
    <w:rsid w:val="00F40D60"/>
    <w:pPr>
      <w:spacing w:line="240" w:lineRule="auto"/>
    </w:pPr>
    <w:rPr>
      <w:sz w:val="20"/>
      <w:szCs w:val="20"/>
    </w:rPr>
  </w:style>
  <w:style w:type="character" w:customStyle="1" w:styleId="CommentTextChar">
    <w:name w:val="Comment Text Char"/>
    <w:basedOn w:val="DefaultParagraphFont"/>
    <w:link w:val="CommentText"/>
    <w:uiPriority w:val="99"/>
    <w:semiHidden/>
    <w:rsid w:val="00F40D60"/>
    <w:rPr>
      <w:sz w:val="20"/>
      <w:szCs w:val="20"/>
    </w:rPr>
  </w:style>
  <w:style w:type="paragraph" w:styleId="CommentSubject">
    <w:name w:val="annotation subject"/>
    <w:basedOn w:val="CommentText"/>
    <w:next w:val="CommentText"/>
    <w:link w:val="CommentSubjectChar"/>
    <w:uiPriority w:val="99"/>
    <w:semiHidden/>
    <w:unhideWhenUsed/>
    <w:rsid w:val="00F40D60"/>
    <w:rPr>
      <w:b/>
      <w:bCs/>
    </w:rPr>
  </w:style>
  <w:style w:type="character" w:customStyle="1" w:styleId="CommentSubjectChar">
    <w:name w:val="Comment Subject Char"/>
    <w:basedOn w:val="CommentTextChar"/>
    <w:link w:val="CommentSubject"/>
    <w:uiPriority w:val="99"/>
    <w:semiHidden/>
    <w:rsid w:val="00F40D60"/>
    <w:rPr>
      <w:b/>
      <w:bCs/>
      <w:sz w:val="20"/>
      <w:szCs w:val="20"/>
    </w:rPr>
  </w:style>
  <w:style w:type="paragraph" w:styleId="NoSpacing">
    <w:name w:val="No Spacing"/>
    <w:uiPriority w:val="1"/>
    <w:qFormat/>
    <w:rsid w:val="00B867D0"/>
    <w:pPr>
      <w:spacing w:after="0" w:line="240" w:lineRule="auto"/>
    </w:pPr>
  </w:style>
  <w:style w:type="paragraph" w:styleId="Header">
    <w:name w:val="header"/>
    <w:basedOn w:val="Normal"/>
    <w:link w:val="HeaderChar"/>
    <w:uiPriority w:val="99"/>
    <w:unhideWhenUsed/>
    <w:rsid w:val="00FC09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0976"/>
  </w:style>
  <w:style w:type="paragraph" w:styleId="Footer">
    <w:name w:val="footer"/>
    <w:basedOn w:val="Normal"/>
    <w:link w:val="FooterChar"/>
    <w:uiPriority w:val="99"/>
    <w:unhideWhenUsed/>
    <w:rsid w:val="00FC09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0976"/>
  </w:style>
  <w:style w:type="character" w:customStyle="1" w:styleId="Hyperlink1">
    <w:name w:val="Hyperlink1"/>
    <w:basedOn w:val="DefaultParagraphFont"/>
    <w:uiPriority w:val="99"/>
    <w:unhideWhenUsed/>
    <w:rsid w:val="00306B81"/>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5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6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F5B"/>
    <w:rPr>
      <w:rFonts w:ascii="Tahoma" w:hAnsi="Tahoma" w:cs="Tahoma"/>
      <w:sz w:val="16"/>
      <w:szCs w:val="16"/>
    </w:rPr>
  </w:style>
  <w:style w:type="paragraph" w:styleId="ListParagraph">
    <w:name w:val="List Paragraph"/>
    <w:basedOn w:val="Normal"/>
    <w:uiPriority w:val="34"/>
    <w:qFormat/>
    <w:rsid w:val="00A81211"/>
    <w:pPr>
      <w:ind w:left="720"/>
      <w:contextualSpacing/>
    </w:pPr>
  </w:style>
  <w:style w:type="paragraph" w:styleId="FootnoteText">
    <w:name w:val="footnote text"/>
    <w:basedOn w:val="Normal"/>
    <w:link w:val="FootnoteTextChar"/>
    <w:uiPriority w:val="99"/>
    <w:semiHidden/>
    <w:unhideWhenUsed/>
    <w:rsid w:val="00A812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1211"/>
    <w:rPr>
      <w:sz w:val="20"/>
      <w:szCs w:val="20"/>
    </w:rPr>
  </w:style>
  <w:style w:type="character" w:styleId="FootnoteReference">
    <w:name w:val="footnote reference"/>
    <w:basedOn w:val="DefaultParagraphFont"/>
    <w:uiPriority w:val="99"/>
    <w:semiHidden/>
    <w:unhideWhenUsed/>
    <w:rsid w:val="00A81211"/>
    <w:rPr>
      <w:vertAlign w:val="superscript"/>
    </w:rPr>
  </w:style>
  <w:style w:type="character" w:styleId="Hyperlink">
    <w:name w:val="Hyperlink"/>
    <w:basedOn w:val="DefaultParagraphFont"/>
    <w:uiPriority w:val="99"/>
    <w:unhideWhenUsed/>
    <w:rsid w:val="00A81211"/>
    <w:rPr>
      <w:color w:val="0000FF" w:themeColor="hyperlink"/>
      <w:u w:val="single"/>
    </w:rPr>
  </w:style>
  <w:style w:type="character" w:styleId="PlaceholderText">
    <w:name w:val="Placeholder Text"/>
    <w:basedOn w:val="DefaultParagraphFont"/>
    <w:uiPriority w:val="99"/>
    <w:semiHidden/>
    <w:rsid w:val="0078297C"/>
    <w:rPr>
      <w:color w:val="808080"/>
    </w:rPr>
  </w:style>
  <w:style w:type="character" w:styleId="CommentReference">
    <w:name w:val="annotation reference"/>
    <w:basedOn w:val="DefaultParagraphFont"/>
    <w:uiPriority w:val="99"/>
    <w:semiHidden/>
    <w:unhideWhenUsed/>
    <w:rsid w:val="00F40D60"/>
    <w:rPr>
      <w:sz w:val="16"/>
      <w:szCs w:val="16"/>
    </w:rPr>
  </w:style>
  <w:style w:type="paragraph" w:styleId="CommentText">
    <w:name w:val="annotation text"/>
    <w:basedOn w:val="Normal"/>
    <w:link w:val="CommentTextChar"/>
    <w:uiPriority w:val="99"/>
    <w:semiHidden/>
    <w:unhideWhenUsed/>
    <w:rsid w:val="00F40D60"/>
    <w:pPr>
      <w:spacing w:line="240" w:lineRule="auto"/>
    </w:pPr>
    <w:rPr>
      <w:sz w:val="20"/>
      <w:szCs w:val="20"/>
    </w:rPr>
  </w:style>
  <w:style w:type="character" w:customStyle="1" w:styleId="CommentTextChar">
    <w:name w:val="Comment Text Char"/>
    <w:basedOn w:val="DefaultParagraphFont"/>
    <w:link w:val="CommentText"/>
    <w:uiPriority w:val="99"/>
    <w:semiHidden/>
    <w:rsid w:val="00F40D60"/>
    <w:rPr>
      <w:sz w:val="20"/>
      <w:szCs w:val="20"/>
    </w:rPr>
  </w:style>
  <w:style w:type="paragraph" w:styleId="CommentSubject">
    <w:name w:val="annotation subject"/>
    <w:basedOn w:val="CommentText"/>
    <w:next w:val="CommentText"/>
    <w:link w:val="CommentSubjectChar"/>
    <w:uiPriority w:val="99"/>
    <w:semiHidden/>
    <w:unhideWhenUsed/>
    <w:rsid w:val="00F40D60"/>
    <w:rPr>
      <w:b/>
      <w:bCs/>
    </w:rPr>
  </w:style>
  <w:style w:type="character" w:customStyle="1" w:styleId="CommentSubjectChar">
    <w:name w:val="Comment Subject Char"/>
    <w:basedOn w:val="CommentTextChar"/>
    <w:link w:val="CommentSubject"/>
    <w:uiPriority w:val="99"/>
    <w:semiHidden/>
    <w:rsid w:val="00F40D60"/>
    <w:rPr>
      <w:b/>
      <w:bCs/>
      <w:sz w:val="20"/>
      <w:szCs w:val="20"/>
    </w:rPr>
  </w:style>
  <w:style w:type="paragraph" w:styleId="NoSpacing">
    <w:name w:val="No Spacing"/>
    <w:uiPriority w:val="1"/>
    <w:qFormat/>
    <w:rsid w:val="00B867D0"/>
    <w:pPr>
      <w:spacing w:after="0" w:line="240" w:lineRule="auto"/>
    </w:pPr>
  </w:style>
  <w:style w:type="paragraph" w:styleId="Header">
    <w:name w:val="header"/>
    <w:basedOn w:val="Normal"/>
    <w:link w:val="HeaderChar"/>
    <w:uiPriority w:val="99"/>
    <w:unhideWhenUsed/>
    <w:rsid w:val="00FC09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0976"/>
  </w:style>
  <w:style w:type="paragraph" w:styleId="Footer">
    <w:name w:val="footer"/>
    <w:basedOn w:val="Normal"/>
    <w:link w:val="FooterChar"/>
    <w:uiPriority w:val="99"/>
    <w:unhideWhenUsed/>
    <w:rsid w:val="00FC09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0976"/>
  </w:style>
  <w:style w:type="character" w:customStyle="1" w:styleId="Hyperlink1">
    <w:name w:val="Hyperlink1"/>
    <w:basedOn w:val="DefaultParagraphFont"/>
    <w:uiPriority w:val="99"/>
    <w:unhideWhenUsed/>
    <w:rsid w:val="00306B8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www.ohchr.org/Documents/Publications/HR-PUB-13-0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55E71-34D4-4686-B381-B277FDC9E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747</TotalTime>
  <Pages>1</Pages>
  <Words>5038</Words>
  <Characters>28721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Lorraine Hamill</dc:creator>
  <cp:lastModifiedBy>Colin Caughey</cp:lastModifiedBy>
  <cp:revision>15</cp:revision>
  <cp:lastPrinted>2017-03-20T15:30:00Z</cp:lastPrinted>
  <dcterms:created xsi:type="dcterms:W3CDTF">2017-02-03T12:47:00Z</dcterms:created>
  <dcterms:modified xsi:type="dcterms:W3CDTF">2017-03-20T15:01:00Z</dcterms:modified>
</cp:coreProperties>
</file>