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AE" w:rsidRPr="00BF1A04" w:rsidRDefault="00B277AE" w:rsidP="0084142C">
      <w:pPr>
        <w:jc w:val="center"/>
        <w:rPr>
          <w:szCs w:val="24"/>
        </w:rPr>
      </w:pPr>
      <w:bookmarkStart w:id="0" w:name="_GoBack"/>
      <w:bookmarkEnd w:id="0"/>
      <w:r w:rsidRPr="00BF1A04">
        <w:rPr>
          <w:rFonts w:cs="Arial"/>
          <w:noProof/>
          <w:szCs w:val="24"/>
        </w:rPr>
        <w:drawing>
          <wp:inline distT="0" distB="0" distL="0" distR="0" wp14:anchorId="112E0900" wp14:editId="2E1C019E">
            <wp:extent cx="1057275" cy="1447800"/>
            <wp:effectExtent l="0" t="0" r="9525" b="0"/>
            <wp:docPr id="1" name="Picture 1" descr="nihr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c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447800"/>
                    </a:xfrm>
                    <a:prstGeom prst="rect">
                      <a:avLst/>
                    </a:prstGeom>
                    <a:noFill/>
                    <a:ln>
                      <a:noFill/>
                    </a:ln>
                  </pic:spPr>
                </pic:pic>
              </a:graphicData>
            </a:graphic>
          </wp:inline>
        </w:drawing>
      </w:r>
    </w:p>
    <w:p w:rsidR="00B277AE" w:rsidRPr="00BF1A04" w:rsidRDefault="00B277AE" w:rsidP="0084142C">
      <w:pPr>
        <w:rPr>
          <w:szCs w:val="24"/>
        </w:rPr>
      </w:pPr>
    </w:p>
    <w:p w:rsidR="00B277AE" w:rsidRPr="00BF1A04" w:rsidRDefault="00B277AE" w:rsidP="0084142C">
      <w:pPr>
        <w:jc w:val="center"/>
        <w:rPr>
          <w:b/>
          <w:szCs w:val="24"/>
        </w:rPr>
      </w:pPr>
      <w:r w:rsidRPr="00BF1A04">
        <w:rPr>
          <w:b/>
          <w:szCs w:val="24"/>
        </w:rPr>
        <w:t xml:space="preserve">Consultation on a proposal to place the </w:t>
      </w:r>
      <w:r w:rsidR="0058470C">
        <w:rPr>
          <w:b/>
          <w:szCs w:val="24"/>
        </w:rPr>
        <w:t>O</w:t>
      </w:r>
      <w:r w:rsidRPr="00BF1A04">
        <w:rPr>
          <w:b/>
          <w:szCs w:val="24"/>
        </w:rPr>
        <w:t xml:space="preserve">ffice of the Northern Ireland </w:t>
      </w:r>
      <w:r w:rsidR="006F5077" w:rsidRPr="00BF1A04">
        <w:rPr>
          <w:b/>
          <w:szCs w:val="24"/>
        </w:rPr>
        <w:t>Prisoner O</w:t>
      </w:r>
      <w:r w:rsidRPr="00BF1A04">
        <w:rPr>
          <w:b/>
          <w:szCs w:val="24"/>
        </w:rPr>
        <w:t>mbudsman on a statutory footing</w:t>
      </w:r>
    </w:p>
    <w:p w:rsidR="004B1848" w:rsidRPr="004B1848" w:rsidRDefault="004B1848" w:rsidP="0084142C">
      <w:pPr>
        <w:rPr>
          <w:szCs w:val="24"/>
        </w:rPr>
      </w:pPr>
    </w:p>
    <w:p w:rsidR="008F680F" w:rsidRDefault="00301D53" w:rsidP="0084142C">
      <w:pPr>
        <w:pStyle w:val="legclearfix2"/>
        <w:spacing w:after="0" w:line="240" w:lineRule="auto"/>
        <w:rPr>
          <w:rFonts w:ascii="Verdana" w:hAnsi="Verdana"/>
          <w:sz w:val="24"/>
          <w:szCs w:val="24"/>
        </w:rPr>
      </w:pPr>
      <w:r w:rsidRPr="004B1848">
        <w:rPr>
          <w:rFonts w:ascii="Verdana" w:hAnsi="Verdana"/>
          <w:sz w:val="24"/>
          <w:szCs w:val="24"/>
        </w:rPr>
        <w:t xml:space="preserve">1. </w:t>
      </w:r>
      <w:r w:rsidRPr="004B1848">
        <w:rPr>
          <w:rFonts w:ascii="Verdana" w:hAnsi="Verdana"/>
          <w:sz w:val="24"/>
          <w:szCs w:val="24"/>
        </w:rPr>
        <w:tab/>
      </w:r>
      <w:r w:rsidR="00B277AE" w:rsidRPr="006C205F">
        <w:rPr>
          <w:rFonts w:ascii="Verdana" w:hAnsi="Verdana"/>
          <w:sz w:val="24"/>
          <w:szCs w:val="24"/>
        </w:rPr>
        <w:t xml:space="preserve">The Northern Ireland Human Rights Commission (the </w:t>
      </w:r>
      <w:r w:rsidRPr="006C205F">
        <w:rPr>
          <w:rFonts w:ascii="Verdana" w:hAnsi="Verdana"/>
          <w:sz w:val="24"/>
          <w:szCs w:val="24"/>
        </w:rPr>
        <w:br/>
      </w:r>
      <w:r w:rsidRPr="006C205F">
        <w:rPr>
          <w:rFonts w:ascii="Verdana" w:hAnsi="Verdana"/>
          <w:sz w:val="24"/>
          <w:szCs w:val="24"/>
        </w:rPr>
        <w:tab/>
      </w:r>
      <w:r w:rsidR="00B277AE" w:rsidRPr="006C205F">
        <w:rPr>
          <w:rFonts w:ascii="Verdana" w:hAnsi="Verdana"/>
          <w:sz w:val="24"/>
          <w:szCs w:val="24"/>
        </w:rPr>
        <w:t>Commission), pursuant to section 69(3)</w:t>
      </w:r>
      <w:r w:rsidR="00E8437D">
        <w:rPr>
          <w:rFonts w:ascii="Verdana" w:hAnsi="Verdana"/>
          <w:sz w:val="24"/>
          <w:szCs w:val="24"/>
        </w:rPr>
        <w:t xml:space="preserve"> of the Northern </w:t>
      </w:r>
      <w:r w:rsidR="00E8437D">
        <w:rPr>
          <w:rFonts w:ascii="Verdana" w:hAnsi="Verdana"/>
          <w:sz w:val="24"/>
          <w:szCs w:val="24"/>
        </w:rPr>
        <w:br/>
      </w:r>
      <w:r w:rsidR="00E8437D">
        <w:rPr>
          <w:rFonts w:ascii="Verdana" w:hAnsi="Verdana"/>
          <w:sz w:val="24"/>
          <w:szCs w:val="24"/>
        </w:rPr>
        <w:tab/>
        <w:t>Ireland Act 1998</w:t>
      </w:r>
      <w:r w:rsidR="008A024E" w:rsidRPr="006C205F">
        <w:rPr>
          <w:rFonts w:ascii="Verdana" w:hAnsi="Verdana"/>
          <w:sz w:val="24"/>
          <w:szCs w:val="24"/>
        </w:rPr>
        <w:t>,</w:t>
      </w:r>
      <w:r w:rsidR="00B277AE" w:rsidRPr="006C205F">
        <w:rPr>
          <w:rFonts w:ascii="Verdana" w:hAnsi="Verdana"/>
          <w:sz w:val="24"/>
          <w:szCs w:val="24"/>
        </w:rPr>
        <w:t xml:space="preserve"> </w:t>
      </w:r>
      <w:r w:rsidR="00F935A8" w:rsidRPr="006C205F">
        <w:rPr>
          <w:rFonts w:ascii="Verdana" w:hAnsi="Verdana"/>
          <w:sz w:val="24"/>
          <w:szCs w:val="24"/>
        </w:rPr>
        <w:t>s</w:t>
      </w:r>
      <w:r w:rsidR="00B00668" w:rsidRPr="006C205F">
        <w:rPr>
          <w:rStyle w:val="legds2"/>
          <w:rFonts w:ascii="Verdana" w:hAnsi="Verdana" w:cs="Arial"/>
          <w:sz w:val="24"/>
          <w:szCs w:val="24"/>
          <w:lang w:val="en"/>
          <w:specVanish w:val="0"/>
        </w:rPr>
        <w:t xml:space="preserve">hall advise the Executive Committee of the </w:t>
      </w:r>
      <w:r w:rsidR="00E8437D">
        <w:rPr>
          <w:rStyle w:val="legds2"/>
          <w:rFonts w:ascii="Verdana" w:hAnsi="Verdana" w:cs="Arial"/>
          <w:sz w:val="24"/>
          <w:szCs w:val="24"/>
          <w:lang w:val="en"/>
          <w:specVanish w:val="0"/>
        </w:rPr>
        <w:br/>
      </w:r>
      <w:r w:rsidR="00E8437D">
        <w:rPr>
          <w:rStyle w:val="legds2"/>
          <w:rFonts w:ascii="Verdana" w:hAnsi="Verdana" w:cs="Arial"/>
          <w:sz w:val="24"/>
          <w:szCs w:val="24"/>
          <w:lang w:val="en"/>
          <w:specVanish w:val="0"/>
        </w:rPr>
        <w:tab/>
      </w:r>
      <w:r w:rsidR="00B00668" w:rsidRPr="006C205F">
        <w:rPr>
          <w:rStyle w:val="legds2"/>
          <w:rFonts w:ascii="Verdana" w:hAnsi="Verdana" w:cs="Arial"/>
          <w:sz w:val="24"/>
          <w:szCs w:val="24"/>
          <w:lang w:val="en"/>
          <w:specVanish w:val="0"/>
        </w:rPr>
        <w:t xml:space="preserve">Assembly of </w:t>
      </w:r>
      <w:r w:rsidR="00E8437D">
        <w:rPr>
          <w:rStyle w:val="legds2"/>
          <w:rFonts w:ascii="Verdana" w:hAnsi="Verdana" w:cs="Arial"/>
          <w:sz w:val="24"/>
          <w:szCs w:val="24"/>
          <w:lang w:val="en"/>
          <w:specVanish w:val="0"/>
        </w:rPr>
        <w:t xml:space="preserve">legislative and </w:t>
      </w:r>
      <w:r w:rsidR="001E217E" w:rsidRPr="006C205F">
        <w:rPr>
          <w:rStyle w:val="legds2"/>
          <w:rFonts w:ascii="Verdana" w:hAnsi="Verdana" w:cs="Arial"/>
          <w:sz w:val="24"/>
          <w:szCs w:val="24"/>
          <w:lang w:val="en"/>
          <w:specVanish w:val="0"/>
        </w:rPr>
        <w:t>o</w:t>
      </w:r>
      <w:r w:rsidR="00B00668" w:rsidRPr="006C205F">
        <w:rPr>
          <w:rStyle w:val="legds2"/>
          <w:rFonts w:ascii="Verdana" w:hAnsi="Verdana" w:cs="Arial"/>
          <w:sz w:val="24"/>
          <w:szCs w:val="24"/>
          <w:lang w:val="en"/>
          <w:specVanish w:val="0"/>
        </w:rPr>
        <w:t xml:space="preserve">ther measures which ought to be </w:t>
      </w:r>
      <w:r w:rsidR="00E8437D">
        <w:rPr>
          <w:rStyle w:val="legds2"/>
          <w:rFonts w:ascii="Verdana" w:hAnsi="Verdana" w:cs="Arial"/>
          <w:sz w:val="24"/>
          <w:szCs w:val="24"/>
          <w:lang w:val="en"/>
          <w:specVanish w:val="0"/>
        </w:rPr>
        <w:br/>
      </w:r>
      <w:r w:rsidR="00E8437D">
        <w:rPr>
          <w:rStyle w:val="legds2"/>
          <w:rFonts w:ascii="Verdana" w:hAnsi="Verdana" w:cs="Arial"/>
          <w:sz w:val="24"/>
          <w:szCs w:val="24"/>
          <w:lang w:val="en"/>
          <w:specVanish w:val="0"/>
        </w:rPr>
        <w:tab/>
      </w:r>
      <w:r w:rsidR="00B00668" w:rsidRPr="006C205F">
        <w:rPr>
          <w:rStyle w:val="legds2"/>
          <w:rFonts w:ascii="Verdana" w:hAnsi="Verdana" w:cs="Arial"/>
          <w:sz w:val="24"/>
          <w:szCs w:val="24"/>
          <w:lang w:val="en"/>
          <w:specVanish w:val="0"/>
        </w:rPr>
        <w:t>taken to protect human rights</w:t>
      </w:r>
      <w:r w:rsidR="00F935A8" w:rsidRPr="006C205F">
        <w:rPr>
          <w:rStyle w:val="legds2"/>
          <w:rFonts w:ascii="Verdana" w:hAnsi="Verdana" w:cs="Arial"/>
          <w:sz w:val="24"/>
          <w:szCs w:val="24"/>
          <w:lang w:val="en"/>
          <w:specVanish w:val="0"/>
        </w:rPr>
        <w:t xml:space="preserve">.  </w:t>
      </w:r>
      <w:r w:rsidR="00E8437D">
        <w:rPr>
          <w:rStyle w:val="legds2"/>
          <w:rFonts w:ascii="Verdana" w:hAnsi="Verdana" w:cs="Arial"/>
          <w:sz w:val="24"/>
          <w:szCs w:val="24"/>
          <w:lang w:val="en"/>
          <w:specVanish w:val="0"/>
        </w:rPr>
        <w:br/>
      </w:r>
      <w:r w:rsidR="00E8437D">
        <w:rPr>
          <w:rStyle w:val="legds2"/>
          <w:rFonts w:ascii="Verdana" w:hAnsi="Verdana" w:cs="Arial"/>
          <w:sz w:val="24"/>
          <w:szCs w:val="24"/>
          <w:lang w:val="en"/>
          <w:specVanish w:val="0"/>
        </w:rPr>
        <w:br/>
      </w:r>
      <w:r w:rsidR="00F935A8" w:rsidRPr="006C205F">
        <w:rPr>
          <w:rStyle w:val="legds2"/>
          <w:rFonts w:ascii="Verdana" w:hAnsi="Verdana" w:cs="Arial"/>
          <w:sz w:val="24"/>
          <w:szCs w:val="24"/>
          <w:lang w:val="en"/>
          <w:specVanish w:val="0"/>
        </w:rPr>
        <w:t xml:space="preserve">2. </w:t>
      </w:r>
      <w:r w:rsidR="00F935A8" w:rsidRPr="006C205F">
        <w:rPr>
          <w:rStyle w:val="legds2"/>
          <w:rFonts w:ascii="Verdana" w:hAnsi="Verdana" w:cs="Arial"/>
          <w:sz w:val="24"/>
          <w:szCs w:val="24"/>
          <w:lang w:val="en"/>
          <w:specVanish w:val="0"/>
        </w:rPr>
        <w:tab/>
      </w:r>
      <w:r w:rsidR="006C205F" w:rsidRPr="006C205F">
        <w:rPr>
          <w:rFonts w:ascii="Verdana" w:hAnsi="Verdana"/>
          <w:sz w:val="24"/>
          <w:szCs w:val="24"/>
        </w:rPr>
        <w:t xml:space="preserve">The Commission bases its position on the full range of </w:t>
      </w:r>
      <w:r w:rsidR="006C205F" w:rsidRPr="006C205F">
        <w:rPr>
          <w:rFonts w:ascii="Verdana" w:hAnsi="Verdana"/>
          <w:sz w:val="24"/>
          <w:szCs w:val="24"/>
        </w:rPr>
        <w:br/>
      </w:r>
      <w:r w:rsidR="006C205F" w:rsidRPr="006C205F">
        <w:rPr>
          <w:rFonts w:ascii="Verdana" w:hAnsi="Verdana"/>
          <w:sz w:val="24"/>
          <w:szCs w:val="24"/>
        </w:rPr>
        <w:tab/>
        <w:t xml:space="preserve">internationally accepted human rights standards, including the </w:t>
      </w:r>
      <w:r w:rsidR="006C205F" w:rsidRPr="006C205F">
        <w:rPr>
          <w:rFonts w:ascii="Verdana" w:hAnsi="Verdana"/>
          <w:sz w:val="24"/>
          <w:szCs w:val="24"/>
        </w:rPr>
        <w:br/>
      </w:r>
      <w:r w:rsidR="006C205F" w:rsidRPr="006C205F">
        <w:rPr>
          <w:rFonts w:ascii="Verdana" w:hAnsi="Verdana"/>
          <w:sz w:val="24"/>
          <w:szCs w:val="24"/>
        </w:rPr>
        <w:tab/>
        <w:t xml:space="preserve">European Convention on Human Rights, as incorporated by </w:t>
      </w:r>
      <w:r w:rsidR="006C205F" w:rsidRPr="006C205F">
        <w:rPr>
          <w:rFonts w:ascii="Verdana" w:hAnsi="Verdana"/>
          <w:sz w:val="24"/>
          <w:szCs w:val="24"/>
        </w:rPr>
        <w:br/>
      </w:r>
      <w:r w:rsidR="006C205F" w:rsidRPr="006C205F">
        <w:rPr>
          <w:rFonts w:ascii="Verdana" w:hAnsi="Verdana"/>
          <w:sz w:val="24"/>
          <w:szCs w:val="24"/>
        </w:rPr>
        <w:tab/>
        <w:t xml:space="preserve">the Human Rights Act 1998, and the treaty obligations of the </w:t>
      </w:r>
      <w:r w:rsidR="006C205F" w:rsidRPr="006C205F">
        <w:rPr>
          <w:rFonts w:ascii="Verdana" w:hAnsi="Verdana"/>
          <w:sz w:val="24"/>
          <w:szCs w:val="24"/>
        </w:rPr>
        <w:br/>
      </w:r>
      <w:r w:rsidR="006C205F" w:rsidRPr="006C205F">
        <w:rPr>
          <w:rFonts w:ascii="Verdana" w:hAnsi="Verdana"/>
          <w:sz w:val="24"/>
          <w:szCs w:val="24"/>
        </w:rPr>
        <w:tab/>
      </w:r>
      <w:r w:rsidR="006C205F" w:rsidRPr="008F680F">
        <w:rPr>
          <w:rFonts w:ascii="Verdana" w:hAnsi="Verdana"/>
          <w:sz w:val="24"/>
          <w:szCs w:val="24"/>
        </w:rPr>
        <w:t xml:space="preserve">Council of Europe and United Nations systems. The relevant </w:t>
      </w:r>
      <w:r w:rsidR="006C205F" w:rsidRPr="008F680F">
        <w:rPr>
          <w:rFonts w:ascii="Verdana" w:hAnsi="Verdana"/>
          <w:sz w:val="24"/>
          <w:szCs w:val="24"/>
        </w:rPr>
        <w:br/>
      </w:r>
      <w:r w:rsidR="006C205F" w:rsidRPr="008F680F">
        <w:rPr>
          <w:rFonts w:ascii="Verdana" w:hAnsi="Verdana"/>
          <w:sz w:val="24"/>
          <w:szCs w:val="24"/>
        </w:rPr>
        <w:tab/>
        <w:t>international treaties in this context include;</w:t>
      </w:r>
      <w:r w:rsidR="008F680F" w:rsidRPr="008F680F">
        <w:rPr>
          <w:rFonts w:ascii="Verdana" w:hAnsi="Verdana"/>
          <w:sz w:val="24"/>
          <w:szCs w:val="24"/>
        </w:rPr>
        <w:br/>
      </w:r>
    </w:p>
    <w:p w:rsidR="006C205F" w:rsidRPr="008F680F" w:rsidRDefault="006C205F" w:rsidP="0084142C">
      <w:pPr>
        <w:pStyle w:val="legclearfix2"/>
        <w:numPr>
          <w:ilvl w:val="0"/>
          <w:numId w:val="9"/>
        </w:numPr>
        <w:spacing w:after="0" w:line="240" w:lineRule="auto"/>
        <w:rPr>
          <w:rFonts w:ascii="Verdana" w:hAnsi="Verdana"/>
          <w:sz w:val="24"/>
          <w:szCs w:val="24"/>
        </w:rPr>
      </w:pPr>
      <w:r w:rsidRPr="008F680F">
        <w:rPr>
          <w:rFonts w:ascii="Verdana" w:hAnsi="Verdana"/>
          <w:sz w:val="24"/>
          <w:szCs w:val="24"/>
        </w:rPr>
        <w:t xml:space="preserve">The European Convention on Human Rights, 1950 (ECHR) [UK </w:t>
      </w:r>
      <w:r w:rsidR="008F680F" w:rsidRPr="008F680F">
        <w:rPr>
          <w:rFonts w:ascii="Verdana" w:hAnsi="Verdana"/>
          <w:sz w:val="24"/>
          <w:szCs w:val="24"/>
        </w:rPr>
        <w:br/>
      </w:r>
      <w:r w:rsidRPr="008F680F">
        <w:rPr>
          <w:rFonts w:ascii="Verdana" w:hAnsi="Verdana"/>
          <w:sz w:val="24"/>
          <w:szCs w:val="24"/>
        </w:rPr>
        <w:t>ratification 1951];</w:t>
      </w:r>
    </w:p>
    <w:p w:rsidR="006C205F" w:rsidRPr="008F680F" w:rsidRDefault="006C205F" w:rsidP="0084142C">
      <w:pPr>
        <w:pStyle w:val="ListParagraph"/>
        <w:numPr>
          <w:ilvl w:val="0"/>
          <w:numId w:val="0"/>
        </w:numPr>
        <w:ind w:left="720"/>
        <w:rPr>
          <w:sz w:val="24"/>
          <w:szCs w:val="24"/>
        </w:rPr>
      </w:pPr>
    </w:p>
    <w:p w:rsidR="006C205F" w:rsidRPr="008F680F" w:rsidRDefault="006C205F" w:rsidP="0084142C">
      <w:pPr>
        <w:pStyle w:val="ListParagraph"/>
        <w:numPr>
          <w:ilvl w:val="0"/>
          <w:numId w:val="2"/>
        </w:numPr>
        <w:rPr>
          <w:sz w:val="24"/>
          <w:szCs w:val="24"/>
        </w:rPr>
      </w:pPr>
      <w:r w:rsidRPr="008F680F">
        <w:rPr>
          <w:sz w:val="24"/>
          <w:szCs w:val="24"/>
        </w:rPr>
        <w:t>The International Covenant on Civil and Political Rights, 1966 (ICCPR) [UK ratification 1976];</w:t>
      </w:r>
    </w:p>
    <w:p w:rsidR="006C205F" w:rsidRPr="008F680F" w:rsidRDefault="006C205F" w:rsidP="0084142C">
      <w:pPr>
        <w:rPr>
          <w:szCs w:val="24"/>
        </w:rPr>
      </w:pPr>
    </w:p>
    <w:p w:rsidR="006C205F" w:rsidRPr="008F680F" w:rsidRDefault="006C205F" w:rsidP="0084142C">
      <w:pPr>
        <w:pStyle w:val="ListParagraph"/>
        <w:numPr>
          <w:ilvl w:val="0"/>
          <w:numId w:val="2"/>
        </w:numPr>
        <w:rPr>
          <w:sz w:val="24"/>
          <w:szCs w:val="24"/>
        </w:rPr>
      </w:pPr>
      <w:r w:rsidRPr="008F680F">
        <w:rPr>
          <w:sz w:val="24"/>
          <w:szCs w:val="24"/>
        </w:rPr>
        <w:t>The United Nations Convention against Torture and other Cruel, Inhuman or Degrading Treatment or Punishment, 1984 (UNCAT) [UK ratification 1988];</w:t>
      </w:r>
    </w:p>
    <w:p w:rsidR="006C205F" w:rsidRPr="008F680F" w:rsidRDefault="006C205F" w:rsidP="0084142C">
      <w:pPr>
        <w:pStyle w:val="Default"/>
        <w:rPr>
          <w:color w:val="auto"/>
        </w:rPr>
      </w:pPr>
    </w:p>
    <w:p w:rsidR="006C205F" w:rsidRPr="009E4C96" w:rsidRDefault="006C205F" w:rsidP="0084142C">
      <w:pPr>
        <w:pStyle w:val="Default"/>
      </w:pPr>
      <w:r w:rsidRPr="008F680F">
        <w:rPr>
          <w:color w:val="auto"/>
        </w:rPr>
        <w:t xml:space="preserve">3.  </w:t>
      </w:r>
      <w:r w:rsidRPr="008F680F">
        <w:rPr>
          <w:color w:val="auto"/>
        </w:rPr>
        <w:tab/>
      </w:r>
      <w:r w:rsidRPr="008F680F">
        <w:t xml:space="preserve">The Northern Ireland Executive (NI Executive) is subject to </w:t>
      </w:r>
      <w:r w:rsidRPr="008F680F">
        <w:br/>
      </w:r>
      <w:r w:rsidRPr="008F680F">
        <w:tab/>
        <w:t>the obligations contained within</w:t>
      </w:r>
      <w:r w:rsidRPr="006C205F">
        <w:t xml:space="preserve"> these international treaties by </w:t>
      </w:r>
      <w:r w:rsidRPr="006C205F">
        <w:br/>
      </w:r>
      <w:r w:rsidRPr="006C205F">
        <w:tab/>
        <w:t xml:space="preserve">virtue of the United Kingdom Government’s ratification. In </w:t>
      </w:r>
      <w:r w:rsidRPr="006C205F">
        <w:br/>
      </w:r>
      <w:r w:rsidRPr="006C205F">
        <w:tab/>
        <w:t xml:space="preserve">addition, the Northern Ireland Act 1998, section 26 (1) </w:t>
      </w:r>
      <w:r w:rsidRPr="006C205F">
        <w:br/>
      </w:r>
      <w:r w:rsidRPr="006C205F">
        <w:tab/>
        <w:t>provides that ‘if the Secretary of State considers that</w:t>
      </w:r>
      <w:r w:rsidRPr="009E4C96">
        <w:t xml:space="preserve"> any </w:t>
      </w:r>
      <w:r w:rsidRPr="009E4C96">
        <w:br/>
      </w:r>
      <w:r w:rsidRPr="009E4C96">
        <w:tab/>
        <w:t xml:space="preserve">action proposed to be taken by a Minister or Northern Ireland </w:t>
      </w:r>
      <w:r w:rsidRPr="009E4C96">
        <w:br/>
      </w:r>
      <w:r w:rsidRPr="009E4C96">
        <w:tab/>
        <w:t xml:space="preserve">department would be incompatible with any international </w:t>
      </w:r>
    </w:p>
    <w:p w:rsidR="006C205F" w:rsidRPr="009E4C96" w:rsidRDefault="006C205F" w:rsidP="0084142C">
      <w:pPr>
        <w:pStyle w:val="Default"/>
        <w:ind w:firstLine="720"/>
        <w:rPr>
          <w:rFonts w:cs="Times New Roman"/>
          <w:color w:val="auto"/>
        </w:rPr>
      </w:pPr>
      <w:r w:rsidRPr="009E4C96">
        <w:rPr>
          <w:rFonts w:cs="Times New Roman"/>
          <w:color w:val="auto"/>
        </w:rPr>
        <w:t xml:space="preserve">obligations... he may by order direct that the proposed action </w:t>
      </w:r>
      <w:r w:rsidRPr="009E4C96">
        <w:rPr>
          <w:rFonts w:cs="Times New Roman"/>
          <w:color w:val="auto"/>
        </w:rPr>
        <w:br/>
      </w:r>
      <w:r w:rsidRPr="009E4C96">
        <w:rPr>
          <w:rFonts w:cs="Times New Roman"/>
          <w:color w:val="auto"/>
        </w:rPr>
        <w:tab/>
        <w:t xml:space="preserve">shall not be taken.’ </w:t>
      </w:r>
      <w:r w:rsidR="00144BF1">
        <w:rPr>
          <w:rFonts w:cs="Times New Roman"/>
          <w:color w:val="auto"/>
        </w:rPr>
        <w:br/>
      </w:r>
    </w:p>
    <w:p w:rsidR="0058470C" w:rsidRDefault="0058470C">
      <w:pPr>
        <w:rPr>
          <w:rFonts w:eastAsia="Times New Roman" w:cs="Verdana"/>
          <w:color w:val="auto"/>
          <w:szCs w:val="24"/>
        </w:rPr>
      </w:pPr>
      <w:r>
        <w:rPr>
          <w:color w:val="auto"/>
        </w:rPr>
        <w:br w:type="page"/>
      </w:r>
    </w:p>
    <w:p w:rsidR="006C205F" w:rsidRPr="00A175B8" w:rsidRDefault="006C205F" w:rsidP="0084142C">
      <w:pPr>
        <w:pStyle w:val="Default"/>
        <w:rPr>
          <w:color w:val="auto"/>
        </w:rPr>
      </w:pPr>
      <w:r>
        <w:rPr>
          <w:color w:val="auto"/>
        </w:rPr>
        <w:lastRenderedPageBreak/>
        <w:t>4</w:t>
      </w:r>
      <w:r w:rsidRPr="009E4C96">
        <w:rPr>
          <w:color w:val="auto"/>
        </w:rPr>
        <w:t xml:space="preserve">. </w:t>
      </w:r>
      <w:r w:rsidRPr="009E4C96">
        <w:rPr>
          <w:color w:val="auto"/>
        </w:rPr>
        <w:tab/>
        <w:t xml:space="preserve">In addition to these treaty standards there exists a body of </w:t>
      </w:r>
      <w:r w:rsidRPr="009E4C96">
        <w:rPr>
          <w:color w:val="auto"/>
        </w:rPr>
        <w:br/>
      </w:r>
      <w:r w:rsidRPr="009E4C96">
        <w:rPr>
          <w:color w:val="auto"/>
        </w:rPr>
        <w:tab/>
        <w:t>‘soft law’ developed by the human rights bodies of the Un</w:t>
      </w:r>
      <w:r w:rsidRPr="00A175B8">
        <w:rPr>
          <w:color w:val="auto"/>
        </w:rPr>
        <w:t xml:space="preserve">ited </w:t>
      </w:r>
      <w:r w:rsidRPr="00A175B8">
        <w:rPr>
          <w:color w:val="auto"/>
        </w:rPr>
        <w:br/>
      </w:r>
      <w:r w:rsidRPr="00A175B8">
        <w:rPr>
          <w:color w:val="auto"/>
        </w:rPr>
        <w:tab/>
        <w:t xml:space="preserve">Nations.  These declarations and principles are non-binding </w:t>
      </w:r>
      <w:r w:rsidRPr="00A175B8">
        <w:rPr>
          <w:color w:val="auto"/>
        </w:rPr>
        <w:br/>
      </w:r>
      <w:r w:rsidRPr="00A175B8">
        <w:rPr>
          <w:color w:val="auto"/>
        </w:rPr>
        <w:tab/>
        <w:t xml:space="preserve">but provide further guidance in respect of specific topics.  </w:t>
      </w:r>
      <w:r w:rsidRPr="00A175B8">
        <w:rPr>
          <w:color w:val="auto"/>
        </w:rPr>
        <w:br/>
      </w:r>
      <w:r w:rsidRPr="00A175B8">
        <w:rPr>
          <w:color w:val="auto"/>
        </w:rPr>
        <w:tab/>
        <w:t>The relevant standards in this context include;</w:t>
      </w:r>
    </w:p>
    <w:p w:rsidR="006C205F" w:rsidRPr="00A175B8" w:rsidRDefault="006C205F" w:rsidP="0084142C">
      <w:pPr>
        <w:pStyle w:val="Default"/>
        <w:rPr>
          <w:color w:val="auto"/>
        </w:rPr>
      </w:pPr>
    </w:p>
    <w:p w:rsidR="006C205F" w:rsidRPr="00A175B8" w:rsidRDefault="006C205F" w:rsidP="0084142C">
      <w:pPr>
        <w:pStyle w:val="ListParagraph"/>
        <w:numPr>
          <w:ilvl w:val="0"/>
          <w:numId w:val="1"/>
        </w:numPr>
        <w:jc w:val="left"/>
        <w:outlineLvl w:val="2"/>
        <w:rPr>
          <w:rFonts w:eastAsia="Times New Roman" w:cs="Arial"/>
          <w:bCs/>
          <w:color w:val="auto"/>
          <w:sz w:val="24"/>
          <w:szCs w:val="24"/>
        </w:rPr>
      </w:pPr>
      <w:r w:rsidRPr="00A175B8">
        <w:rPr>
          <w:rFonts w:eastAsia="Times New Roman" w:cs="Arial"/>
          <w:bCs/>
          <w:color w:val="auto"/>
          <w:sz w:val="24"/>
          <w:szCs w:val="24"/>
        </w:rPr>
        <w:t xml:space="preserve">United Nations Standard Minimum Rules for the Treatment of Prisoners (the Standard Minimum Rules) </w:t>
      </w:r>
      <w:r>
        <w:rPr>
          <w:rFonts w:eastAsia="Times New Roman" w:cs="Arial"/>
          <w:bCs/>
          <w:color w:val="auto"/>
          <w:sz w:val="24"/>
          <w:szCs w:val="24"/>
        </w:rPr>
        <w:t>(</w:t>
      </w:r>
      <w:r w:rsidRPr="00A175B8">
        <w:rPr>
          <w:rFonts w:eastAsia="Times New Roman" w:cs="Arial"/>
          <w:bCs/>
          <w:color w:val="auto"/>
          <w:sz w:val="24"/>
          <w:szCs w:val="24"/>
        </w:rPr>
        <w:t>1977</w:t>
      </w:r>
      <w:r>
        <w:rPr>
          <w:rFonts w:eastAsia="Times New Roman" w:cs="Arial"/>
          <w:bCs/>
          <w:color w:val="auto"/>
          <w:sz w:val="24"/>
          <w:szCs w:val="24"/>
        </w:rPr>
        <w:t>);</w:t>
      </w:r>
      <w:r>
        <w:rPr>
          <w:rFonts w:eastAsia="Times New Roman" w:cs="Arial"/>
          <w:bCs/>
          <w:color w:val="auto"/>
          <w:sz w:val="24"/>
          <w:szCs w:val="24"/>
        </w:rPr>
        <w:br/>
      </w:r>
    </w:p>
    <w:p w:rsidR="006C205F" w:rsidRPr="00A175B8" w:rsidRDefault="006C205F" w:rsidP="0084142C">
      <w:pPr>
        <w:pStyle w:val="Default"/>
        <w:numPr>
          <w:ilvl w:val="0"/>
          <w:numId w:val="1"/>
        </w:numPr>
        <w:rPr>
          <w:color w:val="auto"/>
        </w:rPr>
      </w:pPr>
      <w:r w:rsidRPr="00A175B8">
        <w:rPr>
          <w:color w:val="auto"/>
        </w:rPr>
        <w:t>United Nations Basic Principles for the Treatment of Prisoners (the Basic Principles) (1990);</w:t>
      </w:r>
    </w:p>
    <w:p w:rsidR="006C205F" w:rsidRPr="00A175B8" w:rsidRDefault="006C205F" w:rsidP="0084142C">
      <w:pPr>
        <w:pStyle w:val="Default"/>
        <w:ind w:left="720"/>
        <w:rPr>
          <w:color w:val="auto"/>
        </w:rPr>
      </w:pPr>
    </w:p>
    <w:p w:rsidR="006C205F" w:rsidRPr="00BF1A04" w:rsidRDefault="006C205F" w:rsidP="0084142C">
      <w:pPr>
        <w:pStyle w:val="Default"/>
        <w:numPr>
          <w:ilvl w:val="0"/>
          <w:numId w:val="1"/>
        </w:numPr>
      </w:pPr>
      <w:r w:rsidRPr="00A175B8">
        <w:rPr>
          <w:color w:val="auto"/>
        </w:rPr>
        <w:t xml:space="preserve">United Nations Body of Principles </w:t>
      </w:r>
      <w:r w:rsidRPr="00BF1A04">
        <w:rPr>
          <w:color w:val="auto"/>
        </w:rPr>
        <w:t>for the Protection of All Persons under Any Form of Detention and Imprisonment (1988);</w:t>
      </w:r>
    </w:p>
    <w:p w:rsidR="006C205F" w:rsidRPr="00BF1A04" w:rsidRDefault="006C205F" w:rsidP="0084142C">
      <w:pPr>
        <w:pStyle w:val="Default"/>
      </w:pPr>
    </w:p>
    <w:p w:rsidR="006C205F" w:rsidRPr="006511D6" w:rsidRDefault="006C205F" w:rsidP="0084142C">
      <w:pPr>
        <w:pStyle w:val="Default"/>
        <w:numPr>
          <w:ilvl w:val="0"/>
          <w:numId w:val="1"/>
        </w:numPr>
      </w:pPr>
      <w:r w:rsidRPr="00BF1A04">
        <w:rPr>
          <w:color w:val="auto"/>
        </w:rPr>
        <w:t xml:space="preserve">Council of Europe European Prison Rules (2006); </w:t>
      </w:r>
    </w:p>
    <w:p w:rsidR="006C205F" w:rsidRDefault="006C205F" w:rsidP="0084142C">
      <w:pPr>
        <w:pStyle w:val="Default"/>
        <w:rPr>
          <w:rStyle w:val="legds2"/>
          <w:rFonts w:cs="Arial"/>
          <w:lang w:val="en"/>
        </w:rPr>
      </w:pPr>
    </w:p>
    <w:p w:rsidR="006C205F" w:rsidRDefault="006C205F" w:rsidP="0084142C">
      <w:pPr>
        <w:pStyle w:val="legclearfix2"/>
        <w:spacing w:after="0" w:line="240" w:lineRule="auto"/>
        <w:rPr>
          <w:rStyle w:val="legds2"/>
          <w:rFonts w:ascii="Verdana" w:hAnsi="Verdana" w:cs="Arial"/>
          <w:sz w:val="24"/>
          <w:szCs w:val="24"/>
          <w:lang w:val="en"/>
        </w:rPr>
      </w:pPr>
      <w:r>
        <w:rPr>
          <w:rStyle w:val="legds2"/>
          <w:rFonts w:ascii="Verdana" w:hAnsi="Verdana" w:cs="Arial"/>
          <w:sz w:val="24"/>
          <w:szCs w:val="24"/>
          <w:lang w:val="en"/>
          <w:specVanish w:val="0"/>
        </w:rPr>
        <w:t xml:space="preserve">5. </w:t>
      </w:r>
      <w:r>
        <w:rPr>
          <w:rStyle w:val="legds2"/>
          <w:rFonts w:ascii="Verdana" w:hAnsi="Verdana" w:cs="Arial"/>
          <w:sz w:val="24"/>
          <w:szCs w:val="24"/>
          <w:lang w:val="en"/>
          <w:specVanish w:val="0"/>
        </w:rPr>
        <w:tab/>
        <w:t xml:space="preserve">The Commission recalls that the State has an international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obligation to protect the human rights of prisoners and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observes there is no reference to human rights in the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consultation document and nor is there evidence that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consideration has been afforded to the prohibition on the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Minister of Justice and the Department of Justice (the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Department) contained in section 24(1) of the Northern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Ireland Act 1998</w:t>
      </w:r>
      <w:r>
        <w:rPr>
          <w:rStyle w:val="FootnoteReference"/>
          <w:rFonts w:ascii="Verdana" w:hAnsi="Verdana" w:cs="Arial"/>
          <w:sz w:val="24"/>
          <w:szCs w:val="24"/>
          <w:lang w:val="en"/>
        </w:rPr>
        <w:footnoteReference w:id="1"/>
      </w:r>
      <w:r>
        <w:rPr>
          <w:rStyle w:val="legds2"/>
          <w:rFonts w:ascii="Verdana" w:hAnsi="Verdana" w:cs="Arial"/>
          <w:sz w:val="24"/>
          <w:szCs w:val="24"/>
          <w:lang w:val="en"/>
          <w:specVanish w:val="0"/>
        </w:rPr>
        <w:t xml:space="preserve">.   </w:t>
      </w:r>
    </w:p>
    <w:p w:rsidR="006C205F" w:rsidRDefault="006C205F" w:rsidP="0084142C">
      <w:pPr>
        <w:pStyle w:val="legclearfix2"/>
        <w:spacing w:after="0" w:line="240" w:lineRule="auto"/>
        <w:rPr>
          <w:rStyle w:val="legds2"/>
          <w:rFonts w:ascii="Verdana" w:hAnsi="Verdana" w:cs="Arial"/>
          <w:sz w:val="24"/>
          <w:szCs w:val="24"/>
          <w:lang w:val="en"/>
        </w:rPr>
      </w:pPr>
      <w:r>
        <w:rPr>
          <w:rStyle w:val="legds2"/>
          <w:rFonts w:ascii="Verdana" w:hAnsi="Verdana" w:cs="Arial"/>
          <w:sz w:val="24"/>
          <w:szCs w:val="24"/>
          <w:lang w:val="en"/>
          <w:specVanish w:val="0"/>
        </w:rPr>
        <w:br/>
        <w:t xml:space="preserve">6. </w:t>
      </w:r>
      <w:r>
        <w:rPr>
          <w:rStyle w:val="legds2"/>
          <w:rFonts w:ascii="Verdana" w:hAnsi="Verdana" w:cs="Arial"/>
          <w:sz w:val="24"/>
          <w:szCs w:val="24"/>
          <w:lang w:val="en"/>
          <w:specVanish w:val="0"/>
        </w:rPr>
        <w:tab/>
        <w:t xml:space="preserve">The Commission further observes that while the consultation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document welcomes views on the implications of the proposal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on equality of opportunity for groups specified under section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75 of the Northern Ireland Act 1998 (the Act) there is no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reference in the document to consideration having been given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 xml:space="preserve">by the Department to its duty under section 76 of the Act not </w:t>
      </w:r>
      <w:r>
        <w:rPr>
          <w:rStyle w:val="legds2"/>
          <w:rFonts w:ascii="Verdana" w:hAnsi="Verdana" w:cs="Arial"/>
          <w:sz w:val="24"/>
          <w:szCs w:val="24"/>
          <w:lang w:val="en"/>
          <w:specVanish w:val="0"/>
        </w:rPr>
        <w:br/>
      </w:r>
      <w:r>
        <w:rPr>
          <w:rStyle w:val="legds2"/>
          <w:rFonts w:ascii="Verdana" w:hAnsi="Verdana" w:cs="Arial"/>
          <w:sz w:val="24"/>
          <w:szCs w:val="24"/>
          <w:lang w:val="en"/>
          <w:specVanish w:val="0"/>
        </w:rPr>
        <w:tab/>
        <w:t>to discriminate</w:t>
      </w:r>
      <w:r>
        <w:rPr>
          <w:rStyle w:val="FootnoteReference"/>
          <w:rFonts w:ascii="Verdana" w:hAnsi="Verdana" w:cs="Arial"/>
          <w:sz w:val="24"/>
          <w:szCs w:val="24"/>
          <w:lang w:val="en"/>
        </w:rPr>
        <w:footnoteReference w:id="2"/>
      </w:r>
      <w:r>
        <w:rPr>
          <w:rStyle w:val="legds2"/>
          <w:rFonts w:ascii="Verdana" w:hAnsi="Verdana" w:cs="Arial"/>
          <w:sz w:val="24"/>
          <w:szCs w:val="24"/>
          <w:lang w:val="en"/>
          <w:specVanish w:val="0"/>
        </w:rPr>
        <w:t xml:space="preserve">.  </w:t>
      </w:r>
      <w:r>
        <w:rPr>
          <w:rStyle w:val="legds2"/>
          <w:rFonts w:ascii="Verdana" w:hAnsi="Verdana" w:cs="Arial"/>
          <w:sz w:val="24"/>
          <w:szCs w:val="24"/>
          <w:lang w:val="en"/>
          <w:specVanish w:val="0"/>
        </w:rPr>
        <w:br/>
      </w:r>
    </w:p>
    <w:p w:rsidR="00F2767B" w:rsidRPr="002F4708" w:rsidRDefault="006C205F" w:rsidP="0084142C">
      <w:pPr>
        <w:pStyle w:val="Default"/>
        <w:rPr>
          <w:rFonts w:cs="Arial"/>
          <w:color w:val="auto"/>
        </w:rPr>
      </w:pPr>
      <w:r>
        <w:rPr>
          <w:rStyle w:val="legds2"/>
          <w:rFonts w:cs="Arial"/>
          <w:lang w:val="en"/>
          <w:specVanish w:val="0"/>
        </w:rPr>
        <w:t>7</w:t>
      </w:r>
      <w:r w:rsidR="008A024E">
        <w:rPr>
          <w:rStyle w:val="legds2"/>
          <w:rFonts w:cs="Arial"/>
          <w:lang w:val="en"/>
          <w:specVanish w:val="0"/>
        </w:rPr>
        <w:t xml:space="preserve">. </w:t>
      </w:r>
      <w:r w:rsidR="008A024E">
        <w:rPr>
          <w:rStyle w:val="legds2"/>
          <w:rFonts w:cs="Arial"/>
          <w:lang w:val="en"/>
          <w:specVanish w:val="0"/>
        </w:rPr>
        <w:tab/>
      </w:r>
      <w:r w:rsidR="00F2767B">
        <w:rPr>
          <w:rFonts w:cs="ArialMT"/>
          <w:color w:val="auto"/>
        </w:rPr>
        <w:t xml:space="preserve">Prisons are closed institutions and, as such the exceptional </w:t>
      </w:r>
      <w:r w:rsidR="00F2767B">
        <w:rPr>
          <w:rFonts w:cs="ArialMT"/>
          <w:color w:val="auto"/>
        </w:rPr>
        <w:br/>
      </w:r>
      <w:r w:rsidR="00F2767B">
        <w:rPr>
          <w:rFonts w:cs="ArialMT"/>
          <w:color w:val="auto"/>
        </w:rPr>
        <w:tab/>
        <w:t xml:space="preserve">nature of the powers taken by the state over confined </w:t>
      </w:r>
      <w:r w:rsidR="00F2767B">
        <w:rPr>
          <w:rFonts w:cs="ArialMT"/>
          <w:color w:val="auto"/>
        </w:rPr>
        <w:br/>
      </w:r>
      <w:r w:rsidR="00F2767B">
        <w:rPr>
          <w:rFonts w:cs="ArialMT"/>
          <w:color w:val="auto"/>
        </w:rPr>
        <w:tab/>
        <w:t xml:space="preserve">individuals makes effective external scrutiny of their use a </w:t>
      </w:r>
      <w:r w:rsidR="00F2767B">
        <w:rPr>
          <w:rFonts w:cs="ArialMT"/>
          <w:color w:val="auto"/>
        </w:rPr>
        <w:br/>
      </w:r>
      <w:r w:rsidR="00F2767B">
        <w:rPr>
          <w:rFonts w:cs="ArialMT"/>
          <w:color w:val="auto"/>
        </w:rPr>
        <w:lastRenderedPageBreak/>
        <w:tab/>
        <w:t>matter of particular urgency</w:t>
      </w:r>
      <w:r w:rsidR="00F2767B">
        <w:rPr>
          <w:rStyle w:val="FootnoteReference"/>
          <w:rFonts w:cs="ArialMT"/>
          <w:color w:val="auto"/>
        </w:rPr>
        <w:footnoteReference w:id="3"/>
      </w:r>
      <w:r w:rsidR="00F2767B">
        <w:rPr>
          <w:rFonts w:cs="ArialMT"/>
          <w:color w:val="auto"/>
        </w:rPr>
        <w:t xml:space="preserve">.  </w:t>
      </w:r>
      <w:r w:rsidR="00F2767B" w:rsidRPr="00BF1A04">
        <w:rPr>
          <w:rFonts w:cs="Arial"/>
        </w:rPr>
        <w:t xml:space="preserve">There is a risk that </w:t>
      </w:r>
      <w:r w:rsidR="00F2767B">
        <w:rPr>
          <w:rFonts w:cs="Arial"/>
        </w:rPr>
        <w:br/>
      </w:r>
      <w:r w:rsidR="00F2767B">
        <w:rPr>
          <w:rFonts w:cs="Arial"/>
        </w:rPr>
        <w:tab/>
        <w:t xml:space="preserve">investigations by the Office of the Prisoner Ombudsman (the </w:t>
      </w:r>
      <w:r w:rsidR="00F2767B">
        <w:rPr>
          <w:rFonts w:cs="Arial"/>
        </w:rPr>
        <w:br/>
      </w:r>
      <w:r w:rsidR="00F2767B">
        <w:rPr>
          <w:rFonts w:cs="Arial"/>
        </w:rPr>
        <w:tab/>
        <w:t xml:space="preserve">Ombudsman) </w:t>
      </w:r>
      <w:r w:rsidR="00F2767B" w:rsidRPr="00BF1A04">
        <w:rPr>
          <w:rFonts w:cs="Arial"/>
        </w:rPr>
        <w:t xml:space="preserve">are </w:t>
      </w:r>
      <w:r w:rsidR="00F2767B">
        <w:rPr>
          <w:rFonts w:cs="Arial"/>
        </w:rPr>
        <w:t xml:space="preserve">not compliant with ECHR, article 2 and </w:t>
      </w:r>
      <w:r w:rsidR="00F2767B">
        <w:rPr>
          <w:rFonts w:cs="Arial"/>
        </w:rPr>
        <w:br/>
      </w:r>
      <w:r w:rsidR="00F2767B">
        <w:rPr>
          <w:rFonts w:cs="Arial"/>
        </w:rPr>
        <w:tab/>
        <w:t xml:space="preserve">article 3 because they are either </w:t>
      </w:r>
      <w:r>
        <w:rPr>
          <w:rFonts w:cs="Arial"/>
        </w:rPr>
        <w:t xml:space="preserve">not </w:t>
      </w:r>
      <w:r w:rsidR="00F2767B" w:rsidRPr="00BF1A04">
        <w:rPr>
          <w:rFonts w:cs="Arial"/>
        </w:rPr>
        <w:t xml:space="preserve">sufficiently impartial, or </w:t>
      </w:r>
      <w:r>
        <w:rPr>
          <w:rFonts w:cs="Arial"/>
        </w:rPr>
        <w:br/>
      </w:r>
      <w:r>
        <w:rPr>
          <w:rFonts w:cs="Arial"/>
        </w:rPr>
        <w:tab/>
      </w:r>
      <w:r w:rsidR="00F2767B" w:rsidRPr="00BF1A04">
        <w:rPr>
          <w:rFonts w:cs="Arial"/>
        </w:rPr>
        <w:t xml:space="preserve">are perceived to be </w:t>
      </w:r>
      <w:r>
        <w:rPr>
          <w:rFonts w:cs="Arial"/>
        </w:rPr>
        <w:t xml:space="preserve">not </w:t>
      </w:r>
      <w:r w:rsidR="00F2767B" w:rsidRPr="00BF1A04">
        <w:rPr>
          <w:rFonts w:cs="Arial"/>
        </w:rPr>
        <w:t xml:space="preserve">sufficiently </w:t>
      </w:r>
      <w:r w:rsidR="00F2767B">
        <w:rPr>
          <w:rFonts w:cs="Arial"/>
        </w:rPr>
        <w:t>i</w:t>
      </w:r>
      <w:r w:rsidR="00F2767B" w:rsidRPr="00BF1A04">
        <w:rPr>
          <w:rFonts w:cs="Arial"/>
        </w:rPr>
        <w:t xml:space="preserve">mpartial.  This risk has </w:t>
      </w:r>
      <w:r>
        <w:rPr>
          <w:rFonts w:cs="Arial"/>
        </w:rPr>
        <w:br/>
      </w:r>
      <w:r>
        <w:rPr>
          <w:rFonts w:cs="Arial"/>
        </w:rPr>
        <w:tab/>
      </w:r>
      <w:r w:rsidR="00F2767B" w:rsidRPr="00BF1A04">
        <w:rPr>
          <w:rFonts w:cs="Arial"/>
        </w:rPr>
        <w:t xml:space="preserve">been concisely identified by the </w:t>
      </w:r>
      <w:r w:rsidR="00F2767B">
        <w:rPr>
          <w:rFonts w:cs="Arial"/>
        </w:rPr>
        <w:t>previo</w:t>
      </w:r>
      <w:r w:rsidR="00F2767B" w:rsidRPr="00BF1A04">
        <w:rPr>
          <w:rFonts w:cs="Arial"/>
        </w:rPr>
        <w:t xml:space="preserve">us Ombudsman as: </w:t>
      </w:r>
    </w:p>
    <w:p w:rsidR="00F2767B" w:rsidRPr="00BF1A04" w:rsidRDefault="00F2767B" w:rsidP="0084142C">
      <w:pPr>
        <w:pStyle w:val="ListParagraph"/>
        <w:numPr>
          <w:ilvl w:val="0"/>
          <w:numId w:val="0"/>
        </w:numPr>
        <w:ind w:left="720"/>
        <w:rPr>
          <w:sz w:val="24"/>
          <w:szCs w:val="24"/>
        </w:rPr>
      </w:pPr>
    </w:p>
    <w:p w:rsidR="00F2767B" w:rsidRDefault="00F2767B" w:rsidP="0084142C">
      <w:pPr>
        <w:pStyle w:val="Default"/>
        <w:ind w:left="720"/>
        <w:rPr>
          <w:rFonts w:cs="Arial"/>
          <w:color w:val="auto"/>
          <w:lang w:val="en"/>
        </w:rPr>
      </w:pPr>
      <w:r w:rsidRPr="00BF1A04">
        <w:rPr>
          <w:rFonts w:cs="Arial"/>
        </w:rPr>
        <w:t>“</w:t>
      </w:r>
      <w:r w:rsidRPr="00F20787">
        <w:rPr>
          <w:rFonts w:cs="Arial"/>
          <w:color w:val="auto"/>
          <w:sz w:val="22"/>
          <w:szCs w:val="22"/>
          <w:lang w:val="en"/>
        </w:rPr>
        <w:t>Being placed on a statutory footing will positively impact the ability of the Prisoner Ombudsman’s Office to adequately meet human rights obligations in respect of investigations and improve efficiency and effectiveness by ensuring greater control over recruiting and deploying resources. It will also provide an extra level of assurance to statutory bodies, such as the Coroner and the PSNI, as to the extent they can rely on Prisoner Ombudsman investigations</w:t>
      </w:r>
      <w:r w:rsidRPr="00BF1A04">
        <w:rPr>
          <w:rFonts w:cs="Arial"/>
          <w:color w:val="auto"/>
          <w:lang w:val="en"/>
        </w:rPr>
        <w:t xml:space="preserve">” </w:t>
      </w:r>
      <w:r w:rsidRPr="00BF1A04">
        <w:rPr>
          <w:rStyle w:val="FootnoteReference"/>
          <w:rFonts w:cs="Arial"/>
          <w:color w:val="auto"/>
          <w:lang w:val="en"/>
        </w:rPr>
        <w:footnoteReference w:id="4"/>
      </w:r>
      <w:r>
        <w:rPr>
          <w:rFonts w:cs="Arial"/>
          <w:color w:val="auto"/>
          <w:lang w:val="en"/>
        </w:rPr>
        <w:t>.</w:t>
      </w:r>
    </w:p>
    <w:p w:rsidR="00F2767B" w:rsidRDefault="00F2767B" w:rsidP="0084142C">
      <w:pPr>
        <w:pStyle w:val="Default"/>
        <w:rPr>
          <w:rFonts w:cs="Arial"/>
          <w:color w:val="auto"/>
          <w:lang w:val="en"/>
        </w:rPr>
      </w:pPr>
    </w:p>
    <w:p w:rsidR="00450231" w:rsidRPr="00F935A8" w:rsidRDefault="006C205F" w:rsidP="0084142C">
      <w:pPr>
        <w:pStyle w:val="Default"/>
      </w:pPr>
      <w:r>
        <w:rPr>
          <w:rFonts w:cs="Arial"/>
          <w:color w:val="auto"/>
          <w:lang w:val="en"/>
        </w:rPr>
        <w:t>8</w:t>
      </w:r>
      <w:r w:rsidR="00F2767B">
        <w:rPr>
          <w:rFonts w:cs="Arial"/>
          <w:color w:val="auto"/>
          <w:lang w:val="en"/>
        </w:rPr>
        <w:t xml:space="preserve">. </w:t>
      </w:r>
      <w:r w:rsidR="00F2767B">
        <w:rPr>
          <w:rFonts w:cs="Arial"/>
          <w:color w:val="auto"/>
          <w:lang w:val="en"/>
        </w:rPr>
        <w:tab/>
      </w:r>
      <w:r w:rsidR="00F935A8">
        <w:rPr>
          <w:rStyle w:val="legds2"/>
          <w:rFonts w:cs="Arial"/>
          <w:lang w:val="en"/>
          <w:specVanish w:val="0"/>
        </w:rPr>
        <w:t xml:space="preserve">The </w:t>
      </w:r>
      <w:r w:rsidR="006F5077" w:rsidRPr="00F935A8">
        <w:t xml:space="preserve">Commission </w:t>
      </w:r>
      <w:r w:rsidR="00450231" w:rsidRPr="00F935A8">
        <w:t xml:space="preserve">welcomed the creation of the </w:t>
      </w:r>
      <w:r w:rsidR="00301D53" w:rsidRPr="00F935A8">
        <w:t xml:space="preserve">Ombudsman </w:t>
      </w:r>
      <w:r w:rsidR="00450231" w:rsidRPr="00F935A8">
        <w:t xml:space="preserve">in </w:t>
      </w:r>
      <w:r w:rsidR="00F2767B">
        <w:br/>
      </w:r>
      <w:r w:rsidR="00F2767B">
        <w:tab/>
      </w:r>
      <w:r w:rsidR="00450231" w:rsidRPr="00F935A8">
        <w:t xml:space="preserve">2005 having previously advanced the need for an ombudsman </w:t>
      </w:r>
      <w:r w:rsidR="00F2767B">
        <w:br/>
      </w:r>
      <w:r w:rsidR="00F2767B">
        <w:tab/>
      </w:r>
      <w:r w:rsidR="00450231" w:rsidRPr="00F935A8">
        <w:t>in a number of contexts</w:t>
      </w:r>
      <w:r w:rsidR="00450231" w:rsidRPr="00F935A8">
        <w:rPr>
          <w:rStyle w:val="FootnoteReference"/>
        </w:rPr>
        <w:footnoteReference w:id="5"/>
      </w:r>
      <w:r w:rsidR="00450231" w:rsidRPr="00F935A8">
        <w:t xml:space="preserve">.  The </w:t>
      </w:r>
      <w:r w:rsidR="00F935A8">
        <w:t xml:space="preserve">absence of </w:t>
      </w:r>
      <w:r w:rsidR="00450231" w:rsidRPr="00F935A8">
        <w:t xml:space="preserve">a statutory basis for </w:t>
      </w:r>
      <w:r w:rsidR="00F2767B">
        <w:br/>
      </w:r>
      <w:r w:rsidR="00F2767B">
        <w:tab/>
      </w:r>
      <w:r w:rsidR="00450231" w:rsidRPr="00F935A8">
        <w:t>the O</w:t>
      </w:r>
      <w:r w:rsidR="00301D53" w:rsidRPr="00F935A8">
        <w:t xml:space="preserve">mbudsman </w:t>
      </w:r>
      <w:r w:rsidR="00450231" w:rsidRPr="00F935A8">
        <w:t xml:space="preserve">is a long standing </w:t>
      </w:r>
      <w:r w:rsidR="00F935A8">
        <w:t>issue</w:t>
      </w:r>
      <w:r w:rsidR="00450231" w:rsidRPr="00F935A8">
        <w:t xml:space="preserve"> and which has </w:t>
      </w:r>
      <w:r w:rsidR="00F935A8">
        <w:t xml:space="preserve">been </w:t>
      </w:r>
      <w:r w:rsidR="00F935A8">
        <w:br/>
      </w:r>
      <w:r w:rsidR="00F935A8">
        <w:tab/>
        <w:t xml:space="preserve">recognized as having </w:t>
      </w:r>
      <w:r w:rsidR="00450231" w:rsidRPr="00F935A8">
        <w:t>created difficulties for the post-holders</w:t>
      </w:r>
      <w:r w:rsidR="00450231" w:rsidRPr="00F935A8">
        <w:rPr>
          <w:rStyle w:val="FootnoteReference"/>
        </w:rPr>
        <w:footnoteReference w:id="6"/>
      </w:r>
      <w:r w:rsidR="00450231" w:rsidRPr="00F935A8">
        <w:t xml:space="preserve">.  </w:t>
      </w:r>
      <w:r w:rsidR="00F935A8">
        <w:br/>
      </w:r>
      <w:r w:rsidR="00F935A8">
        <w:tab/>
      </w:r>
      <w:r w:rsidR="00450231" w:rsidRPr="00F935A8">
        <w:t xml:space="preserve">The Commission therefore welcomes the opportunity to </w:t>
      </w:r>
      <w:r w:rsidR="00F935A8">
        <w:br/>
      </w:r>
      <w:r w:rsidR="00F935A8">
        <w:tab/>
      </w:r>
      <w:r w:rsidR="00450231" w:rsidRPr="00F935A8">
        <w:t xml:space="preserve">comment on the proposal to place the </w:t>
      </w:r>
      <w:r w:rsidR="00301D53" w:rsidRPr="00F935A8">
        <w:t xml:space="preserve">Ombudsman </w:t>
      </w:r>
      <w:r w:rsidR="00450231" w:rsidRPr="00F935A8">
        <w:t xml:space="preserve">on a </w:t>
      </w:r>
      <w:r w:rsidR="00F935A8">
        <w:br/>
      </w:r>
      <w:r w:rsidR="00F935A8">
        <w:tab/>
      </w:r>
      <w:r w:rsidR="00450231" w:rsidRPr="00F935A8">
        <w:t xml:space="preserve">statutory basis and provides the following statutory advice to </w:t>
      </w:r>
      <w:r w:rsidR="00F935A8">
        <w:br/>
      </w:r>
      <w:r w:rsidR="00F935A8">
        <w:tab/>
      </w:r>
      <w:r w:rsidR="00450231" w:rsidRPr="00F935A8">
        <w:t>the Department.</w:t>
      </w:r>
    </w:p>
    <w:p w:rsidR="00B277AE" w:rsidRPr="00F935A8" w:rsidRDefault="00B277AE" w:rsidP="0084142C">
      <w:pPr>
        <w:pStyle w:val="ListParagraph"/>
        <w:numPr>
          <w:ilvl w:val="0"/>
          <w:numId w:val="0"/>
        </w:numPr>
        <w:ind w:left="720"/>
        <w:rPr>
          <w:sz w:val="24"/>
          <w:szCs w:val="24"/>
        </w:rPr>
      </w:pPr>
    </w:p>
    <w:p w:rsidR="00B277AE" w:rsidRDefault="000C1E1B" w:rsidP="0084142C">
      <w:pPr>
        <w:rPr>
          <w:color w:val="auto"/>
          <w:szCs w:val="24"/>
        </w:rPr>
      </w:pPr>
      <w:r>
        <w:rPr>
          <w:rFonts w:eastAsia="Times New Roman" w:cs="DIN-Regular"/>
          <w:szCs w:val="24"/>
        </w:rPr>
        <w:t>9</w:t>
      </w:r>
      <w:r w:rsidR="00BD4958">
        <w:rPr>
          <w:rFonts w:eastAsia="Times New Roman" w:cs="DIN-Regular"/>
          <w:szCs w:val="24"/>
        </w:rPr>
        <w:t xml:space="preserve">. </w:t>
      </w:r>
      <w:r w:rsidR="00BD4958">
        <w:rPr>
          <w:rFonts w:eastAsia="Times New Roman" w:cs="DIN-Regular"/>
          <w:szCs w:val="24"/>
        </w:rPr>
        <w:tab/>
      </w:r>
      <w:r w:rsidR="000E3C34" w:rsidRPr="00BF1A04">
        <w:rPr>
          <w:color w:val="auto"/>
          <w:szCs w:val="24"/>
        </w:rPr>
        <w:t xml:space="preserve">The </w:t>
      </w:r>
      <w:r w:rsidR="0078405B">
        <w:rPr>
          <w:color w:val="auto"/>
          <w:szCs w:val="24"/>
        </w:rPr>
        <w:t xml:space="preserve">Commission </w:t>
      </w:r>
      <w:r w:rsidR="000E3C34" w:rsidRPr="00BF1A04">
        <w:rPr>
          <w:color w:val="auto"/>
          <w:szCs w:val="24"/>
        </w:rPr>
        <w:t xml:space="preserve">has a long standing interest in the rights of </w:t>
      </w:r>
      <w:r w:rsidR="000465B0">
        <w:rPr>
          <w:color w:val="auto"/>
        </w:rPr>
        <w:br/>
      </w:r>
      <w:r w:rsidR="000465B0">
        <w:rPr>
          <w:color w:val="auto"/>
        </w:rPr>
        <w:tab/>
      </w:r>
      <w:r w:rsidR="000E3C34" w:rsidRPr="00BF1A04">
        <w:rPr>
          <w:color w:val="auto"/>
          <w:szCs w:val="24"/>
        </w:rPr>
        <w:t xml:space="preserve">prisoners in Northern Ireland.  In addition to direct </w:t>
      </w:r>
      <w:r w:rsidR="000465B0">
        <w:rPr>
          <w:color w:val="auto"/>
        </w:rPr>
        <w:br/>
      </w:r>
      <w:r w:rsidR="000465B0">
        <w:rPr>
          <w:color w:val="auto"/>
        </w:rPr>
        <w:tab/>
      </w:r>
      <w:r w:rsidR="000E3C34" w:rsidRPr="00BF1A04">
        <w:rPr>
          <w:color w:val="auto"/>
          <w:szCs w:val="24"/>
        </w:rPr>
        <w:t xml:space="preserve">engagement with the Northern Ireland Prison Service, </w:t>
      </w:r>
      <w:r w:rsidR="0078405B">
        <w:rPr>
          <w:color w:val="auto"/>
          <w:szCs w:val="24"/>
        </w:rPr>
        <w:t xml:space="preserve">the </w:t>
      </w:r>
      <w:r w:rsidR="0078405B">
        <w:rPr>
          <w:color w:val="auto"/>
          <w:szCs w:val="24"/>
        </w:rPr>
        <w:br/>
      </w:r>
      <w:r w:rsidR="0078405B">
        <w:rPr>
          <w:color w:val="auto"/>
          <w:szCs w:val="24"/>
        </w:rPr>
        <w:tab/>
        <w:t xml:space="preserve">Commission has </w:t>
      </w:r>
      <w:r w:rsidR="000E3C34" w:rsidRPr="00BF1A04">
        <w:rPr>
          <w:color w:val="auto"/>
          <w:szCs w:val="24"/>
        </w:rPr>
        <w:t xml:space="preserve">assisted prisoners and their families in </w:t>
      </w:r>
      <w:r w:rsidR="0078405B">
        <w:rPr>
          <w:color w:val="auto"/>
          <w:szCs w:val="24"/>
        </w:rPr>
        <w:br/>
      </w:r>
      <w:r w:rsidR="0078405B">
        <w:rPr>
          <w:color w:val="auto"/>
          <w:szCs w:val="24"/>
        </w:rPr>
        <w:tab/>
      </w:r>
      <w:r w:rsidR="000E3C34" w:rsidRPr="00BF1A04">
        <w:rPr>
          <w:color w:val="auto"/>
          <w:szCs w:val="24"/>
        </w:rPr>
        <w:t>individual cases and ha</w:t>
      </w:r>
      <w:r w:rsidR="0078405B">
        <w:rPr>
          <w:color w:val="auto"/>
          <w:szCs w:val="24"/>
        </w:rPr>
        <w:t xml:space="preserve">s published </w:t>
      </w:r>
      <w:r w:rsidR="000E3C34" w:rsidRPr="00BF1A04">
        <w:rPr>
          <w:color w:val="auto"/>
          <w:szCs w:val="24"/>
        </w:rPr>
        <w:t xml:space="preserve">two investigations into the </w:t>
      </w:r>
      <w:r w:rsidR="0078405B">
        <w:rPr>
          <w:color w:val="auto"/>
          <w:szCs w:val="24"/>
        </w:rPr>
        <w:br/>
      </w:r>
      <w:r w:rsidR="0078405B">
        <w:rPr>
          <w:color w:val="auto"/>
          <w:szCs w:val="24"/>
        </w:rPr>
        <w:tab/>
      </w:r>
      <w:r w:rsidR="000E3C34" w:rsidRPr="00BF1A04">
        <w:rPr>
          <w:color w:val="auto"/>
          <w:szCs w:val="24"/>
        </w:rPr>
        <w:t>rights of detained persons</w:t>
      </w:r>
      <w:r w:rsidR="0078405B">
        <w:rPr>
          <w:color w:val="auto"/>
          <w:szCs w:val="24"/>
        </w:rPr>
        <w:t xml:space="preserve"> in prison</w:t>
      </w:r>
      <w:r w:rsidR="000E3C34" w:rsidRPr="00BF1A04">
        <w:rPr>
          <w:rStyle w:val="FootnoteReference"/>
          <w:color w:val="auto"/>
          <w:szCs w:val="24"/>
        </w:rPr>
        <w:footnoteReference w:id="7"/>
      </w:r>
      <w:r w:rsidR="000E3C34" w:rsidRPr="00BF1A04">
        <w:rPr>
          <w:color w:val="auto"/>
          <w:szCs w:val="24"/>
        </w:rPr>
        <w:t xml:space="preserve">.  </w:t>
      </w:r>
    </w:p>
    <w:p w:rsidR="00BE3DAA" w:rsidRDefault="00BE3DAA" w:rsidP="0084142C">
      <w:pPr>
        <w:rPr>
          <w:color w:val="auto"/>
          <w:szCs w:val="24"/>
        </w:rPr>
      </w:pPr>
    </w:p>
    <w:p w:rsidR="00A05122" w:rsidRDefault="00B01BD4" w:rsidP="0084142C">
      <w:pPr>
        <w:ind w:left="720" w:hanging="720"/>
        <w:rPr>
          <w:rFonts w:eastAsia="Times New Roman" w:cs="PalatinoLinotype-Roman"/>
          <w:color w:val="auto"/>
          <w:szCs w:val="24"/>
        </w:rPr>
      </w:pPr>
      <w:r>
        <w:rPr>
          <w:color w:val="auto"/>
          <w:szCs w:val="24"/>
        </w:rPr>
        <w:lastRenderedPageBreak/>
        <w:t xml:space="preserve">10. </w:t>
      </w:r>
      <w:r>
        <w:rPr>
          <w:color w:val="auto"/>
          <w:szCs w:val="24"/>
        </w:rPr>
        <w:tab/>
      </w:r>
      <w:r w:rsidR="00BE3DAA" w:rsidRPr="00A175B8">
        <w:rPr>
          <w:color w:val="auto"/>
          <w:szCs w:val="24"/>
        </w:rPr>
        <w:t>A</w:t>
      </w:r>
      <w:r w:rsidR="00BE3DAA" w:rsidRPr="00A175B8">
        <w:rPr>
          <w:szCs w:val="24"/>
        </w:rPr>
        <w:t xml:space="preserve">rticle 10 (1) of the ICCPR states that “All persons deprived of </w:t>
      </w:r>
      <w:r w:rsidR="00BE3DAA" w:rsidRPr="00A175B8">
        <w:rPr>
          <w:szCs w:val="24"/>
        </w:rPr>
        <w:br/>
        <w:t xml:space="preserve">their liberty shall be treated with humanity and with respect </w:t>
      </w:r>
      <w:r w:rsidR="00BE3DAA" w:rsidRPr="00A175B8">
        <w:rPr>
          <w:szCs w:val="24"/>
        </w:rPr>
        <w:br/>
        <w:t>for the inherent dignity of the human person</w:t>
      </w:r>
      <w:r w:rsidR="00BE3DAA" w:rsidRPr="00A175B8">
        <w:rPr>
          <w:i/>
          <w:szCs w:val="24"/>
        </w:rPr>
        <w:t>”</w:t>
      </w:r>
      <w:r w:rsidR="00BE3DAA" w:rsidRPr="00A175B8">
        <w:rPr>
          <w:szCs w:val="24"/>
        </w:rPr>
        <w:t>.</w:t>
      </w:r>
      <w:r w:rsidR="00BE3DAA" w:rsidRPr="00A175B8">
        <w:rPr>
          <w:rFonts w:cs="Times"/>
          <w:color w:val="1A1818"/>
          <w:szCs w:val="24"/>
          <w:lang w:val="en-US"/>
        </w:rPr>
        <w:t xml:space="preserve">  </w:t>
      </w:r>
      <w:r w:rsidR="00A175B8" w:rsidRPr="00A175B8">
        <w:rPr>
          <w:rFonts w:cs="Times"/>
          <w:color w:val="1A1818"/>
          <w:szCs w:val="24"/>
          <w:lang w:val="en-US"/>
        </w:rPr>
        <w:t>Principle 5 of the Basic Principles states: ‘</w:t>
      </w:r>
      <w:r w:rsidR="00A175B8" w:rsidRPr="00A175B8">
        <w:rPr>
          <w:rFonts w:eastAsia="Times New Roman" w:cs="PalatinoLinotype-Roman"/>
          <w:color w:val="auto"/>
          <w:szCs w:val="24"/>
        </w:rPr>
        <w:t>‘Except for those limitations that are demonstrably necessitated by the fact of incarceration, all prisoners shall retain the human rights and fundamental freedoms set out in the Universal Declaration of Human Rights, and [...]</w:t>
      </w:r>
      <w:r w:rsidR="00A175B8">
        <w:rPr>
          <w:rFonts w:eastAsia="Times New Roman" w:cs="PalatinoLinotype-Roman"/>
          <w:color w:val="auto"/>
          <w:szCs w:val="24"/>
        </w:rPr>
        <w:t>United Nations covenants”</w:t>
      </w:r>
      <w:r w:rsidR="00A175B8" w:rsidRPr="00A175B8">
        <w:rPr>
          <w:rFonts w:eastAsia="Times New Roman" w:cs="PalatinoLinotype-Roman"/>
          <w:color w:val="auto"/>
          <w:szCs w:val="24"/>
        </w:rPr>
        <w:t xml:space="preserve">. The Standard Minimum Rules affirm </w:t>
      </w:r>
      <w:r w:rsidR="00A175B8">
        <w:rPr>
          <w:rFonts w:eastAsia="Times New Roman" w:cs="PalatinoLinotype-Roman"/>
          <w:color w:val="auto"/>
          <w:szCs w:val="24"/>
        </w:rPr>
        <w:t>that “</w:t>
      </w:r>
      <w:r w:rsidR="00A175B8" w:rsidRPr="00A175B8">
        <w:rPr>
          <w:rFonts w:eastAsia="Times New Roman" w:cs="PalatinoLinotype-Roman"/>
          <w:color w:val="auto"/>
          <w:szCs w:val="24"/>
        </w:rPr>
        <w:t>the prison system shall not, except as incidental to justifiable segregation or the maintenance of discipline, aggravate the suffering inherent in such a situation</w:t>
      </w:r>
      <w:r w:rsidR="00A175B8">
        <w:rPr>
          <w:rFonts w:eastAsia="Times New Roman" w:cs="PalatinoLinotype-Roman"/>
          <w:color w:val="auto"/>
          <w:szCs w:val="24"/>
        </w:rPr>
        <w:t>”</w:t>
      </w:r>
      <w:r w:rsidR="00A175B8" w:rsidRPr="00A175B8">
        <w:rPr>
          <w:rStyle w:val="FootnoteReference"/>
          <w:rFonts w:eastAsia="Times New Roman" w:cs="PalatinoLinotype-Roman"/>
          <w:color w:val="auto"/>
          <w:szCs w:val="24"/>
        </w:rPr>
        <w:footnoteReference w:id="8"/>
      </w:r>
      <w:r w:rsidR="00A175B8">
        <w:rPr>
          <w:rFonts w:eastAsia="Times New Roman" w:cs="PalatinoLinotype-Roman"/>
          <w:color w:val="auto"/>
          <w:szCs w:val="24"/>
        </w:rPr>
        <w:t xml:space="preserve">.  </w:t>
      </w:r>
    </w:p>
    <w:p w:rsidR="00A05122" w:rsidRDefault="00A05122" w:rsidP="0084142C">
      <w:pPr>
        <w:ind w:left="720" w:hanging="720"/>
        <w:rPr>
          <w:rFonts w:eastAsia="Times New Roman" w:cs="PalatinoLinotype-Roman"/>
          <w:color w:val="auto"/>
          <w:szCs w:val="24"/>
        </w:rPr>
      </w:pPr>
    </w:p>
    <w:p w:rsidR="00BE3DAA" w:rsidRPr="00A175B8" w:rsidRDefault="00A05122" w:rsidP="0084142C">
      <w:pPr>
        <w:ind w:left="720" w:hanging="720"/>
        <w:rPr>
          <w:rFonts w:cs="Times"/>
          <w:color w:val="1A1818"/>
          <w:szCs w:val="24"/>
          <w:lang w:val="en-US"/>
        </w:rPr>
      </w:pPr>
      <w:r>
        <w:rPr>
          <w:rFonts w:eastAsia="Times New Roman" w:cs="PalatinoLinotype-Roman"/>
          <w:color w:val="auto"/>
          <w:szCs w:val="24"/>
        </w:rPr>
        <w:t>1</w:t>
      </w:r>
      <w:r w:rsidR="00B01BD4">
        <w:rPr>
          <w:rFonts w:eastAsia="Times New Roman" w:cs="PalatinoLinotype-Roman"/>
          <w:color w:val="auto"/>
          <w:szCs w:val="24"/>
        </w:rPr>
        <w:t>1</w:t>
      </w:r>
      <w:r>
        <w:rPr>
          <w:rFonts w:eastAsia="Times New Roman" w:cs="PalatinoLinotype-Roman"/>
          <w:color w:val="auto"/>
          <w:szCs w:val="24"/>
        </w:rPr>
        <w:t xml:space="preserve">.  </w:t>
      </w:r>
      <w:r>
        <w:rPr>
          <w:rFonts w:eastAsia="Times New Roman" w:cs="PalatinoLinotype-Roman"/>
          <w:color w:val="auto"/>
          <w:szCs w:val="24"/>
        </w:rPr>
        <w:tab/>
      </w:r>
      <w:r w:rsidR="000036CA">
        <w:rPr>
          <w:rFonts w:eastAsia="Times New Roman" w:cs="PalatinoLinotype-Roman"/>
          <w:color w:val="auto"/>
          <w:szCs w:val="24"/>
        </w:rPr>
        <w:t>I</w:t>
      </w:r>
      <w:r w:rsidR="00A175B8">
        <w:rPr>
          <w:rFonts w:eastAsia="Times New Roman" w:cs="PalatinoLinotype-Roman"/>
          <w:color w:val="auto"/>
          <w:szCs w:val="24"/>
        </w:rPr>
        <w:t xml:space="preserve">nternational human rights </w:t>
      </w:r>
      <w:r w:rsidR="000036CA">
        <w:rPr>
          <w:rFonts w:eastAsia="Times New Roman" w:cs="PalatinoLinotype-Roman"/>
          <w:color w:val="auto"/>
          <w:szCs w:val="24"/>
        </w:rPr>
        <w:t xml:space="preserve">law requires </w:t>
      </w:r>
      <w:r w:rsidR="00A175B8">
        <w:rPr>
          <w:rFonts w:eastAsia="Times New Roman" w:cs="PalatinoLinotype-Roman"/>
          <w:color w:val="auto"/>
          <w:szCs w:val="24"/>
        </w:rPr>
        <w:t xml:space="preserve">therefore that </w:t>
      </w:r>
      <w:r w:rsidR="00A175B8" w:rsidRPr="00A175B8">
        <w:rPr>
          <w:rFonts w:eastAsia="Times New Roman" w:cs="PalatinoLinotype-Roman"/>
          <w:color w:val="auto"/>
          <w:szCs w:val="24"/>
        </w:rPr>
        <w:t xml:space="preserve">prisoners </w:t>
      </w:r>
      <w:r w:rsidR="000036CA">
        <w:rPr>
          <w:rFonts w:eastAsia="Times New Roman" w:cs="PalatinoLinotype-Roman"/>
          <w:color w:val="auto"/>
          <w:szCs w:val="24"/>
        </w:rPr>
        <w:t xml:space="preserve">be treated with dignity and that they </w:t>
      </w:r>
      <w:r w:rsidR="00A175B8" w:rsidRPr="00A175B8">
        <w:rPr>
          <w:rFonts w:eastAsia="Times New Roman" w:cs="PalatinoLinotype-Roman"/>
          <w:color w:val="auto"/>
          <w:szCs w:val="24"/>
        </w:rPr>
        <w:t>retain all rights apart from the right to liberty</w:t>
      </w:r>
      <w:r w:rsidR="00A175B8">
        <w:rPr>
          <w:rFonts w:eastAsia="Times New Roman" w:cs="PalatinoLinotype-Roman"/>
          <w:color w:val="auto"/>
          <w:szCs w:val="24"/>
        </w:rPr>
        <w:t>.  One of these rights is the right to make a complaint</w:t>
      </w:r>
      <w:r w:rsidR="00A175B8">
        <w:rPr>
          <w:rStyle w:val="FootnoteReference"/>
          <w:rFonts w:eastAsia="Times New Roman" w:cs="PalatinoLinotype-Roman"/>
          <w:color w:val="auto"/>
          <w:szCs w:val="24"/>
        </w:rPr>
        <w:footnoteReference w:id="9"/>
      </w:r>
      <w:r w:rsidR="00A175B8">
        <w:rPr>
          <w:rFonts w:eastAsia="Times New Roman" w:cs="PalatinoLinotype-Roman"/>
          <w:color w:val="auto"/>
          <w:szCs w:val="24"/>
        </w:rPr>
        <w:t xml:space="preserve"> and t</w:t>
      </w:r>
      <w:r w:rsidR="00BE3DAA" w:rsidRPr="00A175B8">
        <w:rPr>
          <w:rFonts w:cs="Times"/>
          <w:color w:val="1A1818"/>
          <w:szCs w:val="24"/>
          <w:lang w:val="en-US"/>
        </w:rPr>
        <w:t xml:space="preserve">he </w:t>
      </w:r>
      <w:r w:rsidR="00A175B8" w:rsidRPr="00A175B8">
        <w:rPr>
          <w:rFonts w:cs="Times"/>
          <w:color w:val="1A1818"/>
          <w:szCs w:val="24"/>
          <w:lang w:val="en-US"/>
        </w:rPr>
        <w:t>Standard Minimum Rules envisage an independent body where a prisoner can direct a complaint</w:t>
      </w:r>
      <w:r w:rsidR="00A175B8" w:rsidRPr="00A175B8">
        <w:rPr>
          <w:rStyle w:val="FootnoteReference"/>
          <w:rFonts w:cs="Times"/>
          <w:color w:val="1A1818"/>
          <w:szCs w:val="24"/>
          <w:lang w:val="en-US"/>
        </w:rPr>
        <w:footnoteReference w:id="10"/>
      </w:r>
      <w:r w:rsidR="00B57510">
        <w:rPr>
          <w:rFonts w:cs="Times"/>
          <w:color w:val="1A1818"/>
          <w:szCs w:val="24"/>
          <w:lang w:val="en-US"/>
        </w:rPr>
        <w:t xml:space="preserve">.  </w:t>
      </w:r>
    </w:p>
    <w:p w:rsidR="00BE3DAA" w:rsidRDefault="00BE3DAA" w:rsidP="0084142C">
      <w:pPr>
        <w:rPr>
          <w:rFonts w:cs="Times"/>
          <w:color w:val="1A1818"/>
          <w:szCs w:val="24"/>
          <w:lang w:val="en-US"/>
        </w:rPr>
      </w:pPr>
    </w:p>
    <w:p w:rsidR="00321EFE" w:rsidRDefault="000036CA" w:rsidP="0084142C">
      <w:pPr>
        <w:rPr>
          <w:color w:val="auto"/>
          <w:szCs w:val="24"/>
        </w:rPr>
      </w:pPr>
      <w:r>
        <w:rPr>
          <w:rFonts w:cs="Times"/>
          <w:color w:val="1A1818"/>
          <w:szCs w:val="24"/>
          <w:lang w:val="en-US"/>
        </w:rPr>
        <w:t>1</w:t>
      </w:r>
      <w:r w:rsidR="00B01BD4">
        <w:rPr>
          <w:rFonts w:cs="Times"/>
          <w:color w:val="1A1818"/>
          <w:szCs w:val="24"/>
          <w:lang w:val="en-US"/>
        </w:rPr>
        <w:t>2</w:t>
      </w:r>
      <w:r>
        <w:rPr>
          <w:rFonts w:cs="Times"/>
          <w:color w:val="1A1818"/>
          <w:szCs w:val="24"/>
          <w:lang w:val="en-US"/>
        </w:rPr>
        <w:t xml:space="preserve">.  </w:t>
      </w:r>
      <w:r>
        <w:rPr>
          <w:rFonts w:cs="Times"/>
          <w:color w:val="1A1818"/>
          <w:szCs w:val="24"/>
          <w:lang w:val="en-US"/>
        </w:rPr>
        <w:tab/>
      </w:r>
      <w:r w:rsidR="00BE3DAA" w:rsidRPr="00A175B8">
        <w:rPr>
          <w:color w:val="auto"/>
          <w:szCs w:val="24"/>
        </w:rPr>
        <w:t xml:space="preserve">Since the Ombudsman can investigate any eligible complaint </w:t>
      </w:r>
      <w:r w:rsidR="00BE3DAA" w:rsidRPr="00A175B8">
        <w:rPr>
          <w:color w:val="auto"/>
          <w:szCs w:val="24"/>
        </w:rPr>
        <w:br/>
      </w:r>
      <w:r w:rsidR="00BE3DAA" w:rsidRPr="00A175B8">
        <w:rPr>
          <w:color w:val="auto"/>
          <w:szCs w:val="24"/>
        </w:rPr>
        <w:tab/>
        <w:t>from a prisoner</w:t>
      </w:r>
      <w:r w:rsidR="00BE3DAA" w:rsidRPr="00A175B8">
        <w:rPr>
          <w:rStyle w:val="FootnoteReference"/>
          <w:color w:val="auto"/>
          <w:szCs w:val="24"/>
        </w:rPr>
        <w:footnoteReference w:id="11"/>
      </w:r>
      <w:r w:rsidR="00BE3DAA" w:rsidRPr="00A175B8">
        <w:rPr>
          <w:color w:val="auto"/>
          <w:szCs w:val="24"/>
        </w:rPr>
        <w:t xml:space="preserve"> </w:t>
      </w:r>
      <w:r w:rsidR="00A27FDE">
        <w:rPr>
          <w:color w:val="auto"/>
          <w:szCs w:val="24"/>
        </w:rPr>
        <w:t xml:space="preserve">this process </w:t>
      </w:r>
      <w:r w:rsidR="00BE3DAA" w:rsidRPr="00A175B8">
        <w:rPr>
          <w:color w:val="auto"/>
          <w:szCs w:val="24"/>
        </w:rPr>
        <w:t xml:space="preserve">could require consideration of a </w:t>
      </w:r>
      <w:r w:rsidR="00BE3DAA" w:rsidRPr="00A175B8">
        <w:rPr>
          <w:color w:val="auto"/>
          <w:szCs w:val="24"/>
        </w:rPr>
        <w:br/>
      </w:r>
      <w:r w:rsidR="00BE3DAA" w:rsidRPr="00A175B8">
        <w:rPr>
          <w:color w:val="auto"/>
          <w:szCs w:val="24"/>
        </w:rPr>
        <w:tab/>
        <w:t xml:space="preserve">number of ECHR rights.  </w:t>
      </w:r>
      <w:r w:rsidR="0015674B" w:rsidRPr="00E44D83">
        <w:t xml:space="preserve">Treating all persons deprived of their </w:t>
      </w:r>
      <w:r w:rsidR="0015674B">
        <w:br/>
      </w:r>
      <w:r w:rsidR="0015674B">
        <w:tab/>
      </w:r>
      <w:r w:rsidR="0015674B" w:rsidRPr="00E44D83">
        <w:t>liberty with humanity and with respect for their dignity is a</w:t>
      </w:r>
      <w:r w:rsidR="0015674B">
        <w:br/>
        <w:t xml:space="preserve"> </w:t>
      </w:r>
      <w:r w:rsidR="0015674B">
        <w:tab/>
      </w:r>
      <w:r w:rsidR="0015674B" w:rsidRPr="00E44D83">
        <w:t>rule</w:t>
      </w:r>
      <w:r w:rsidR="0015674B" w:rsidRPr="00E44D83">
        <w:rPr>
          <w:rFonts w:cs="Times"/>
          <w:color w:val="1A1818"/>
          <w:lang w:val="en-US"/>
        </w:rPr>
        <w:t xml:space="preserve"> that, as a minimum, cannot be dependent on the material </w:t>
      </w:r>
      <w:r w:rsidR="0015674B">
        <w:rPr>
          <w:rFonts w:cs="Times"/>
          <w:color w:val="1A1818"/>
          <w:lang w:val="en-US"/>
        </w:rPr>
        <w:br/>
      </w:r>
      <w:r w:rsidR="0015674B">
        <w:rPr>
          <w:rFonts w:cs="Times"/>
          <w:color w:val="1A1818"/>
          <w:lang w:val="en-US"/>
        </w:rPr>
        <w:tab/>
      </w:r>
      <w:r w:rsidR="0015674B" w:rsidRPr="00E44D83">
        <w:rPr>
          <w:rFonts w:cs="Times"/>
          <w:color w:val="1A1818"/>
          <w:lang w:val="en-US"/>
        </w:rPr>
        <w:t xml:space="preserve">resources available and must be applied without distinction of </w:t>
      </w:r>
      <w:r w:rsidR="0015674B">
        <w:rPr>
          <w:rFonts w:cs="Times"/>
          <w:color w:val="1A1818"/>
          <w:lang w:val="en-US"/>
        </w:rPr>
        <w:br/>
      </w:r>
      <w:r w:rsidR="0015674B">
        <w:rPr>
          <w:rFonts w:cs="Times"/>
          <w:color w:val="1A1818"/>
          <w:lang w:val="en-US"/>
        </w:rPr>
        <w:tab/>
      </w:r>
      <w:r w:rsidR="0015674B" w:rsidRPr="00E44D83">
        <w:rPr>
          <w:rFonts w:cs="Times"/>
          <w:color w:val="1A1818"/>
          <w:lang w:val="en-US"/>
        </w:rPr>
        <w:t>any kind.</w:t>
      </w:r>
      <w:r w:rsidR="0015674B" w:rsidRPr="00E44D83">
        <w:rPr>
          <w:rStyle w:val="FootnoteReference"/>
          <w:rFonts w:cs="Times"/>
          <w:color w:val="1A1818"/>
          <w:lang w:val="en-US"/>
        </w:rPr>
        <w:footnoteReference w:id="12"/>
      </w:r>
      <w:r w:rsidR="0015674B" w:rsidRPr="00E44D83">
        <w:rPr>
          <w:rFonts w:cs="Times"/>
          <w:color w:val="1A1818"/>
          <w:lang w:val="en-US"/>
        </w:rPr>
        <w:t xml:space="preserve">  </w:t>
      </w:r>
      <w:r w:rsidR="00321EFE">
        <w:rPr>
          <w:color w:val="auto"/>
          <w:szCs w:val="24"/>
        </w:rPr>
        <w:t xml:space="preserve">The Commission advises that the Department </w:t>
      </w:r>
      <w:r w:rsidR="0015674B">
        <w:rPr>
          <w:color w:val="auto"/>
          <w:szCs w:val="24"/>
        </w:rPr>
        <w:br/>
      </w:r>
      <w:r w:rsidR="0015674B">
        <w:rPr>
          <w:color w:val="auto"/>
          <w:szCs w:val="24"/>
        </w:rPr>
        <w:tab/>
      </w:r>
      <w:r w:rsidR="00321EFE">
        <w:rPr>
          <w:color w:val="auto"/>
          <w:szCs w:val="24"/>
        </w:rPr>
        <w:t xml:space="preserve">examine the </w:t>
      </w:r>
      <w:r w:rsidR="0015674B">
        <w:rPr>
          <w:color w:val="auto"/>
          <w:szCs w:val="24"/>
        </w:rPr>
        <w:t xml:space="preserve">proposed </w:t>
      </w:r>
      <w:r w:rsidR="00321EFE">
        <w:rPr>
          <w:color w:val="auto"/>
          <w:szCs w:val="24"/>
        </w:rPr>
        <w:t xml:space="preserve">legislative footing of the Ombudsman’s </w:t>
      </w:r>
      <w:r w:rsidR="0015674B">
        <w:rPr>
          <w:color w:val="auto"/>
          <w:szCs w:val="24"/>
        </w:rPr>
        <w:br/>
      </w:r>
      <w:r w:rsidR="0015674B">
        <w:rPr>
          <w:color w:val="auto"/>
          <w:szCs w:val="24"/>
        </w:rPr>
        <w:tab/>
      </w:r>
      <w:r w:rsidR="00321EFE">
        <w:rPr>
          <w:color w:val="auto"/>
          <w:szCs w:val="24"/>
        </w:rPr>
        <w:t xml:space="preserve">office </w:t>
      </w:r>
      <w:r w:rsidR="00A27FDE">
        <w:rPr>
          <w:color w:val="auto"/>
          <w:szCs w:val="24"/>
        </w:rPr>
        <w:t>to ensure t</w:t>
      </w:r>
      <w:r w:rsidR="00321EFE">
        <w:rPr>
          <w:color w:val="auto"/>
          <w:szCs w:val="24"/>
        </w:rPr>
        <w:t xml:space="preserve">hat </w:t>
      </w:r>
      <w:r w:rsidR="00A27FDE">
        <w:rPr>
          <w:color w:val="auto"/>
          <w:szCs w:val="24"/>
        </w:rPr>
        <w:t xml:space="preserve">it </w:t>
      </w:r>
      <w:r w:rsidR="00321EFE">
        <w:rPr>
          <w:color w:val="auto"/>
          <w:szCs w:val="24"/>
        </w:rPr>
        <w:t xml:space="preserve">has the statutory power and resources </w:t>
      </w:r>
      <w:r w:rsidR="0015674B">
        <w:rPr>
          <w:color w:val="auto"/>
          <w:szCs w:val="24"/>
        </w:rPr>
        <w:br/>
      </w:r>
      <w:r w:rsidR="0015674B">
        <w:rPr>
          <w:color w:val="auto"/>
          <w:szCs w:val="24"/>
        </w:rPr>
        <w:tab/>
      </w:r>
      <w:r w:rsidR="00321EFE">
        <w:rPr>
          <w:color w:val="auto"/>
          <w:szCs w:val="24"/>
        </w:rPr>
        <w:t xml:space="preserve">required to </w:t>
      </w:r>
      <w:r w:rsidR="0015674B">
        <w:rPr>
          <w:color w:val="auto"/>
          <w:szCs w:val="24"/>
        </w:rPr>
        <w:t>f</w:t>
      </w:r>
      <w:r w:rsidR="00321EFE">
        <w:rPr>
          <w:color w:val="auto"/>
          <w:szCs w:val="24"/>
        </w:rPr>
        <w:t xml:space="preserve">ulfil its function of an independent complaint </w:t>
      </w:r>
      <w:r w:rsidR="0015674B">
        <w:rPr>
          <w:color w:val="auto"/>
          <w:szCs w:val="24"/>
        </w:rPr>
        <w:br/>
      </w:r>
      <w:r w:rsidR="0015674B">
        <w:rPr>
          <w:color w:val="auto"/>
          <w:szCs w:val="24"/>
        </w:rPr>
        <w:tab/>
      </w:r>
      <w:r w:rsidR="00321EFE">
        <w:rPr>
          <w:color w:val="auto"/>
          <w:szCs w:val="24"/>
        </w:rPr>
        <w:t xml:space="preserve">system.  </w:t>
      </w:r>
    </w:p>
    <w:p w:rsidR="0015674B" w:rsidRDefault="0015674B" w:rsidP="0084142C">
      <w:pPr>
        <w:rPr>
          <w:color w:val="auto"/>
          <w:szCs w:val="24"/>
        </w:rPr>
      </w:pPr>
    </w:p>
    <w:p w:rsidR="000036CA" w:rsidRDefault="00321EFE" w:rsidP="0084142C">
      <w:pPr>
        <w:rPr>
          <w:color w:val="auto"/>
        </w:rPr>
      </w:pPr>
      <w:r>
        <w:rPr>
          <w:color w:val="auto"/>
          <w:szCs w:val="24"/>
        </w:rPr>
        <w:t>1</w:t>
      </w:r>
      <w:r w:rsidR="00B01BD4">
        <w:rPr>
          <w:color w:val="auto"/>
          <w:szCs w:val="24"/>
        </w:rPr>
        <w:t>3</w:t>
      </w:r>
      <w:r>
        <w:rPr>
          <w:color w:val="auto"/>
          <w:szCs w:val="24"/>
        </w:rPr>
        <w:t xml:space="preserve">. </w:t>
      </w:r>
      <w:r>
        <w:rPr>
          <w:color w:val="auto"/>
          <w:szCs w:val="24"/>
        </w:rPr>
        <w:tab/>
        <w:t xml:space="preserve">As noted, the </w:t>
      </w:r>
      <w:r w:rsidR="008D0E10">
        <w:rPr>
          <w:color w:val="auto"/>
          <w:szCs w:val="24"/>
        </w:rPr>
        <w:t>Commission</w:t>
      </w:r>
      <w:r>
        <w:rPr>
          <w:color w:val="auto"/>
          <w:szCs w:val="24"/>
        </w:rPr>
        <w:t xml:space="preserve"> recognizes and acknowledges the </w:t>
      </w:r>
      <w:r>
        <w:rPr>
          <w:color w:val="auto"/>
          <w:szCs w:val="24"/>
        </w:rPr>
        <w:br/>
      </w:r>
      <w:r>
        <w:rPr>
          <w:color w:val="auto"/>
          <w:szCs w:val="24"/>
        </w:rPr>
        <w:tab/>
        <w:t xml:space="preserve">wide range of issues considered by the Ombudsman’s </w:t>
      </w:r>
      <w:r>
        <w:rPr>
          <w:color w:val="auto"/>
          <w:szCs w:val="24"/>
        </w:rPr>
        <w:br/>
      </w:r>
      <w:r>
        <w:rPr>
          <w:color w:val="auto"/>
          <w:szCs w:val="24"/>
        </w:rPr>
        <w:tab/>
        <w:t xml:space="preserve">complaints system.  This </w:t>
      </w:r>
      <w:r w:rsidR="000E3C34" w:rsidRPr="00BF1A04">
        <w:rPr>
          <w:color w:val="auto"/>
        </w:rPr>
        <w:t xml:space="preserve">advice focuses </w:t>
      </w:r>
      <w:r w:rsidR="000036CA">
        <w:rPr>
          <w:color w:val="auto"/>
        </w:rPr>
        <w:t xml:space="preserve">however </w:t>
      </w:r>
      <w:r w:rsidR="000E3C34" w:rsidRPr="00BF1A04">
        <w:rPr>
          <w:color w:val="auto"/>
        </w:rPr>
        <w:t xml:space="preserve">on the </w:t>
      </w:r>
      <w:r>
        <w:rPr>
          <w:color w:val="auto"/>
        </w:rPr>
        <w:br/>
      </w:r>
      <w:r>
        <w:rPr>
          <w:color w:val="auto"/>
        </w:rPr>
        <w:tab/>
      </w:r>
      <w:r w:rsidR="000E3C34" w:rsidRPr="00BF1A04">
        <w:rPr>
          <w:color w:val="auto"/>
        </w:rPr>
        <w:t xml:space="preserve">requirement for independence of a </w:t>
      </w:r>
      <w:r w:rsidR="000036CA">
        <w:rPr>
          <w:color w:val="auto"/>
        </w:rPr>
        <w:t xml:space="preserve">complaints system where </w:t>
      </w:r>
      <w:r>
        <w:rPr>
          <w:color w:val="auto"/>
        </w:rPr>
        <w:br/>
      </w:r>
      <w:r>
        <w:rPr>
          <w:color w:val="auto"/>
        </w:rPr>
        <w:tab/>
      </w:r>
      <w:r w:rsidR="000036CA">
        <w:rPr>
          <w:color w:val="auto"/>
        </w:rPr>
        <w:t>ECHR article 2 and article 3 is engaged</w:t>
      </w:r>
      <w:r w:rsidR="0078405B">
        <w:rPr>
          <w:color w:val="auto"/>
        </w:rPr>
        <w:t xml:space="preserve">.  </w:t>
      </w:r>
    </w:p>
    <w:p w:rsidR="000036CA" w:rsidRDefault="000036CA" w:rsidP="0084142C">
      <w:pPr>
        <w:rPr>
          <w:color w:val="auto"/>
        </w:rPr>
      </w:pPr>
    </w:p>
    <w:p w:rsidR="00AB4427" w:rsidRDefault="000036CA" w:rsidP="0084142C">
      <w:pPr>
        <w:rPr>
          <w:color w:val="auto"/>
        </w:rPr>
      </w:pPr>
      <w:r>
        <w:rPr>
          <w:color w:val="auto"/>
        </w:rPr>
        <w:lastRenderedPageBreak/>
        <w:t>1</w:t>
      </w:r>
      <w:r w:rsidR="00B01BD4">
        <w:rPr>
          <w:color w:val="auto"/>
        </w:rPr>
        <w:t>4</w:t>
      </w:r>
      <w:r>
        <w:rPr>
          <w:color w:val="auto"/>
        </w:rPr>
        <w:t xml:space="preserve">.  </w:t>
      </w:r>
      <w:r>
        <w:rPr>
          <w:color w:val="auto"/>
        </w:rPr>
        <w:tab/>
      </w:r>
      <w:r w:rsidR="0078405B">
        <w:rPr>
          <w:color w:val="auto"/>
        </w:rPr>
        <w:t>In</w:t>
      </w:r>
      <w:r w:rsidR="000E3C34" w:rsidRPr="00BF1A04">
        <w:rPr>
          <w:color w:val="auto"/>
        </w:rPr>
        <w:t xml:space="preserve"> summary, the Commission advises that placing the </w:t>
      </w:r>
      <w:r>
        <w:rPr>
          <w:color w:val="auto"/>
        </w:rPr>
        <w:br/>
      </w:r>
      <w:r>
        <w:rPr>
          <w:color w:val="auto"/>
        </w:rPr>
        <w:tab/>
      </w:r>
      <w:r w:rsidR="000E3C34" w:rsidRPr="00BF1A04">
        <w:rPr>
          <w:color w:val="auto"/>
        </w:rPr>
        <w:t>Ombudsman on a statutory footing will comply with the NI</w:t>
      </w:r>
      <w:r w:rsidR="0078405B">
        <w:rPr>
          <w:color w:val="auto"/>
        </w:rPr>
        <w:t xml:space="preserve"> </w:t>
      </w:r>
      <w:r>
        <w:rPr>
          <w:color w:val="auto"/>
        </w:rPr>
        <w:br/>
      </w:r>
      <w:r>
        <w:rPr>
          <w:color w:val="auto"/>
        </w:rPr>
        <w:tab/>
      </w:r>
      <w:r w:rsidR="000E3C34" w:rsidRPr="00BF1A04">
        <w:rPr>
          <w:color w:val="auto"/>
        </w:rPr>
        <w:t>Executive’s obligations under domestic and in</w:t>
      </w:r>
      <w:r w:rsidR="00706CDD" w:rsidRPr="00BF1A04">
        <w:rPr>
          <w:color w:val="auto"/>
        </w:rPr>
        <w:t xml:space="preserve">ternational </w:t>
      </w:r>
      <w:r>
        <w:rPr>
          <w:color w:val="auto"/>
        </w:rPr>
        <w:br/>
      </w:r>
      <w:r>
        <w:rPr>
          <w:color w:val="auto"/>
        </w:rPr>
        <w:tab/>
      </w:r>
      <w:r w:rsidR="00706CDD" w:rsidRPr="00BF1A04">
        <w:rPr>
          <w:color w:val="auto"/>
        </w:rPr>
        <w:t>human rights law</w:t>
      </w:r>
      <w:r w:rsidR="005136D1" w:rsidRPr="00BF1A04">
        <w:rPr>
          <w:color w:val="auto"/>
        </w:rPr>
        <w:t xml:space="preserve"> particularly in respect to the right to life and </w:t>
      </w:r>
      <w:r>
        <w:rPr>
          <w:color w:val="auto"/>
        </w:rPr>
        <w:br/>
      </w:r>
      <w:r>
        <w:rPr>
          <w:color w:val="auto"/>
        </w:rPr>
        <w:tab/>
      </w:r>
      <w:r w:rsidR="005136D1" w:rsidRPr="00BF1A04">
        <w:rPr>
          <w:color w:val="auto"/>
        </w:rPr>
        <w:t xml:space="preserve">to </w:t>
      </w:r>
      <w:r w:rsidR="00CD4026">
        <w:rPr>
          <w:color w:val="auto"/>
        </w:rPr>
        <w:t xml:space="preserve">investigating </w:t>
      </w:r>
      <w:r w:rsidR="005136D1" w:rsidRPr="00BF1A04">
        <w:rPr>
          <w:color w:val="auto"/>
        </w:rPr>
        <w:t xml:space="preserve">allegations of </w:t>
      </w:r>
      <w:r w:rsidR="001324F0">
        <w:rPr>
          <w:color w:val="auto"/>
        </w:rPr>
        <w:t xml:space="preserve">torture, </w:t>
      </w:r>
      <w:r w:rsidR="005136D1" w:rsidRPr="00BF1A04">
        <w:rPr>
          <w:color w:val="auto"/>
        </w:rPr>
        <w:t xml:space="preserve">inhuman or degrading </w:t>
      </w:r>
      <w:r>
        <w:rPr>
          <w:color w:val="auto"/>
        </w:rPr>
        <w:br/>
      </w:r>
      <w:r>
        <w:rPr>
          <w:color w:val="auto"/>
        </w:rPr>
        <w:tab/>
      </w:r>
      <w:r w:rsidR="005136D1" w:rsidRPr="00BF1A04">
        <w:rPr>
          <w:color w:val="auto"/>
        </w:rPr>
        <w:t>treatment</w:t>
      </w:r>
      <w:r w:rsidR="001324F0">
        <w:rPr>
          <w:color w:val="auto"/>
        </w:rPr>
        <w:t xml:space="preserve">.  </w:t>
      </w:r>
    </w:p>
    <w:p w:rsidR="00AB4427" w:rsidRDefault="00AB4427" w:rsidP="0084142C">
      <w:pPr>
        <w:pStyle w:val="Default"/>
        <w:rPr>
          <w:color w:val="auto"/>
        </w:rPr>
      </w:pPr>
    </w:p>
    <w:p w:rsidR="00C1541B" w:rsidRPr="000036CA" w:rsidRDefault="00AB4427" w:rsidP="0084142C">
      <w:pPr>
        <w:pStyle w:val="Default"/>
        <w:rPr>
          <w:color w:val="auto"/>
        </w:rPr>
      </w:pPr>
      <w:r>
        <w:rPr>
          <w:color w:val="auto"/>
        </w:rPr>
        <w:t>1</w:t>
      </w:r>
      <w:r w:rsidR="00B01BD4">
        <w:rPr>
          <w:color w:val="auto"/>
        </w:rPr>
        <w:t>5</w:t>
      </w:r>
      <w:r>
        <w:rPr>
          <w:color w:val="auto"/>
        </w:rPr>
        <w:t xml:space="preserve">. </w:t>
      </w:r>
      <w:r>
        <w:rPr>
          <w:color w:val="auto"/>
        </w:rPr>
        <w:tab/>
      </w:r>
      <w:r w:rsidR="001324F0">
        <w:rPr>
          <w:color w:val="auto"/>
        </w:rPr>
        <w:t>T</w:t>
      </w:r>
      <w:r w:rsidR="00904737" w:rsidRPr="00C1541B">
        <w:rPr>
          <w:lang w:val="is-IS"/>
        </w:rPr>
        <w:t xml:space="preserve">he right to life is </w:t>
      </w:r>
      <w:r w:rsidR="001324F0">
        <w:rPr>
          <w:lang w:val="is-IS"/>
        </w:rPr>
        <w:t xml:space="preserve">protected by </w:t>
      </w:r>
      <w:r w:rsidR="00904737" w:rsidRPr="00C1541B">
        <w:rPr>
          <w:lang w:val="is-IS"/>
        </w:rPr>
        <w:t xml:space="preserve">ICCPR, Article 6 and ECHR, </w:t>
      </w:r>
      <w:r w:rsidR="001324F0">
        <w:rPr>
          <w:lang w:val="is-IS"/>
        </w:rPr>
        <w:br/>
      </w:r>
      <w:r w:rsidR="001324F0">
        <w:rPr>
          <w:lang w:val="is-IS"/>
        </w:rPr>
        <w:tab/>
      </w:r>
      <w:r w:rsidR="00904737" w:rsidRPr="00C1541B">
        <w:rPr>
          <w:lang w:val="is-IS"/>
        </w:rPr>
        <w:t xml:space="preserve">Article 2.   </w:t>
      </w:r>
      <w:bookmarkStart w:id="1" w:name="a5"/>
      <w:bookmarkEnd w:id="1"/>
      <w:r w:rsidR="00C1541B" w:rsidRPr="00C1541B">
        <w:rPr>
          <w:lang w:val="is-IS"/>
        </w:rPr>
        <w:t xml:space="preserve">The right not to be tortured or </w:t>
      </w:r>
      <w:r w:rsidR="00C1541B">
        <w:rPr>
          <w:lang w:val="is-IS"/>
        </w:rPr>
        <w:t xml:space="preserve">be </w:t>
      </w:r>
      <w:r w:rsidR="00C1541B" w:rsidRPr="00C1541B">
        <w:rPr>
          <w:lang w:val="is-IS"/>
        </w:rPr>
        <w:t xml:space="preserve">subject to </w:t>
      </w:r>
      <w:r w:rsidR="00C1541B">
        <w:rPr>
          <w:lang w:val="is-IS"/>
        </w:rPr>
        <w:t xml:space="preserve">cruel, </w:t>
      </w:r>
      <w:r w:rsidR="001324F0">
        <w:rPr>
          <w:lang w:val="is-IS"/>
        </w:rPr>
        <w:br/>
      </w:r>
      <w:r w:rsidR="001324F0">
        <w:rPr>
          <w:lang w:val="is-IS"/>
        </w:rPr>
        <w:tab/>
      </w:r>
      <w:r w:rsidR="00C1541B" w:rsidRPr="00C1541B">
        <w:rPr>
          <w:lang w:val="is-IS"/>
        </w:rPr>
        <w:t xml:space="preserve">inhuman or degrading treatment or punishment is </w:t>
      </w:r>
      <w:r w:rsidR="001324F0">
        <w:rPr>
          <w:lang w:val="is-IS"/>
        </w:rPr>
        <w:t xml:space="preserve">protected </w:t>
      </w:r>
      <w:r w:rsidR="001324F0">
        <w:rPr>
          <w:lang w:val="is-IS"/>
        </w:rPr>
        <w:br/>
      </w:r>
      <w:r w:rsidR="001324F0">
        <w:rPr>
          <w:lang w:val="is-IS"/>
        </w:rPr>
        <w:tab/>
        <w:t>by I</w:t>
      </w:r>
      <w:r w:rsidR="00C1541B" w:rsidRPr="00C1541B">
        <w:rPr>
          <w:lang w:val="is-IS"/>
        </w:rPr>
        <w:t xml:space="preserve">CCPR, Article 7 and ECHR, Article 3.  </w:t>
      </w:r>
    </w:p>
    <w:p w:rsidR="00C1541B" w:rsidRPr="00C1541B" w:rsidRDefault="00C1541B" w:rsidP="0084142C">
      <w:pPr>
        <w:pStyle w:val="Default"/>
        <w:rPr>
          <w:lang w:val="is-IS"/>
        </w:rPr>
      </w:pPr>
    </w:p>
    <w:p w:rsidR="00250F0B" w:rsidRDefault="00BD4958" w:rsidP="0084142C">
      <w:pPr>
        <w:pStyle w:val="Default"/>
        <w:rPr>
          <w:lang w:val="is-IS"/>
        </w:rPr>
      </w:pPr>
      <w:r>
        <w:rPr>
          <w:lang w:val="is-IS"/>
        </w:rPr>
        <w:t>1</w:t>
      </w:r>
      <w:r w:rsidR="00B01BD4">
        <w:rPr>
          <w:lang w:val="is-IS"/>
        </w:rPr>
        <w:t>6</w:t>
      </w:r>
      <w:r w:rsidR="00C1541B" w:rsidRPr="00C1541B">
        <w:rPr>
          <w:lang w:val="is-IS"/>
        </w:rPr>
        <w:t xml:space="preserve">. </w:t>
      </w:r>
      <w:r w:rsidR="00C1541B" w:rsidRPr="00C1541B">
        <w:rPr>
          <w:lang w:val="is-IS"/>
        </w:rPr>
        <w:tab/>
      </w:r>
      <w:r w:rsidR="00C65636" w:rsidRPr="00C1541B">
        <w:rPr>
          <w:lang w:val="is-IS"/>
        </w:rPr>
        <w:t xml:space="preserve">The </w:t>
      </w:r>
      <w:r w:rsidR="001324F0">
        <w:rPr>
          <w:lang w:val="is-IS"/>
        </w:rPr>
        <w:t xml:space="preserve">NI Executive and relevent public authorities have </w:t>
      </w:r>
      <w:r w:rsidR="00BA114A" w:rsidRPr="00C1541B">
        <w:rPr>
          <w:lang w:val="is-IS"/>
        </w:rPr>
        <w:t xml:space="preserve">a </w:t>
      </w:r>
      <w:r w:rsidR="001324F0">
        <w:rPr>
          <w:lang w:val="is-IS"/>
        </w:rPr>
        <w:br/>
      </w:r>
      <w:r w:rsidR="001324F0">
        <w:rPr>
          <w:lang w:val="is-IS"/>
        </w:rPr>
        <w:tab/>
      </w:r>
      <w:r w:rsidR="00BA114A" w:rsidRPr="00C1541B">
        <w:rPr>
          <w:lang w:val="is-IS"/>
        </w:rPr>
        <w:t xml:space="preserve">positive obligation to </w:t>
      </w:r>
      <w:r w:rsidR="00904737" w:rsidRPr="00C1541B">
        <w:rPr>
          <w:lang w:val="is-IS"/>
        </w:rPr>
        <w:t>‘</w:t>
      </w:r>
      <w:r w:rsidR="00BA114A" w:rsidRPr="00C1541B">
        <w:rPr>
          <w:lang w:val="is-IS"/>
        </w:rPr>
        <w:t>secure</w:t>
      </w:r>
      <w:r w:rsidR="00904737" w:rsidRPr="00C1541B">
        <w:rPr>
          <w:lang w:val="is-IS"/>
        </w:rPr>
        <w:t>’</w:t>
      </w:r>
      <w:r w:rsidR="00BA114A" w:rsidRPr="00BF1A04">
        <w:rPr>
          <w:rStyle w:val="FootnoteReference"/>
          <w:lang w:val="is-IS"/>
        </w:rPr>
        <w:footnoteReference w:id="13"/>
      </w:r>
      <w:r w:rsidR="00904737" w:rsidRPr="00BF1A04">
        <w:rPr>
          <w:lang w:val="is-IS"/>
        </w:rPr>
        <w:t xml:space="preserve"> </w:t>
      </w:r>
      <w:r w:rsidR="00BA114A" w:rsidRPr="00BF1A04">
        <w:rPr>
          <w:lang w:val="is-IS"/>
        </w:rPr>
        <w:t xml:space="preserve">the rights of persons within </w:t>
      </w:r>
      <w:r w:rsidR="001324F0">
        <w:rPr>
          <w:lang w:val="is-IS"/>
        </w:rPr>
        <w:br/>
      </w:r>
      <w:r w:rsidR="001324F0">
        <w:rPr>
          <w:lang w:val="is-IS"/>
        </w:rPr>
        <w:tab/>
        <w:t xml:space="preserve">their </w:t>
      </w:r>
      <w:r w:rsidR="00BA114A" w:rsidRPr="00BF1A04">
        <w:rPr>
          <w:lang w:val="is-IS"/>
        </w:rPr>
        <w:t>jurisdiction</w:t>
      </w:r>
      <w:r w:rsidR="001324F0">
        <w:rPr>
          <w:lang w:val="is-IS"/>
        </w:rPr>
        <w:t>s</w:t>
      </w:r>
      <w:r w:rsidR="006A389B" w:rsidRPr="00BF1A04">
        <w:rPr>
          <w:lang w:val="is-IS"/>
        </w:rPr>
        <w:t xml:space="preserve">.  </w:t>
      </w:r>
      <w:r w:rsidR="00C65636" w:rsidRPr="00BF1A04">
        <w:rPr>
          <w:lang w:val="is-IS"/>
        </w:rPr>
        <w:t>I</w:t>
      </w:r>
      <w:r w:rsidR="006A389B" w:rsidRPr="00BF1A04">
        <w:rPr>
          <w:lang w:val="is-IS"/>
        </w:rPr>
        <w:t xml:space="preserve">n the context of a death in </w:t>
      </w:r>
      <w:r w:rsidR="00F72999">
        <w:rPr>
          <w:lang w:val="is-IS"/>
        </w:rPr>
        <w:tab/>
      </w:r>
      <w:r w:rsidR="006A389B" w:rsidRPr="00BF1A04">
        <w:rPr>
          <w:lang w:val="is-IS"/>
        </w:rPr>
        <w:t xml:space="preserve">prison </w:t>
      </w:r>
      <w:r w:rsidR="001324F0">
        <w:rPr>
          <w:lang w:val="is-IS"/>
        </w:rPr>
        <w:br/>
      </w:r>
      <w:r w:rsidR="001324F0">
        <w:rPr>
          <w:lang w:val="is-IS"/>
        </w:rPr>
        <w:tab/>
      </w:r>
      <w:r w:rsidR="006A389B" w:rsidRPr="00BF1A04">
        <w:rPr>
          <w:lang w:val="is-IS"/>
        </w:rPr>
        <w:t xml:space="preserve">therefore if the </w:t>
      </w:r>
      <w:r w:rsidR="00C65636" w:rsidRPr="00BF1A04">
        <w:rPr>
          <w:lang w:val="is-IS"/>
        </w:rPr>
        <w:t xml:space="preserve">state fails to undertake an official investigation </w:t>
      </w:r>
      <w:r w:rsidR="001324F0">
        <w:rPr>
          <w:lang w:val="is-IS"/>
        </w:rPr>
        <w:br/>
      </w:r>
      <w:r w:rsidR="001324F0">
        <w:rPr>
          <w:lang w:val="is-IS"/>
        </w:rPr>
        <w:tab/>
      </w:r>
      <w:r w:rsidR="006A389B" w:rsidRPr="00BF1A04">
        <w:rPr>
          <w:lang w:val="is-IS"/>
        </w:rPr>
        <w:t xml:space="preserve">this would amount to </w:t>
      </w:r>
      <w:r w:rsidR="00C65636" w:rsidRPr="00BF1A04">
        <w:rPr>
          <w:lang w:val="is-IS"/>
        </w:rPr>
        <w:t xml:space="preserve">breach of the right to life. However, it </w:t>
      </w:r>
      <w:r w:rsidR="001324F0">
        <w:rPr>
          <w:lang w:val="is-IS"/>
        </w:rPr>
        <w:br/>
      </w:r>
      <w:r w:rsidR="001324F0">
        <w:rPr>
          <w:lang w:val="is-IS"/>
        </w:rPr>
        <w:tab/>
      </w:r>
      <w:r w:rsidR="00C65636" w:rsidRPr="00BF1A04">
        <w:rPr>
          <w:lang w:val="is-IS"/>
        </w:rPr>
        <w:t xml:space="preserve">would also entail a breach of the obligation if, after having </w:t>
      </w:r>
      <w:r w:rsidR="001324F0">
        <w:rPr>
          <w:lang w:val="is-IS"/>
        </w:rPr>
        <w:br/>
      </w:r>
      <w:r w:rsidR="001324F0">
        <w:rPr>
          <w:lang w:val="is-IS"/>
        </w:rPr>
        <w:tab/>
      </w:r>
      <w:r w:rsidR="00C65636" w:rsidRPr="00BF1A04">
        <w:rPr>
          <w:lang w:val="is-IS"/>
        </w:rPr>
        <w:t>investigated, the investigation is</w:t>
      </w:r>
      <w:r w:rsidR="006A389B" w:rsidRPr="00BF1A04">
        <w:rPr>
          <w:lang w:val="is-IS"/>
        </w:rPr>
        <w:t xml:space="preserve"> </w:t>
      </w:r>
      <w:r w:rsidR="00C65636" w:rsidRPr="00BF1A04">
        <w:rPr>
          <w:lang w:val="is-IS"/>
        </w:rPr>
        <w:t>‘ineffective’</w:t>
      </w:r>
      <w:r w:rsidR="006A389B" w:rsidRPr="00BF1A04">
        <w:rPr>
          <w:rStyle w:val="FootnoteReference"/>
          <w:lang w:val="is-IS"/>
        </w:rPr>
        <w:footnoteReference w:id="14"/>
      </w:r>
      <w:r w:rsidR="00C65636" w:rsidRPr="00BF1A04">
        <w:rPr>
          <w:lang w:val="is-IS"/>
        </w:rPr>
        <w:t xml:space="preserve">. </w:t>
      </w:r>
      <w:r w:rsidR="006A389B" w:rsidRPr="00BF1A04">
        <w:rPr>
          <w:lang w:val="is-IS"/>
        </w:rPr>
        <w:t xml:space="preserve"> </w:t>
      </w:r>
      <w:r w:rsidR="00250F0B">
        <w:rPr>
          <w:lang w:val="is-IS"/>
        </w:rPr>
        <w:br/>
      </w:r>
    </w:p>
    <w:p w:rsidR="00250F0B" w:rsidRPr="00BF1A04" w:rsidRDefault="00250F0B" w:rsidP="0084142C">
      <w:pPr>
        <w:pStyle w:val="Default"/>
      </w:pPr>
      <w:r>
        <w:rPr>
          <w:lang w:val="is-IS"/>
        </w:rPr>
        <w:t>1</w:t>
      </w:r>
      <w:r w:rsidR="00B01BD4">
        <w:rPr>
          <w:lang w:val="is-IS"/>
        </w:rPr>
        <w:t>7</w:t>
      </w:r>
      <w:r>
        <w:rPr>
          <w:lang w:val="is-IS"/>
        </w:rPr>
        <w:t xml:space="preserve">. </w:t>
      </w:r>
      <w:r>
        <w:rPr>
          <w:lang w:val="is-IS"/>
        </w:rPr>
        <w:tab/>
      </w:r>
      <w:r w:rsidR="00EC4F99">
        <w:rPr>
          <w:lang w:val="is-IS"/>
        </w:rPr>
        <w:t>T</w:t>
      </w:r>
      <w:r w:rsidR="00EC4F99" w:rsidRPr="00BF1A04">
        <w:t xml:space="preserve">he obligation on the authorities to account for the </w:t>
      </w:r>
      <w:r w:rsidR="00EC4F99">
        <w:br/>
      </w:r>
      <w:r w:rsidR="00EC4F99">
        <w:tab/>
      </w:r>
      <w:r w:rsidR="00EC4F99" w:rsidRPr="00BF1A04">
        <w:t xml:space="preserve">treatment of an individual in custody is particularly stringent </w:t>
      </w:r>
      <w:r w:rsidR="00EC4F99">
        <w:br/>
      </w:r>
      <w:r w:rsidR="00EC4F99">
        <w:tab/>
      </w:r>
      <w:r w:rsidR="00EC4F99" w:rsidRPr="00BF1A04">
        <w:t>where that individual dies</w:t>
      </w:r>
      <w:r w:rsidR="00EC4F99">
        <w:rPr>
          <w:rStyle w:val="FootnoteReference"/>
        </w:rPr>
        <w:footnoteReference w:id="15"/>
      </w:r>
      <w:r w:rsidR="004C7C44">
        <w:t xml:space="preserve">; however </w:t>
      </w:r>
      <w:r w:rsidR="00EC4F99">
        <w:t>t</w:t>
      </w:r>
      <w:r w:rsidR="00EB5806">
        <w:rPr>
          <w:lang w:val="is-IS"/>
        </w:rPr>
        <w:t xml:space="preserve">he procedural </w:t>
      </w:r>
      <w:r w:rsidR="000036CA">
        <w:rPr>
          <w:lang w:val="is-IS"/>
        </w:rPr>
        <w:br/>
      </w:r>
      <w:r w:rsidR="000036CA">
        <w:rPr>
          <w:lang w:val="is-IS"/>
        </w:rPr>
        <w:tab/>
      </w:r>
      <w:r w:rsidR="00EB5806">
        <w:rPr>
          <w:lang w:val="is-IS"/>
        </w:rPr>
        <w:t xml:space="preserve">obligation to conduct an effective official investigation into </w:t>
      </w:r>
      <w:r w:rsidR="000036CA">
        <w:rPr>
          <w:lang w:val="is-IS"/>
        </w:rPr>
        <w:br/>
      </w:r>
      <w:r w:rsidR="000036CA">
        <w:rPr>
          <w:lang w:val="is-IS"/>
        </w:rPr>
        <w:tab/>
      </w:r>
      <w:r w:rsidR="00EB5806">
        <w:rPr>
          <w:lang w:val="is-IS"/>
        </w:rPr>
        <w:t>allegations of violations of ECHR</w:t>
      </w:r>
      <w:r w:rsidR="00141BB9">
        <w:rPr>
          <w:lang w:val="is-IS"/>
        </w:rPr>
        <w:t>, article 2</w:t>
      </w:r>
      <w:r w:rsidR="004C7C44">
        <w:rPr>
          <w:lang w:val="is-IS"/>
        </w:rPr>
        <w:t xml:space="preserve"> </w:t>
      </w:r>
      <w:r w:rsidR="00EB5806">
        <w:rPr>
          <w:lang w:val="is-IS"/>
        </w:rPr>
        <w:t>is equally applica</w:t>
      </w:r>
      <w:r>
        <w:rPr>
          <w:lang w:val="is-IS"/>
        </w:rPr>
        <w:t xml:space="preserve">ble </w:t>
      </w:r>
      <w:r w:rsidR="000036CA">
        <w:rPr>
          <w:lang w:val="is-IS"/>
        </w:rPr>
        <w:br/>
      </w:r>
      <w:r w:rsidR="000036CA">
        <w:rPr>
          <w:lang w:val="is-IS"/>
        </w:rPr>
        <w:tab/>
      </w:r>
      <w:r w:rsidR="00EB5806">
        <w:rPr>
          <w:lang w:val="is-IS"/>
        </w:rPr>
        <w:t>where allegations are made of article 3 ill-treatment</w:t>
      </w:r>
      <w:r w:rsidR="00EB5806">
        <w:rPr>
          <w:rStyle w:val="FootnoteReference"/>
          <w:lang w:val="is-IS"/>
        </w:rPr>
        <w:footnoteReference w:id="16"/>
      </w:r>
      <w:r w:rsidR="00EB5806">
        <w:rPr>
          <w:lang w:val="is-IS"/>
        </w:rPr>
        <w:t xml:space="preserve">.  </w:t>
      </w:r>
    </w:p>
    <w:p w:rsidR="00250F0B" w:rsidRDefault="00250F0B" w:rsidP="0084142C">
      <w:pPr>
        <w:pStyle w:val="Default"/>
        <w:rPr>
          <w:lang w:val="is-IS"/>
        </w:rPr>
      </w:pPr>
    </w:p>
    <w:p w:rsidR="002C405B" w:rsidRPr="002C405B" w:rsidRDefault="00250F0B" w:rsidP="0084142C">
      <w:pPr>
        <w:pStyle w:val="Default"/>
      </w:pPr>
      <w:r>
        <w:t>1</w:t>
      </w:r>
      <w:r w:rsidR="00B01BD4">
        <w:t>8</w:t>
      </w:r>
      <w:r w:rsidR="00F72999">
        <w:t xml:space="preserve">. </w:t>
      </w:r>
      <w:r w:rsidR="00F72999">
        <w:tab/>
      </w:r>
      <w:r w:rsidR="005136D1" w:rsidRPr="00BF1A04">
        <w:t>The Euro</w:t>
      </w:r>
      <w:r w:rsidR="002C405B">
        <w:t xml:space="preserve">pean </w:t>
      </w:r>
      <w:r w:rsidR="005136D1" w:rsidRPr="00BF1A04">
        <w:t xml:space="preserve">Court of Human Rights </w:t>
      </w:r>
      <w:r w:rsidR="002C405B">
        <w:t xml:space="preserve">(ECtHR) </w:t>
      </w:r>
      <w:r w:rsidR="005136D1" w:rsidRPr="00BF1A04">
        <w:t xml:space="preserve">has </w:t>
      </w:r>
      <w:r w:rsidR="00141BB9">
        <w:t>ruled</w:t>
      </w:r>
      <w:r w:rsidR="00F72999">
        <w:br/>
      </w:r>
      <w:r w:rsidR="00F72999">
        <w:tab/>
      </w:r>
      <w:r w:rsidR="005136D1" w:rsidRPr="00BF1A04">
        <w:t xml:space="preserve">that the obligation to ensure that everyone’s life is </w:t>
      </w:r>
      <w:r w:rsidR="00F72999">
        <w:tab/>
      </w:r>
      <w:r w:rsidR="005136D1" w:rsidRPr="00BF1A04">
        <w:t>protec</w:t>
      </w:r>
      <w:r w:rsidR="002C405B">
        <w:t>t</w:t>
      </w:r>
      <w:r w:rsidR="005136D1" w:rsidRPr="00BF1A04">
        <w:t xml:space="preserve">ed by law includes a procedural </w:t>
      </w:r>
      <w:r w:rsidR="00141BB9">
        <w:t xml:space="preserve">duty to guarantee </w:t>
      </w:r>
      <w:r w:rsidR="00141BB9">
        <w:br/>
      </w:r>
      <w:r w:rsidR="00141BB9">
        <w:tab/>
        <w:t>independent scrutiny in cases where a person has died</w:t>
      </w:r>
      <w:r w:rsidR="005136D1" w:rsidRPr="00BF1A04">
        <w:rPr>
          <w:rStyle w:val="FootnoteReference"/>
        </w:rPr>
        <w:footnoteReference w:id="17"/>
      </w:r>
      <w:r w:rsidR="00F753D3" w:rsidRPr="00BF1A04">
        <w:rPr>
          <w:rFonts w:cs="Arial-ItalicMT"/>
          <w:iCs/>
          <w:color w:val="auto"/>
        </w:rPr>
        <w:t xml:space="preserve">.  </w:t>
      </w:r>
      <w:r w:rsidR="00BD4958">
        <w:rPr>
          <w:rFonts w:cs="Arial-ItalicMT"/>
          <w:iCs/>
          <w:color w:val="auto"/>
        </w:rPr>
        <w:t xml:space="preserve">The </w:t>
      </w:r>
      <w:r w:rsidR="00141BB9">
        <w:rPr>
          <w:rFonts w:cs="Arial-ItalicMT"/>
          <w:iCs/>
          <w:color w:val="auto"/>
        </w:rPr>
        <w:br/>
      </w:r>
      <w:r w:rsidR="00141BB9">
        <w:rPr>
          <w:rFonts w:cs="Arial-ItalicMT"/>
          <w:iCs/>
          <w:color w:val="auto"/>
        </w:rPr>
        <w:tab/>
      </w:r>
      <w:r w:rsidR="00BD4958">
        <w:rPr>
          <w:rFonts w:cs="Arial-ItalicMT"/>
          <w:iCs/>
          <w:color w:val="auto"/>
        </w:rPr>
        <w:t xml:space="preserve">requirement of independence of the scrutiny body during the </w:t>
      </w:r>
      <w:r w:rsidR="00141BB9">
        <w:rPr>
          <w:rFonts w:cs="Arial-ItalicMT"/>
          <w:iCs/>
          <w:color w:val="auto"/>
        </w:rPr>
        <w:br/>
      </w:r>
      <w:r w:rsidR="00141BB9">
        <w:rPr>
          <w:rFonts w:cs="Arial-ItalicMT"/>
          <w:iCs/>
          <w:color w:val="auto"/>
        </w:rPr>
        <w:tab/>
      </w:r>
      <w:r w:rsidR="00BD4958">
        <w:rPr>
          <w:rFonts w:cs="Arial-ItalicMT"/>
          <w:iCs/>
          <w:color w:val="auto"/>
        </w:rPr>
        <w:t xml:space="preserve">initial stages of the investigation is acknowledged and </w:t>
      </w:r>
      <w:r w:rsidR="00141BB9">
        <w:rPr>
          <w:rFonts w:cs="Arial-ItalicMT"/>
          <w:iCs/>
          <w:color w:val="auto"/>
        </w:rPr>
        <w:br/>
      </w:r>
      <w:r w:rsidR="00141BB9">
        <w:rPr>
          <w:rFonts w:cs="Arial-ItalicMT"/>
          <w:iCs/>
          <w:color w:val="auto"/>
        </w:rPr>
        <w:tab/>
      </w:r>
      <w:r w:rsidR="00BD4958">
        <w:rPr>
          <w:rFonts w:cs="Arial-ItalicMT"/>
          <w:iCs/>
          <w:color w:val="auto"/>
        </w:rPr>
        <w:t>established by the ECtHR</w:t>
      </w:r>
      <w:r w:rsidR="00BD4958">
        <w:rPr>
          <w:rStyle w:val="FootnoteReference"/>
          <w:rFonts w:cs="Arial-ItalicMT"/>
          <w:iCs/>
          <w:color w:val="auto"/>
        </w:rPr>
        <w:footnoteReference w:id="18"/>
      </w:r>
      <w:r w:rsidR="00BD4958">
        <w:rPr>
          <w:rFonts w:cs="Arial-ItalicMT"/>
          <w:iCs/>
          <w:color w:val="auto"/>
        </w:rPr>
        <w:t xml:space="preserve">. </w:t>
      </w:r>
    </w:p>
    <w:p w:rsidR="002C405B" w:rsidRPr="002C405B" w:rsidRDefault="002C405B" w:rsidP="0084142C">
      <w:pPr>
        <w:pStyle w:val="Default"/>
        <w:ind w:left="720"/>
      </w:pPr>
    </w:p>
    <w:p w:rsidR="005136D1" w:rsidRPr="00BF1A04" w:rsidRDefault="00250F0B" w:rsidP="0084142C">
      <w:pPr>
        <w:pStyle w:val="Default"/>
      </w:pPr>
      <w:r>
        <w:rPr>
          <w:rFonts w:cs="Arial-ItalicMT"/>
          <w:iCs/>
          <w:color w:val="auto"/>
        </w:rPr>
        <w:lastRenderedPageBreak/>
        <w:t>1</w:t>
      </w:r>
      <w:r w:rsidR="00B01BD4">
        <w:rPr>
          <w:rFonts w:cs="Arial-ItalicMT"/>
          <w:iCs/>
          <w:color w:val="auto"/>
        </w:rPr>
        <w:t>9</w:t>
      </w:r>
      <w:r w:rsidR="00F72999">
        <w:rPr>
          <w:rFonts w:cs="Arial-ItalicMT"/>
          <w:iCs/>
          <w:color w:val="auto"/>
        </w:rPr>
        <w:t xml:space="preserve">. </w:t>
      </w:r>
      <w:r w:rsidR="00F72999">
        <w:rPr>
          <w:rFonts w:cs="Arial-ItalicMT"/>
          <w:iCs/>
          <w:color w:val="auto"/>
        </w:rPr>
        <w:tab/>
      </w:r>
      <w:r w:rsidR="00F753D3" w:rsidRPr="00BF1A04">
        <w:rPr>
          <w:rFonts w:cs="Arial-ItalicMT"/>
          <w:iCs/>
          <w:color w:val="auto"/>
        </w:rPr>
        <w:t xml:space="preserve">The components of </w:t>
      </w:r>
      <w:r w:rsidR="00B760C4" w:rsidRPr="00BF1A04">
        <w:t xml:space="preserve">an ‘effective’ investigation are laid out by </w:t>
      </w:r>
      <w:r w:rsidR="00141BB9">
        <w:br/>
      </w:r>
      <w:r w:rsidR="00141BB9">
        <w:tab/>
      </w:r>
      <w:r w:rsidR="00B760C4" w:rsidRPr="00BF1A04">
        <w:t>the E</w:t>
      </w:r>
      <w:r w:rsidR="001F129F">
        <w:t>CtHR</w:t>
      </w:r>
      <w:r w:rsidR="00102000" w:rsidRPr="00BF1A04">
        <w:rPr>
          <w:rStyle w:val="FootnoteReference"/>
        </w:rPr>
        <w:footnoteReference w:id="19"/>
      </w:r>
      <w:r w:rsidR="00102000" w:rsidRPr="00BF1A04">
        <w:t xml:space="preserve">; one of the criteria is that the investigation </w:t>
      </w:r>
      <w:r w:rsidR="001F129F">
        <w:br/>
      </w:r>
      <w:r w:rsidR="001F129F">
        <w:tab/>
      </w:r>
      <w:r w:rsidR="00102000" w:rsidRPr="00BF1A04">
        <w:t xml:space="preserve">must be ‘independent’.  </w:t>
      </w:r>
      <w:r w:rsidR="0005670F" w:rsidRPr="00BF1A04">
        <w:t xml:space="preserve">The case of </w:t>
      </w:r>
      <w:r w:rsidR="00102000" w:rsidRPr="00BF1A04">
        <w:t>Jordan</w:t>
      </w:r>
      <w:r w:rsidR="001F129F">
        <w:t xml:space="preserve"> v United Kingdom</w:t>
      </w:r>
      <w:r w:rsidR="001F129F">
        <w:br/>
        <w:t xml:space="preserve"> </w:t>
      </w:r>
      <w:r w:rsidR="001F129F">
        <w:tab/>
      </w:r>
      <w:r w:rsidR="00102000" w:rsidRPr="00BF1A04">
        <w:t>defines independence as the absence of any ‘</w:t>
      </w:r>
      <w:r w:rsidR="000133A3" w:rsidRPr="00BF1A04">
        <w:t>hierarchical</w:t>
      </w:r>
      <w:r w:rsidR="00102000" w:rsidRPr="00BF1A04">
        <w:t xml:space="preserve"> or </w:t>
      </w:r>
      <w:r w:rsidR="001F129F">
        <w:br/>
      </w:r>
      <w:r w:rsidR="001F129F">
        <w:tab/>
      </w:r>
      <w:r w:rsidR="00102000" w:rsidRPr="00BF1A04">
        <w:t>institutional connection’</w:t>
      </w:r>
      <w:r w:rsidR="00102000" w:rsidRPr="00BF1A04">
        <w:rPr>
          <w:rStyle w:val="FootnoteReference"/>
        </w:rPr>
        <w:footnoteReference w:id="20"/>
      </w:r>
      <w:r w:rsidR="00102000" w:rsidRPr="00BF1A04">
        <w:t xml:space="preserve"> between the investigators and those </w:t>
      </w:r>
      <w:r w:rsidR="001F129F">
        <w:br/>
      </w:r>
      <w:r w:rsidR="001F129F">
        <w:tab/>
      </w:r>
      <w:r w:rsidR="00102000" w:rsidRPr="00BF1A04">
        <w:t>implicated in events.  The investigator’s indepe</w:t>
      </w:r>
      <w:r w:rsidR="0005670F" w:rsidRPr="00BF1A04">
        <w:t>n</w:t>
      </w:r>
      <w:r w:rsidR="00102000" w:rsidRPr="00BF1A04">
        <w:t xml:space="preserve">dence must </w:t>
      </w:r>
      <w:r w:rsidR="001F129F">
        <w:br/>
      </w:r>
      <w:r w:rsidR="001F129F">
        <w:tab/>
      </w:r>
      <w:r w:rsidR="00102000" w:rsidRPr="00BF1A04">
        <w:t>be a ‘practical reality’</w:t>
      </w:r>
      <w:r w:rsidR="00102000" w:rsidRPr="00BF1A04">
        <w:rPr>
          <w:rStyle w:val="FootnoteReference"/>
        </w:rPr>
        <w:footnoteReference w:id="21"/>
      </w:r>
      <w:r w:rsidR="00102000" w:rsidRPr="00BF1A04">
        <w:t xml:space="preserve">.  </w:t>
      </w:r>
      <w:r w:rsidR="005136D1" w:rsidRPr="00BF1A04">
        <w:t xml:space="preserve">This is underpinned by the </w:t>
      </w:r>
      <w:r w:rsidR="001F129F">
        <w:br/>
      </w:r>
      <w:r w:rsidR="001F129F">
        <w:tab/>
      </w:r>
      <w:r w:rsidR="005136D1" w:rsidRPr="00BF1A04">
        <w:t>requirement under UNCAT</w:t>
      </w:r>
      <w:r w:rsidR="005136D1" w:rsidRPr="00BF1A04">
        <w:rPr>
          <w:color w:val="auto"/>
        </w:rPr>
        <w:t xml:space="preserve"> for investigations into allegations of </w:t>
      </w:r>
      <w:r w:rsidR="001F129F">
        <w:rPr>
          <w:color w:val="auto"/>
        </w:rPr>
        <w:br/>
      </w:r>
      <w:r w:rsidR="001F129F">
        <w:rPr>
          <w:color w:val="auto"/>
        </w:rPr>
        <w:tab/>
      </w:r>
      <w:r w:rsidR="005136D1" w:rsidRPr="00BF1A04">
        <w:rPr>
          <w:color w:val="auto"/>
        </w:rPr>
        <w:t>torture to be impartial</w:t>
      </w:r>
      <w:r w:rsidR="005136D1" w:rsidRPr="00BF1A04">
        <w:rPr>
          <w:rStyle w:val="FootnoteReference"/>
          <w:color w:val="auto"/>
        </w:rPr>
        <w:footnoteReference w:id="22"/>
      </w:r>
      <w:r w:rsidR="00F753D3" w:rsidRPr="00BF1A04">
        <w:rPr>
          <w:color w:val="auto"/>
        </w:rPr>
        <w:t xml:space="preserve"> and the requirement of proper </w:t>
      </w:r>
      <w:r w:rsidR="001F129F">
        <w:rPr>
          <w:color w:val="auto"/>
        </w:rPr>
        <w:br/>
      </w:r>
      <w:r w:rsidR="001F129F">
        <w:rPr>
          <w:color w:val="auto"/>
        </w:rPr>
        <w:tab/>
      </w:r>
      <w:r w:rsidR="00F753D3" w:rsidRPr="00BF1A04">
        <w:rPr>
          <w:color w:val="auto"/>
        </w:rPr>
        <w:t xml:space="preserve">procedures is “indispensable” </w:t>
      </w:r>
      <w:r w:rsidR="00F753D3" w:rsidRPr="00BF1A04">
        <w:rPr>
          <w:rFonts w:cs="ArialMT"/>
          <w:color w:val="auto"/>
        </w:rPr>
        <w:t xml:space="preserve">for ensuring </w:t>
      </w:r>
      <w:r w:rsidR="001F129F">
        <w:rPr>
          <w:rFonts w:cs="ArialMT"/>
          <w:color w:val="auto"/>
        </w:rPr>
        <w:t>a</w:t>
      </w:r>
      <w:r w:rsidR="00F753D3" w:rsidRPr="00BF1A04">
        <w:rPr>
          <w:rFonts w:cs="ArialMT"/>
          <w:color w:val="auto"/>
        </w:rPr>
        <w:t xml:space="preserve">ccountability of </w:t>
      </w:r>
      <w:r w:rsidR="001F129F">
        <w:rPr>
          <w:rFonts w:cs="ArialMT"/>
          <w:color w:val="auto"/>
        </w:rPr>
        <w:br/>
      </w:r>
      <w:r w:rsidR="001F129F">
        <w:rPr>
          <w:rFonts w:cs="ArialMT"/>
          <w:color w:val="auto"/>
        </w:rPr>
        <w:tab/>
      </w:r>
      <w:r w:rsidR="00F753D3" w:rsidRPr="00BF1A04">
        <w:rPr>
          <w:rFonts w:cs="ArialMT"/>
          <w:color w:val="auto"/>
        </w:rPr>
        <w:t xml:space="preserve">agents of the state in the </w:t>
      </w:r>
      <w:r w:rsidR="00F753D3" w:rsidRPr="00BF1A04">
        <w:t>context of the right to life</w:t>
      </w:r>
      <w:r w:rsidR="00F753D3" w:rsidRPr="00BF1A04">
        <w:rPr>
          <w:rStyle w:val="FootnoteReference"/>
        </w:rPr>
        <w:footnoteReference w:id="23"/>
      </w:r>
      <w:r w:rsidR="00F753D3" w:rsidRPr="00BF1A04">
        <w:t>.</w:t>
      </w:r>
      <w:r w:rsidR="005136D1" w:rsidRPr="00BF1A04">
        <w:t xml:space="preserve"> </w:t>
      </w:r>
    </w:p>
    <w:p w:rsidR="005136D1" w:rsidRPr="00BF1A04" w:rsidRDefault="005136D1" w:rsidP="0084142C">
      <w:pPr>
        <w:autoSpaceDE w:val="0"/>
        <w:autoSpaceDN w:val="0"/>
        <w:adjustRightInd w:val="0"/>
        <w:rPr>
          <w:rFonts w:eastAsia="Times New Roman"/>
          <w:color w:val="auto"/>
          <w:szCs w:val="24"/>
        </w:rPr>
      </w:pPr>
    </w:p>
    <w:p w:rsidR="002F4708" w:rsidRPr="00BF1A04" w:rsidRDefault="00B01BD4" w:rsidP="0084142C">
      <w:pPr>
        <w:pStyle w:val="Default"/>
        <w:rPr>
          <w:rFonts w:cs="Arial"/>
        </w:rPr>
      </w:pPr>
      <w:r>
        <w:t>20</w:t>
      </w:r>
      <w:r w:rsidR="00F72999">
        <w:t xml:space="preserve">. </w:t>
      </w:r>
      <w:r w:rsidR="00F72999">
        <w:tab/>
      </w:r>
      <w:r w:rsidR="0005670F" w:rsidRPr="00BF1A04">
        <w:t xml:space="preserve">The </w:t>
      </w:r>
      <w:r w:rsidR="0005670F" w:rsidRPr="00BF1A04">
        <w:rPr>
          <w:lang w:val="is-IS"/>
        </w:rPr>
        <w:t>E</w:t>
      </w:r>
      <w:r w:rsidR="00141BB9">
        <w:rPr>
          <w:lang w:val="is-IS"/>
        </w:rPr>
        <w:t>C</w:t>
      </w:r>
      <w:r w:rsidR="0005670F" w:rsidRPr="00BF1A04">
        <w:rPr>
          <w:lang w:val="is-IS"/>
        </w:rPr>
        <w:t xml:space="preserve">tHR has stressed that the responsibility of the state to </w:t>
      </w:r>
      <w:r w:rsidR="00F72999">
        <w:rPr>
          <w:lang w:val="is-IS"/>
        </w:rPr>
        <w:br/>
      </w:r>
      <w:r w:rsidR="00F72999">
        <w:rPr>
          <w:lang w:val="is-IS"/>
        </w:rPr>
        <w:tab/>
      </w:r>
      <w:r w:rsidR="0005670F" w:rsidRPr="00BF1A04">
        <w:rPr>
          <w:lang w:val="is-IS"/>
        </w:rPr>
        <w:t xml:space="preserve">proceed with an ‘effective’ investigation is engaged even when </w:t>
      </w:r>
      <w:r w:rsidR="00F72999">
        <w:rPr>
          <w:lang w:val="is-IS"/>
        </w:rPr>
        <w:br/>
      </w:r>
      <w:r w:rsidR="00F72999">
        <w:rPr>
          <w:lang w:val="is-IS"/>
        </w:rPr>
        <w:tab/>
      </w:r>
      <w:r w:rsidR="0005670F" w:rsidRPr="00BF1A04">
        <w:rPr>
          <w:lang w:val="is-IS"/>
        </w:rPr>
        <w:t xml:space="preserve">there is no evidence that agents of the state have been </w:t>
      </w:r>
      <w:r w:rsidR="00F72999">
        <w:rPr>
          <w:lang w:val="is-IS"/>
        </w:rPr>
        <w:br/>
      </w:r>
      <w:r w:rsidR="00F72999">
        <w:rPr>
          <w:lang w:val="is-IS"/>
        </w:rPr>
        <w:tab/>
      </w:r>
      <w:r w:rsidR="0005670F" w:rsidRPr="00BF1A04">
        <w:rPr>
          <w:lang w:val="is-IS"/>
        </w:rPr>
        <w:t>implicated in the killing</w:t>
      </w:r>
      <w:r w:rsidR="00B311A1">
        <w:rPr>
          <w:rStyle w:val="FootnoteReference"/>
          <w:lang w:val="is-IS"/>
        </w:rPr>
        <w:footnoteReference w:id="24"/>
      </w:r>
      <w:r w:rsidR="00B311A1">
        <w:rPr>
          <w:lang w:val="is-IS"/>
        </w:rPr>
        <w:t xml:space="preserve"> </w:t>
      </w:r>
      <w:r w:rsidR="002F4708">
        <w:rPr>
          <w:lang w:val="is-IS"/>
        </w:rPr>
        <w:t>and t</w:t>
      </w:r>
      <w:r w:rsidR="002F4708" w:rsidRPr="00BF1A04">
        <w:rPr>
          <w:rFonts w:cs="Arial"/>
        </w:rPr>
        <w:t xml:space="preserve">he obligation to hold an </w:t>
      </w:r>
      <w:r w:rsidR="00B311A1">
        <w:rPr>
          <w:rFonts w:cs="Arial"/>
        </w:rPr>
        <w:t>a</w:t>
      </w:r>
      <w:r w:rsidR="002F4708" w:rsidRPr="00BF1A04">
        <w:rPr>
          <w:rFonts w:cs="Arial"/>
        </w:rPr>
        <w:t xml:space="preserve">rticle </w:t>
      </w:r>
      <w:r w:rsidR="00B311A1">
        <w:rPr>
          <w:rFonts w:cs="Arial"/>
        </w:rPr>
        <w:br/>
      </w:r>
      <w:r w:rsidR="00B311A1">
        <w:rPr>
          <w:rFonts w:cs="Arial"/>
        </w:rPr>
        <w:tab/>
      </w:r>
      <w:r w:rsidR="002F4708" w:rsidRPr="00BF1A04">
        <w:rPr>
          <w:rFonts w:cs="Arial"/>
        </w:rPr>
        <w:t xml:space="preserve">2 compliant investigation extends beyond where a death has </w:t>
      </w:r>
      <w:r w:rsidR="00B311A1">
        <w:rPr>
          <w:rFonts w:cs="Arial"/>
        </w:rPr>
        <w:br/>
      </w:r>
      <w:r w:rsidR="00B311A1">
        <w:rPr>
          <w:rFonts w:cs="Arial"/>
        </w:rPr>
        <w:tab/>
      </w:r>
      <w:r w:rsidR="002F4708" w:rsidRPr="00BF1A04">
        <w:rPr>
          <w:rFonts w:cs="Arial"/>
        </w:rPr>
        <w:t>occurred</w:t>
      </w:r>
      <w:r w:rsidR="002F4708" w:rsidRPr="00BF1A04">
        <w:rPr>
          <w:rStyle w:val="FootnoteReference"/>
          <w:rFonts w:cs="Arial"/>
        </w:rPr>
        <w:footnoteReference w:id="25"/>
      </w:r>
      <w:r w:rsidR="002F4708">
        <w:rPr>
          <w:rFonts w:cs="Arial"/>
        </w:rPr>
        <w:t xml:space="preserve">.  </w:t>
      </w:r>
    </w:p>
    <w:p w:rsidR="00F72999" w:rsidRDefault="00F72999" w:rsidP="0084142C">
      <w:pPr>
        <w:pStyle w:val="Default"/>
      </w:pPr>
    </w:p>
    <w:p w:rsidR="001E2252" w:rsidRDefault="00264A41" w:rsidP="0084142C">
      <w:pPr>
        <w:pStyle w:val="Default"/>
      </w:pPr>
      <w:r>
        <w:t>2</w:t>
      </w:r>
      <w:r w:rsidR="00B01BD4">
        <w:t>1</w:t>
      </w:r>
      <w:r w:rsidR="00F72999">
        <w:t>.</w:t>
      </w:r>
      <w:r w:rsidR="00F72999">
        <w:rPr>
          <w:lang w:val="is-IS"/>
        </w:rPr>
        <w:t xml:space="preserve"> </w:t>
      </w:r>
      <w:r w:rsidR="00F72999">
        <w:rPr>
          <w:lang w:val="is-IS"/>
        </w:rPr>
        <w:tab/>
      </w:r>
      <w:r w:rsidR="000D183D" w:rsidRPr="00BF1A04">
        <w:rPr>
          <w:rFonts w:cs="Arial"/>
        </w:rPr>
        <w:t xml:space="preserve">One of the essential functions of independence is to ensure </w:t>
      </w:r>
      <w:r w:rsidR="00106691">
        <w:rPr>
          <w:rFonts w:cs="Arial"/>
        </w:rPr>
        <w:br/>
      </w:r>
      <w:r w:rsidR="00106691">
        <w:rPr>
          <w:rFonts w:cs="Arial"/>
        </w:rPr>
        <w:tab/>
      </w:r>
      <w:r w:rsidR="000D183D" w:rsidRPr="00BF1A04">
        <w:rPr>
          <w:rFonts w:cs="Arial"/>
        </w:rPr>
        <w:t xml:space="preserve">public confidence and, in this context, perception is important. </w:t>
      </w:r>
      <w:r w:rsidR="00106691">
        <w:rPr>
          <w:rFonts w:cs="Arial"/>
        </w:rPr>
        <w:br/>
      </w:r>
      <w:r w:rsidR="00106691">
        <w:rPr>
          <w:rFonts w:cs="Arial"/>
        </w:rPr>
        <w:tab/>
      </w:r>
      <w:r w:rsidR="000D183D" w:rsidRPr="00BF1A04">
        <w:rPr>
          <w:rFonts w:cs="Arial"/>
        </w:rPr>
        <w:t xml:space="preserve">The Courts have noted that </w:t>
      </w:r>
      <w:r w:rsidR="000D183D" w:rsidRPr="00240823">
        <w:rPr>
          <w:rFonts w:cs="Arial"/>
          <w:sz w:val="22"/>
          <w:szCs w:val="22"/>
        </w:rPr>
        <w:t xml:space="preserve">“public perception of the </w:t>
      </w:r>
      <w:r w:rsidR="00106691" w:rsidRPr="00240823">
        <w:rPr>
          <w:rFonts w:cs="Arial"/>
          <w:sz w:val="22"/>
          <w:szCs w:val="22"/>
        </w:rPr>
        <w:br/>
      </w:r>
      <w:r w:rsidR="00106691" w:rsidRPr="00240823">
        <w:rPr>
          <w:rFonts w:cs="Arial"/>
          <w:sz w:val="22"/>
          <w:szCs w:val="22"/>
        </w:rPr>
        <w:tab/>
      </w:r>
      <w:r w:rsidR="000D183D" w:rsidRPr="00240823">
        <w:rPr>
          <w:rFonts w:cs="Arial"/>
          <w:sz w:val="22"/>
          <w:szCs w:val="22"/>
        </w:rPr>
        <w:t>possibility of unconscious bias is the key</w:t>
      </w:r>
      <w:r w:rsidR="000D183D" w:rsidRPr="00BF1A04">
        <w:rPr>
          <w:rFonts w:cs="Arial"/>
          <w:i/>
        </w:rPr>
        <w:t>”.</w:t>
      </w:r>
      <w:r w:rsidR="000D183D" w:rsidRPr="00BF1A04">
        <w:rPr>
          <w:rStyle w:val="FootnoteReference"/>
          <w:rFonts w:cs="Arial"/>
        </w:rPr>
        <w:footnoteReference w:id="26"/>
      </w:r>
      <w:r w:rsidR="001E2252">
        <w:rPr>
          <w:rFonts w:cs="Arial"/>
        </w:rPr>
        <w:t xml:space="preserve"> In </w:t>
      </w:r>
      <w:r w:rsidR="00A33ED9">
        <w:rPr>
          <w:rFonts w:cs="Arial"/>
        </w:rPr>
        <w:t xml:space="preserve">the case of </w:t>
      </w:r>
      <w:r w:rsidR="00106691">
        <w:rPr>
          <w:rFonts w:cs="Arial"/>
        </w:rPr>
        <w:br/>
      </w:r>
      <w:r w:rsidR="00106691">
        <w:rPr>
          <w:rFonts w:cs="Arial"/>
        </w:rPr>
        <w:tab/>
      </w:r>
      <w:r w:rsidR="00A33ED9">
        <w:rPr>
          <w:rFonts w:cs="Arial"/>
        </w:rPr>
        <w:t xml:space="preserve">Khan v United Kingdom, one of </w:t>
      </w:r>
      <w:r w:rsidR="001E2252">
        <w:rPr>
          <w:rFonts w:cs="Arial"/>
        </w:rPr>
        <w:t xml:space="preserve">Mr Khan’s complaints was that </w:t>
      </w:r>
      <w:r w:rsidR="00106691">
        <w:rPr>
          <w:rFonts w:cs="Arial"/>
        </w:rPr>
        <w:br/>
      </w:r>
      <w:r w:rsidR="00106691">
        <w:rPr>
          <w:rFonts w:cs="Arial"/>
        </w:rPr>
        <w:tab/>
      </w:r>
      <w:r w:rsidR="001E2252">
        <w:t xml:space="preserve">his right to an effective remedy under </w:t>
      </w:r>
      <w:r w:rsidR="00BA5B9B">
        <w:t xml:space="preserve">EHCR, </w:t>
      </w:r>
      <w:r w:rsidR="001E2252">
        <w:t xml:space="preserve">article 13 </w:t>
      </w:r>
      <w:r w:rsidR="00BA5B9B">
        <w:t>h</w:t>
      </w:r>
      <w:r w:rsidR="001E2252">
        <w:t xml:space="preserve">ad </w:t>
      </w:r>
      <w:r w:rsidR="00106691">
        <w:br/>
      </w:r>
      <w:r w:rsidR="00106691">
        <w:tab/>
      </w:r>
      <w:r w:rsidR="001E2252">
        <w:t>been violated. The ECtHR upheld this compl</w:t>
      </w:r>
      <w:r w:rsidR="0034799E">
        <w:t>a</w:t>
      </w:r>
      <w:r w:rsidR="001E2252">
        <w:t xml:space="preserve">int because the </w:t>
      </w:r>
      <w:r w:rsidR="00106691">
        <w:br/>
      </w:r>
      <w:r w:rsidR="00106691">
        <w:tab/>
      </w:r>
      <w:r w:rsidR="001E2252">
        <w:t xml:space="preserve">remedy provided under national law – a complaint to the </w:t>
      </w:r>
      <w:r w:rsidR="00106691">
        <w:br/>
      </w:r>
      <w:r w:rsidR="00106691">
        <w:tab/>
      </w:r>
      <w:r w:rsidR="001E2252">
        <w:t xml:space="preserve">Police Complaints Authority - was not a right of recourse to an </w:t>
      </w:r>
      <w:r w:rsidR="00106691">
        <w:br/>
      </w:r>
      <w:r w:rsidR="00106691">
        <w:tab/>
      </w:r>
      <w:r w:rsidR="001E2252">
        <w:t>independent body</w:t>
      </w:r>
      <w:r w:rsidR="00BA5B9B">
        <w:t xml:space="preserve">.  The Court ruled that the Authority’s </w:t>
      </w:r>
      <w:r w:rsidR="00A33ED9">
        <w:t xml:space="preserve">close </w:t>
      </w:r>
      <w:r w:rsidR="00BA5B9B">
        <w:br/>
      </w:r>
      <w:r w:rsidR="00BA5B9B">
        <w:tab/>
      </w:r>
      <w:r w:rsidR="00A33ED9">
        <w:t xml:space="preserve">connection to government </w:t>
      </w:r>
      <w:r w:rsidR="00BA5B9B">
        <w:t xml:space="preserve">had not provided an </w:t>
      </w:r>
      <w:r w:rsidR="001E2252" w:rsidRPr="00927EED">
        <w:rPr>
          <w:iCs/>
        </w:rPr>
        <w:t>effective</w:t>
      </w:r>
      <w:r w:rsidR="001E2252">
        <w:t xml:space="preserve"> </w:t>
      </w:r>
      <w:r w:rsidR="00BA5B9B">
        <w:br/>
      </w:r>
      <w:r w:rsidR="00BA5B9B">
        <w:tab/>
      </w:r>
      <w:r w:rsidR="001E2252">
        <w:t>remedy</w:t>
      </w:r>
      <w:r w:rsidR="00F477B6">
        <w:rPr>
          <w:rStyle w:val="FootnoteReference"/>
        </w:rPr>
        <w:footnoteReference w:id="27"/>
      </w:r>
      <w:r w:rsidR="00F477B6">
        <w:t xml:space="preserve">.  </w:t>
      </w:r>
      <w:r w:rsidR="00F477B6">
        <w:br/>
      </w:r>
    </w:p>
    <w:p w:rsidR="00777C78" w:rsidRDefault="00777C78">
      <w:pPr>
        <w:rPr>
          <w:rFonts w:eastAsia="Times New Roman" w:cs="Arial"/>
          <w:szCs w:val="24"/>
        </w:rPr>
      </w:pPr>
      <w:r>
        <w:rPr>
          <w:rFonts w:cs="Arial"/>
        </w:rPr>
        <w:br w:type="page"/>
      </w:r>
    </w:p>
    <w:p w:rsidR="00250F0B" w:rsidRDefault="000036CA" w:rsidP="0084142C">
      <w:pPr>
        <w:pStyle w:val="Default"/>
        <w:rPr>
          <w:rFonts w:cs="Arial"/>
        </w:rPr>
      </w:pPr>
      <w:r>
        <w:rPr>
          <w:rFonts w:cs="Arial"/>
        </w:rPr>
        <w:lastRenderedPageBreak/>
        <w:t>2</w:t>
      </w:r>
      <w:r w:rsidR="00B01BD4">
        <w:rPr>
          <w:rFonts w:cs="Arial"/>
        </w:rPr>
        <w:t>2</w:t>
      </w:r>
      <w:r w:rsidR="00F72999">
        <w:rPr>
          <w:rFonts w:cs="Arial"/>
        </w:rPr>
        <w:t xml:space="preserve">. </w:t>
      </w:r>
      <w:r w:rsidR="00F72999">
        <w:rPr>
          <w:rFonts w:cs="Arial"/>
        </w:rPr>
        <w:tab/>
      </w:r>
      <w:r w:rsidR="00250F0B">
        <w:rPr>
          <w:rFonts w:cs="Arial"/>
        </w:rPr>
        <w:t xml:space="preserve">In Anguelova v Bulgaria the ECtHR </w:t>
      </w:r>
      <w:r w:rsidR="00BA5B9B">
        <w:rPr>
          <w:rFonts w:cs="Arial"/>
        </w:rPr>
        <w:t xml:space="preserve">indicated that the </w:t>
      </w:r>
      <w:r w:rsidR="00BA5B9B">
        <w:rPr>
          <w:rFonts w:cs="Arial"/>
        </w:rPr>
        <w:br/>
      </w:r>
      <w:r w:rsidR="00BA5B9B">
        <w:rPr>
          <w:rFonts w:cs="Arial"/>
        </w:rPr>
        <w:tab/>
        <w:t>fulfilment of the duty required “</w:t>
      </w:r>
      <w:r w:rsidR="004443CD" w:rsidRPr="00250F0B">
        <w:rPr>
          <w:rFonts w:cs="Arial"/>
          <w:sz w:val="22"/>
          <w:szCs w:val="22"/>
        </w:rPr>
        <w:t xml:space="preserve">a sufficient element of public </w:t>
      </w:r>
      <w:r w:rsidR="00BA5B9B">
        <w:rPr>
          <w:rFonts w:cs="Arial"/>
          <w:sz w:val="22"/>
          <w:szCs w:val="22"/>
        </w:rPr>
        <w:br/>
      </w:r>
      <w:r w:rsidR="00BA5B9B">
        <w:rPr>
          <w:rFonts w:cs="Arial"/>
          <w:sz w:val="22"/>
          <w:szCs w:val="22"/>
        </w:rPr>
        <w:tab/>
      </w:r>
      <w:r w:rsidR="004443CD" w:rsidRPr="00250F0B">
        <w:rPr>
          <w:rFonts w:cs="Arial"/>
          <w:sz w:val="22"/>
          <w:szCs w:val="22"/>
        </w:rPr>
        <w:t>scrutiny of the investig</w:t>
      </w:r>
      <w:r w:rsidR="004443CD">
        <w:rPr>
          <w:rFonts w:cs="Arial"/>
          <w:sz w:val="22"/>
          <w:szCs w:val="22"/>
        </w:rPr>
        <w:t>at</w:t>
      </w:r>
      <w:r w:rsidR="004443CD" w:rsidRPr="00250F0B">
        <w:rPr>
          <w:rFonts w:cs="Arial"/>
          <w:sz w:val="22"/>
          <w:szCs w:val="22"/>
        </w:rPr>
        <w:t xml:space="preserve">ion or its results to secure accountability in </w:t>
      </w:r>
      <w:r w:rsidR="00BA5B9B">
        <w:rPr>
          <w:rFonts w:cs="Arial"/>
          <w:sz w:val="22"/>
          <w:szCs w:val="22"/>
        </w:rPr>
        <w:br/>
      </w:r>
      <w:r w:rsidR="00BA5B9B">
        <w:rPr>
          <w:rFonts w:cs="Arial"/>
          <w:sz w:val="22"/>
          <w:szCs w:val="22"/>
        </w:rPr>
        <w:tab/>
      </w:r>
      <w:r w:rsidR="004443CD" w:rsidRPr="00250F0B">
        <w:rPr>
          <w:rFonts w:cs="Arial"/>
          <w:sz w:val="22"/>
          <w:szCs w:val="22"/>
        </w:rPr>
        <w:t xml:space="preserve">practice as well as in theory, maintain public confidence in the </w:t>
      </w:r>
      <w:r w:rsidR="00BA5B9B">
        <w:rPr>
          <w:rFonts w:cs="Arial"/>
          <w:sz w:val="22"/>
          <w:szCs w:val="22"/>
        </w:rPr>
        <w:br/>
      </w:r>
      <w:r w:rsidR="00BA5B9B">
        <w:rPr>
          <w:rFonts w:cs="Arial"/>
          <w:sz w:val="22"/>
          <w:szCs w:val="22"/>
        </w:rPr>
        <w:tab/>
      </w:r>
      <w:r w:rsidR="004443CD" w:rsidRPr="00250F0B">
        <w:rPr>
          <w:rFonts w:cs="Arial"/>
          <w:sz w:val="22"/>
          <w:szCs w:val="22"/>
        </w:rPr>
        <w:t xml:space="preserve">authorities’ adherence to the rule of law and prevent any </w:t>
      </w:r>
      <w:r w:rsidR="00BA5B9B">
        <w:rPr>
          <w:rFonts w:cs="Arial"/>
          <w:sz w:val="22"/>
          <w:szCs w:val="22"/>
        </w:rPr>
        <w:br/>
      </w:r>
      <w:r w:rsidR="00BA5B9B">
        <w:rPr>
          <w:rFonts w:cs="Arial"/>
          <w:sz w:val="22"/>
          <w:szCs w:val="22"/>
        </w:rPr>
        <w:tab/>
      </w:r>
      <w:r w:rsidR="004443CD" w:rsidRPr="00250F0B">
        <w:rPr>
          <w:rFonts w:cs="Arial"/>
          <w:sz w:val="22"/>
          <w:szCs w:val="22"/>
        </w:rPr>
        <w:t>appearance of collusion in or tolerance of unlawful acts…”</w:t>
      </w:r>
      <w:r w:rsidR="004443CD">
        <w:rPr>
          <w:rStyle w:val="FootnoteReference"/>
          <w:rFonts w:cs="Arial"/>
        </w:rPr>
        <w:footnoteReference w:id="28"/>
      </w:r>
      <w:r w:rsidR="00BA5B9B">
        <w:rPr>
          <w:rFonts w:cs="Arial"/>
          <w:sz w:val="22"/>
          <w:szCs w:val="22"/>
        </w:rPr>
        <w:t>.</w:t>
      </w:r>
    </w:p>
    <w:p w:rsidR="00250F0B" w:rsidRDefault="00250F0B" w:rsidP="0084142C">
      <w:pPr>
        <w:pStyle w:val="Default"/>
        <w:rPr>
          <w:rFonts w:cs="Arial"/>
        </w:rPr>
      </w:pPr>
    </w:p>
    <w:p w:rsidR="00042407" w:rsidRDefault="000036CA" w:rsidP="0084142C">
      <w:pPr>
        <w:pStyle w:val="Default"/>
        <w:rPr>
          <w:rFonts w:cs="Arial"/>
        </w:rPr>
      </w:pPr>
      <w:r>
        <w:rPr>
          <w:rFonts w:cs="Arial"/>
        </w:rPr>
        <w:t>2</w:t>
      </w:r>
      <w:r w:rsidR="00B01BD4">
        <w:rPr>
          <w:rFonts w:cs="Arial"/>
        </w:rPr>
        <w:t>3</w:t>
      </w:r>
      <w:r w:rsidR="00250F0B">
        <w:rPr>
          <w:rFonts w:cs="Arial"/>
        </w:rPr>
        <w:t xml:space="preserve">. </w:t>
      </w:r>
      <w:r w:rsidR="00250F0B">
        <w:rPr>
          <w:rFonts w:cs="Arial"/>
        </w:rPr>
        <w:tab/>
      </w:r>
      <w:r w:rsidR="002605BF">
        <w:rPr>
          <w:rFonts w:cs="Arial"/>
        </w:rPr>
        <w:t xml:space="preserve">The European Committee for the Prevention of Torture (CPT) </w:t>
      </w:r>
      <w:r w:rsidR="00042407">
        <w:rPr>
          <w:rFonts w:cs="Arial"/>
        </w:rPr>
        <w:br/>
      </w:r>
      <w:r w:rsidR="00042407">
        <w:rPr>
          <w:rFonts w:cs="Arial"/>
        </w:rPr>
        <w:tab/>
      </w:r>
      <w:r w:rsidR="002605BF">
        <w:rPr>
          <w:rFonts w:cs="Arial"/>
        </w:rPr>
        <w:t xml:space="preserve">stresses that effective grievance and inspection procedures </w:t>
      </w:r>
      <w:r w:rsidR="00042407">
        <w:rPr>
          <w:rFonts w:cs="Arial"/>
        </w:rPr>
        <w:br/>
      </w:r>
      <w:r w:rsidR="00042407">
        <w:rPr>
          <w:rFonts w:cs="Arial"/>
        </w:rPr>
        <w:tab/>
      </w:r>
      <w:r w:rsidR="002605BF">
        <w:rPr>
          <w:rFonts w:cs="Arial"/>
        </w:rPr>
        <w:t>are fundamental safeguards against ill-treatment in prisons</w:t>
      </w:r>
      <w:r w:rsidR="002605BF">
        <w:rPr>
          <w:rStyle w:val="FootnoteReference"/>
          <w:rFonts w:cs="Arial"/>
        </w:rPr>
        <w:footnoteReference w:id="29"/>
      </w:r>
      <w:r w:rsidR="002605BF">
        <w:rPr>
          <w:rFonts w:cs="Arial"/>
        </w:rPr>
        <w:t xml:space="preserve"> </w:t>
      </w:r>
      <w:r w:rsidR="00042407">
        <w:rPr>
          <w:rFonts w:cs="Arial"/>
        </w:rPr>
        <w:br/>
      </w:r>
      <w:r w:rsidR="00042407">
        <w:rPr>
          <w:rFonts w:cs="Arial"/>
        </w:rPr>
        <w:tab/>
      </w:r>
      <w:r w:rsidR="002605BF">
        <w:rPr>
          <w:rFonts w:cs="Arial"/>
        </w:rPr>
        <w:t xml:space="preserve">and the importance of prison oversight to protect these </w:t>
      </w:r>
      <w:r w:rsidR="00042407">
        <w:rPr>
          <w:rFonts w:cs="Arial"/>
        </w:rPr>
        <w:br/>
      </w:r>
      <w:r w:rsidR="00042407">
        <w:rPr>
          <w:rFonts w:cs="Arial"/>
        </w:rPr>
        <w:tab/>
        <w:t xml:space="preserve">procedures </w:t>
      </w:r>
      <w:r w:rsidR="002605BF">
        <w:rPr>
          <w:rFonts w:cs="Arial"/>
        </w:rPr>
        <w:t xml:space="preserve">is </w:t>
      </w:r>
      <w:r w:rsidR="00DF532E">
        <w:rPr>
          <w:rFonts w:cs="Arial"/>
        </w:rPr>
        <w:t>highlighted</w:t>
      </w:r>
      <w:r w:rsidR="002605BF">
        <w:rPr>
          <w:rFonts w:cs="Arial"/>
        </w:rPr>
        <w:t xml:space="preserve"> in the </w:t>
      </w:r>
      <w:r w:rsidR="00DF532E">
        <w:rPr>
          <w:rFonts w:cs="Arial"/>
        </w:rPr>
        <w:t>European</w:t>
      </w:r>
      <w:r w:rsidR="00042407">
        <w:rPr>
          <w:rFonts w:cs="Arial"/>
        </w:rPr>
        <w:t xml:space="preserve"> P</w:t>
      </w:r>
      <w:r w:rsidR="002605BF">
        <w:rPr>
          <w:rFonts w:cs="Arial"/>
        </w:rPr>
        <w:t>rison Rules</w:t>
      </w:r>
      <w:r w:rsidR="002605BF">
        <w:rPr>
          <w:rStyle w:val="FootnoteReference"/>
          <w:rFonts w:cs="Arial"/>
        </w:rPr>
        <w:footnoteReference w:id="30"/>
      </w:r>
      <w:r w:rsidR="002605BF">
        <w:rPr>
          <w:rFonts w:cs="Arial"/>
        </w:rPr>
        <w:t xml:space="preserve">.  </w:t>
      </w:r>
    </w:p>
    <w:p w:rsidR="00042407" w:rsidRDefault="00042407" w:rsidP="0084142C">
      <w:pPr>
        <w:pStyle w:val="Default"/>
        <w:rPr>
          <w:rFonts w:cs="Arial"/>
        </w:rPr>
      </w:pPr>
    </w:p>
    <w:p w:rsidR="002605BF" w:rsidRDefault="000036CA" w:rsidP="0084142C">
      <w:pPr>
        <w:pStyle w:val="Default"/>
        <w:rPr>
          <w:rFonts w:cs="Arial"/>
        </w:rPr>
      </w:pPr>
      <w:r>
        <w:rPr>
          <w:rFonts w:cs="Arial"/>
        </w:rPr>
        <w:t>2</w:t>
      </w:r>
      <w:r w:rsidR="00B01BD4">
        <w:rPr>
          <w:rFonts w:cs="Arial"/>
        </w:rPr>
        <w:t>4</w:t>
      </w:r>
      <w:r w:rsidR="004401EC">
        <w:rPr>
          <w:rFonts w:cs="Arial"/>
        </w:rPr>
        <w:t xml:space="preserve">. </w:t>
      </w:r>
      <w:r w:rsidR="004401EC">
        <w:rPr>
          <w:rFonts w:cs="Arial"/>
        </w:rPr>
        <w:tab/>
      </w:r>
      <w:r w:rsidR="00042407">
        <w:rPr>
          <w:rFonts w:cs="Arial"/>
        </w:rPr>
        <w:t xml:space="preserve">The Committee against Torture has commented on the UN </w:t>
      </w:r>
      <w:r w:rsidR="004401EC">
        <w:rPr>
          <w:rFonts w:cs="Arial"/>
        </w:rPr>
        <w:br/>
      </w:r>
      <w:r w:rsidR="004401EC">
        <w:rPr>
          <w:rFonts w:cs="Arial"/>
        </w:rPr>
        <w:tab/>
      </w:r>
      <w:r w:rsidR="00042407">
        <w:rPr>
          <w:rFonts w:cs="Arial"/>
        </w:rPr>
        <w:t xml:space="preserve">Standard Minimum Rules for the Treatment of Prisoners and </w:t>
      </w:r>
      <w:r w:rsidR="004401EC">
        <w:rPr>
          <w:rFonts w:cs="Arial"/>
        </w:rPr>
        <w:br/>
      </w:r>
      <w:r w:rsidR="004401EC">
        <w:rPr>
          <w:rFonts w:cs="Arial"/>
        </w:rPr>
        <w:tab/>
      </w:r>
      <w:r w:rsidR="00042407">
        <w:rPr>
          <w:rFonts w:cs="Arial"/>
        </w:rPr>
        <w:t xml:space="preserve">has recommended that the Rule is modified along the </w:t>
      </w:r>
      <w:r w:rsidR="004401EC">
        <w:rPr>
          <w:rFonts w:cs="Arial"/>
        </w:rPr>
        <w:br/>
      </w:r>
      <w:r w:rsidR="004401EC">
        <w:rPr>
          <w:rFonts w:cs="Arial"/>
        </w:rPr>
        <w:tab/>
      </w:r>
      <w:r w:rsidR="00042407">
        <w:rPr>
          <w:rFonts w:cs="Arial"/>
        </w:rPr>
        <w:t xml:space="preserve">principle of </w:t>
      </w:r>
      <w:r w:rsidR="00F20787">
        <w:rPr>
          <w:rFonts w:cs="Arial"/>
        </w:rPr>
        <w:t xml:space="preserve">UNCAT, </w:t>
      </w:r>
      <w:r w:rsidR="00927EED">
        <w:rPr>
          <w:rFonts w:cs="Arial"/>
        </w:rPr>
        <w:t>ar</w:t>
      </w:r>
      <w:r w:rsidR="00DF532E">
        <w:rPr>
          <w:rFonts w:cs="Arial"/>
        </w:rPr>
        <w:t>ticle</w:t>
      </w:r>
      <w:r w:rsidR="00042407">
        <w:rPr>
          <w:rFonts w:cs="Arial"/>
        </w:rPr>
        <w:t xml:space="preserve"> 13 to “ensure that any individual </w:t>
      </w:r>
      <w:r w:rsidR="004401EC">
        <w:rPr>
          <w:rFonts w:cs="Arial"/>
        </w:rPr>
        <w:br/>
      </w:r>
      <w:r w:rsidR="004401EC">
        <w:rPr>
          <w:rFonts w:cs="Arial"/>
        </w:rPr>
        <w:tab/>
      </w:r>
      <w:r w:rsidR="00042407">
        <w:rPr>
          <w:rFonts w:cs="Arial"/>
        </w:rPr>
        <w:t xml:space="preserve">who alleges that he or she has been subjected to torture has </w:t>
      </w:r>
      <w:r w:rsidR="004401EC">
        <w:rPr>
          <w:rFonts w:cs="Arial"/>
        </w:rPr>
        <w:br/>
      </w:r>
      <w:r w:rsidR="004401EC">
        <w:rPr>
          <w:rFonts w:cs="Arial"/>
        </w:rPr>
        <w:tab/>
      </w:r>
      <w:r w:rsidR="00042407">
        <w:rPr>
          <w:rFonts w:cs="Arial"/>
        </w:rPr>
        <w:t xml:space="preserve">the right </w:t>
      </w:r>
      <w:r w:rsidR="00927EED">
        <w:rPr>
          <w:rFonts w:cs="Arial"/>
        </w:rPr>
        <w:t xml:space="preserve">to </w:t>
      </w:r>
      <w:r w:rsidR="00042407">
        <w:rPr>
          <w:rFonts w:cs="Arial"/>
        </w:rPr>
        <w:t xml:space="preserve">complain, and to have his or </w:t>
      </w:r>
      <w:r w:rsidR="00927EED">
        <w:rPr>
          <w:rFonts w:cs="Arial"/>
        </w:rPr>
        <w:t xml:space="preserve">her </w:t>
      </w:r>
      <w:r w:rsidR="00042407">
        <w:rPr>
          <w:rFonts w:cs="Arial"/>
        </w:rPr>
        <w:t xml:space="preserve">case </w:t>
      </w:r>
      <w:r w:rsidR="00DF532E">
        <w:rPr>
          <w:rFonts w:cs="Arial"/>
        </w:rPr>
        <w:t>promptly</w:t>
      </w:r>
      <w:r w:rsidR="00042407">
        <w:rPr>
          <w:rFonts w:cs="Arial"/>
        </w:rPr>
        <w:t xml:space="preserve">, </w:t>
      </w:r>
      <w:r w:rsidR="00927EED">
        <w:rPr>
          <w:rFonts w:cs="Arial"/>
        </w:rPr>
        <w:br/>
      </w:r>
      <w:r w:rsidR="00927EED">
        <w:rPr>
          <w:rFonts w:cs="Arial"/>
        </w:rPr>
        <w:tab/>
      </w:r>
      <w:r w:rsidR="00042407">
        <w:rPr>
          <w:rFonts w:cs="Arial"/>
        </w:rPr>
        <w:t xml:space="preserve">effectively and impartially examined by </w:t>
      </w:r>
      <w:r w:rsidR="00DF532E">
        <w:rPr>
          <w:rFonts w:cs="Arial"/>
        </w:rPr>
        <w:t>competent</w:t>
      </w:r>
      <w:r w:rsidR="00042407">
        <w:rPr>
          <w:rFonts w:cs="Arial"/>
        </w:rPr>
        <w:t xml:space="preserve"> </w:t>
      </w:r>
      <w:r w:rsidR="004401EC">
        <w:rPr>
          <w:rFonts w:cs="Arial"/>
        </w:rPr>
        <w:br/>
      </w:r>
      <w:r w:rsidR="004401EC">
        <w:rPr>
          <w:rFonts w:cs="Arial"/>
        </w:rPr>
        <w:tab/>
      </w:r>
      <w:r w:rsidR="00042407">
        <w:rPr>
          <w:rFonts w:cs="Arial"/>
        </w:rPr>
        <w:t>authorities”</w:t>
      </w:r>
      <w:r w:rsidR="00042407">
        <w:rPr>
          <w:rStyle w:val="FootnoteReference"/>
          <w:rFonts w:cs="Arial"/>
        </w:rPr>
        <w:footnoteReference w:id="31"/>
      </w:r>
      <w:r w:rsidR="004401EC">
        <w:rPr>
          <w:rFonts w:cs="Arial"/>
        </w:rPr>
        <w:t xml:space="preserve">.  </w:t>
      </w:r>
    </w:p>
    <w:p w:rsidR="00A001D2" w:rsidRDefault="00A001D2" w:rsidP="0084142C">
      <w:pPr>
        <w:pStyle w:val="Default"/>
        <w:rPr>
          <w:rFonts w:cs="ArialMT"/>
          <w:color w:val="auto"/>
        </w:rPr>
      </w:pPr>
    </w:p>
    <w:p w:rsidR="00675880" w:rsidRDefault="00675880" w:rsidP="0084142C">
      <w:pPr>
        <w:autoSpaceDE w:val="0"/>
        <w:autoSpaceDN w:val="0"/>
        <w:adjustRightInd w:val="0"/>
        <w:jc w:val="right"/>
        <w:rPr>
          <w:rFonts w:cs="Verdana"/>
          <w:b/>
          <w:bCs/>
          <w:sz w:val="23"/>
          <w:szCs w:val="23"/>
        </w:rPr>
      </w:pPr>
      <w:r>
        <w:rPr>
          <w:rFonts w:cs="Verdana"/>
          <w:b/>
          <w:bCs/>
          <w:sz w:val="23"/>
          <w:szCs w:val="23"/>
        </w:rPr>
        <w:t>April 2014</w:t>
      </w:r>
    </w:p>
    <w:p w:rsidR="00675880" w:rsidRDefault="00675880" w:rsidP="0084142C">
      <w:pPr>
        <w:autoSpaceDE w:val="0"/>
        <w:autoSpaceDN w:val="0"/>
        <w:adjustRightInd w:val="0"/>
        <w:jc w:val="right"/>
        <w:rPr>
          <w:rFonts w:cs="Verdana"/>
          <w:b/>
          <w:bCs/>
          <w:sz w:val="23"/>
          <w:szCs w:val="23"/>
        </w:rPr>
      </w:pPr>
    </w:p>
    <w:p w:rsidR="00675880" w:rsidRDefault="00675880" w:rsidP="0084142C">
      <w:pPr>
        <w:autoSpaceDE w:val="0"/>
        <w:autoSpaceDN w:val="0"/>
        <w:adjustRightInd w:val="0"/>
        <w:jc w:val="right"/>
        <w:rPr>
          <w:rFonts w:cs="Verdana"/>
          <w:b/>
          <w:bCs/>
          <w:sz w:val="23"/>
          <w:szCs w:val="23"/>
        </w:rPr>
      </w:pPr>
      <w:r>
        <w:rPr>
          <w:rFonts w:cs="Verdana"/>
          <w:b/>
          <w:bCs/>
          <w:sz w:val="23"/>
          <w:szCs w:val="23"/>
        </w:rPr>
        <w:t>Northern Ireland Human Rights Commission</w:t>
      </w:r>
    </w:p>
    <w:p w:rsidR="00675880" w:rsidRDefault="00675880" w:rsidP="0084142C">
      <w:pPr>
        <w:autoSpaceDE w:val="0"/>
        <w:autoSpaceDN w:val="0"/>
        <w:adjustRightInd w:val="0"/>
        <w:jc w:val="right"/>
        <w:rPr>
          <w:rFonts w:cs="Verdana"/>
          <w:b/>
          <w:bCs/>
          <w:sz w:val="23"/>
          <w:szCs w:val="23"/>
        </w:rPr>
      </w:pPr>
      <w:r>
        <w:rPr>
          <w:rFonts w:cs="Verdana"/>
          <w:b/>
          <w:bCs/>
          <w:sz w:val="23"/>
          <w:szCs w:val="23"/>
        </w:rPr>
        <w:t>Temple Court, 39 North Street</w:t>
      </w:r>
    </w:p>
    <w:p w:rsidR="00675880" w:rsidRDefault="00675880" w:rsidP="0084142C">
      <w:pPr>
        <w:autoSpaceDE w:val="0"/>
        <w:autoSpaceDN w:val="0"/>
        <w:adjustRightInd w:val="0"/>
        <w:jc w:val="right"/>
        <w:rPr>
          <w:rFonts w:cs="Verdana"/>
          <w:b/>
          <w:bCs/>
          <w:sz w:val="23"/>
          <w:szCs w:val="23"/>
        </w:rPr>
      </w:pPr>
      <w:r>
        <w:rPr>
          <w:rFonts w:cs="Verdana"/>
          <w:b/>
          <w:bCs/>
          <w:sz w:val="23"/>
          <w:szCs w:val="23"/>
        </w:rPr>
        <w:t>Belfast BT1 1NA</w:t>
      </w:r>
    </w:p>
    <w:p w:rsidR="00675880" w:rsidRDefault="00675880" w:rsidP="0084142C">
      <w:pPr>
        <w:autoSpaceDE w:val="0"/>
        <w:autoSpaceDN w:val="0"/>
        <w:adjustRightInd w:val="0"/>
        <w:jc w:val="right"/>
        <w:rPr>
          <w:rFonts w:cs="Verdana"/>
          <w:b/>
          <w:bCs/>
          <w:sz w:val="23"/>
          <w:szCs w:val="23"/>
        </w:rPr>
      </w:pPr>
      <w:r>
        <w:rPr>
          <w:rFonts w:cs="Verdana"/>
          <w:b/>
          <w:bCs/>
          <w:sz w:val="23"/>
          <w:szCs w:val="23"/>
        </w:rPr>
        <w:t>Tel: (028) 9024 3987</w:t>
      </w:r>
    </w:p>
    <w:p w:rsidR="00675880" w:rsidRDefault="00675880" w:rsidP="0084142C">
      <w:pPr>
        <w:autoSpaceDE w:val="0"/>
        <w:autoSpaceDN w:val="0"/>
        <w:adjustRightInd w:val="0"/>
        <w:jc w:val="right"/>
        <w:rPr>
          <w:rFonts w:cs="Verdana"/>
          <w:b/>
          <w:bCs/>
          <w:sz w:val="23"/>
          <w:szCs w:val="23"/>
        </w:rPr>
      </w:pPr>
      <w:r>
        <w:rPr>
          <w:rFonts w:cs="Verdana"/>
          <w:b/>
          <w:bCs/>
          <w:sz w:val="23"/>
          <w:szCs w:val="23"/>
        </w:rPr>
        <w:t>Textphone: (028) 9024 9066</w:t>
      </w:r>
    </w:p>
    <w:p w:rsidR="00675880" w:rsidRDefault="00675880" w:rsidP="0084142C">
      <w:pPr>
        <w:autoSpaceDE w:val="0"/>
        <w:autoSpaceDN w:val="0"/>
        <w:adjustRightInd w:val="0"/>
        <w:jc w:val="right"/>
        <w:rPr>
          <w:rFonts w:cs="Verdana"/>
          <w:b/>
          <w:bCs/>
          <w:sz w:val="23"/>
          <w:szCs w:val="23"/>
        </w:rPr>
      </w:pPr>
      <w:r>
        <w:rPr>
          <w:rFonts w:cs="Verdana"/>
          <w:b/>
          <w:bCs/>
          <w:sz w:val="23"/>
          <w:szCs w:val="23"/>
        </w:rPr>
        <w:t>SMS Text: 07786 202075</w:t>
      </w:r>
    </w:p>
    <w:p w:rsidR="00675880" w:rsidRDefault="00675880" w:rsidP="0084142C">
      <w:pPr>
        <w:autoSpaceDE w:val="0"/>
        <w:autoSpaceDN w:val="0"/>
        <w:adjustRightInd w:val="0"/>
        <w:jc w:val="right"/>
        <w:rPr>
          <w:rFonts w:cs="Verdana"/>
          <w:b/>
          <w:bCs/>
          <w:sz w:val="23"/>
          <w:szCs w:val="23"/>
        </w:rPr>
      </w:pPr>
      <w:r>
        <w:rPr>
          <w:rFonts w:cs="Verdana"/>
          <w:b/>
          <w:bCs/>
          <w:sz w:val="23"/>
          <w:szCs w:val="23"/>
        </w:rPr>
        <w:t>Fax: (028) 9024 7844</w:t>
      </w:r>
    </w:p>
    <w:p w:rsidR="00675880" w:rsidRDefault="00675880" w:rsidP="0084142C">
      <w:pPr>
        <w:autoSpaceDE w:val="0"/>
        <w:autoSpaceDN w:val="0"/>
        <w:adjustRightInd w:val="0"/>
        <w:jc w:val="right"/>
        <w:rPr>
          <w:rFonts w:cs="Verdana"/>
          <w:b/>
          <w:bCs/>
          <w:color w:val="0000FF"/>
          <w:sz w:val="23"/>
          <w:szCs w:val="23"/>
        </w:rPr>
      </w:pPr>
      <w:r>
        <w:rPr>
          <w:rFonts w:cs="Verdana"/>
          <w:b/>
          <w:bCs/>
          <w:sz w:val="23"/>
          <w:szCs w:val="23"/>
        </w:rPr>
        <w:t xml:space="preserve">Email: </w:t>
      </w:r>
      <w:r>
        <w:rPr>
          <w:rFonts w:cs="Verdana"/>
          <w:b/>
          <w:bCs/>
          <w:color w:val="0000FF"/>
          <w:sz w:val="23"/>
          <w:szCs w:val="23"/>
        </w:rPr>
        <w:t>information@nihrc.org</w:t>
      </w:r>
    </w:p>
    <w:p w:rsidR="00675880" w:rsidRPr="000B3B90" w:rsidRDefault="00675880" w:rsidP="0084142C">
      <w:pPr>
        <w:autoSpaceDE w:val="0"/>
        <w:autoSpaceDN w:val="0"/>
        <w:adjustRightInd w:val="0"/>
        <w:jc w:val="right"/>
      </w:pPr>
      <w:r>
        <w:rPr>
          <w:rFonts w:cs="Verdana"/>
          <w:b/>
          <w:bCs/>
          <w:sz w:val="23"/>
          <w:szCs w:val="23"/>
        </w:rPr>
        <w:t xml:space="preserve">Website: </w:t>
      </w:r>
      <w:r>
        <w:rPr>
          <w:rFonts w:cs="Verdana"/>
          <w:b/>
          <w:bCs/>
          <w:color w:val="0000FF"/>
          <w:sz w:val="23"/>
          <w:szCs w:val="23"/>
        </w:rPr>
        <w:t>www.nihrc.org</w:t>
      </w:r>
    </w:p>
    <w:p w:rsidR="00000854" w:rsidRPr="00BF1A04" w:rsidRDefault="002605BF" w:rsidP="0084142C">
      <w:pPr>
        <w:autoSpaceDE w:val="0"/>
        <w:autoSpaceDN w:val="0"/>
        <w:adjustRightInd w:val="0"/>
        <w:rPr>
          <w:rFonts w:eastAsia="Times New Roman" w:cs="ArialMT"/>
          <w:color w:val="auto"/>
          <w:szCs w:val="24"/>
        </w:rPr>
      </w:pPr>
      <w:r>
        <w:rPr>
          <w:rFonts w:eastAsia="Times New Roman" w:cs="ArialMT"/>
          <w:color w:val="auto"/>
          <w:szCs w:val="24"/>
        </w:rPr>
        <w:tab/>
      </w:r>
    </w:p>
    <w:p w:rsidR="0022588A" w:rsidRPr="00BF1A04" w:rsidRDefault="0022588A" w:rsidP="0084142C">
      <w:pPr>
        <w:ind w:left="360"/>
        <w:rPr>
          <w:rFonts w:eastAsia="Times New Roman" w:cs="ArialMT"/>
          <w:color w:val="auto"/>
          <w:szCs w:val="24"/>
        </w:rPr>
      </w:pPr>
    </w:p>
    <w:sectPr w:rsidR="0022588A" w:rsidRPr="00BF1A0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EA" w:rsidRDefault="002F59EA" w:rsidP="009E7A5A">
      <w:r>
        <w:separator/>
      </w:r>
    </w:p>
  </w:endnote>
  <w:endnote w:type="continuationSeparator" w:id="0">
    <w:p w:rsidR="002F59EA" w:rsidRDefault="002F59EA" w:rsidP="009E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swiss"/>
    <w:notTrueType/>
    <w:pitch w:val="default"/>
    <w:sig w:usb0="00000003" w:usb1="00000000" w:usb2="00000000" w:usb3="00000000" w:csb0="00000001" w:csb1="00000000"/>
  </w:font>
  <w:font w:name="DIN-RegularItalic">
    <w:panose1 w:val="00000000000000000000"/>
    <w:charset w:val="00"/>
    <w:family w:val="swiss"/>
    <w:notTrueType/>
    <w:pitch w:val="default"/>
    <w:sig w:usb0="00000003" w:usb1="00000000" w:usb2="00000000" w:usb3="00000000" w:csb0="00000001" w:csb1="00000000"/>
  </w:font>
  <w:font w:name="DIN-Bold">
    <w:panose1 w:val="00000000000000000000"/>
    <w:charset w:val="00"/>
    <w:family w:val="swiss"/>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046415"/>
      <w:docPartObj>
        <w:docPartGallery w:val="Page Numbers (Bottom of Page)"/>
        <w:docPartUnique/>
      </w:docPartObj>
    </w:sdtPr>
    <w:sdtEndPr>
      <w:rPr>
        <w:noProof/>
      </w:rPr>
    </w:sdtEndPr>
    <w:sdtContent>
      <w:p w:rsidR="00D55B02" w:rsidRDefault="00D55B02">
        <w:pPr>
          <w:pStyle w:val="Footer"/>
          <w:jc w:val="right"/>
        </w:pPr>
        <w:r>
          <w:fldChar w:fldCharType="begin"/>
        </w:r>
        <w:r>
          <w:instrText xml:space="preserve"> PAGE   \* MERGEFORMAT </w:instrText>
        </w:r>
        <w:r>
          <w:fldChar w:fldCharType="separate"/>
        </w:r>
        <w:r w:rsidR="007C251E">
          <w:rPr>
            <w:noProof/>
          </w:rPr>
          <w:t>1</w:t>
        </w:r>
        <w:r>
          <w:rPr>
            <w:noProof/>
          </w:rPr>
          <w:fldChar w:fldCharType="end"/>
        </w:r>
      </w:p>
    </w:sdtContent>
  </w:sdt>
  <w:p w:rsidR="00D55B02" w:rsidRDefault="00D55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EA" w:rsidRDefault="002F59EA" w:rsidP="009E7A5A">
      <w:r>
        <w:separator/>
      </w:r>
    </w:p>
  </w:footnote>
  <w:footnote w:type="continuationSeparator" w:id="0">
    <w:p w:rsidR="002F59EA" w:rsidRDefault="002F59EA" w:rsidP="009E7A5A">
      <w:r>
        <w:continuationSeparator/>
      </w:r>
    </w:p>
  </w:footnote>
  <w:footnote w:id="1">
    <w:p w:rsidR="006C205F" w:rsidRPr="00B223DD" w:rsidRDefault="006C205F" w:rsidP="006C205F">
      <w:pPr>
        <w:pStyle w:val="FootnoteText"/>
      </w:pPr>
      <w:r w:rsidRPr="00B223DD">
        <w:rPr>
          <w:rStyle w:val="FootnoteReference"/>
        </w:rPr>
        <w:footnoteRef/>
      </w:r>
      <w:r w:rsidRPr="00B223DD">
        <w:t xml:space="preserve"> Section 24(1) states that </w:t>
      </w:r>
      <w:r w:rsidRPr="00B223DD">
        <w:rPr>
          <w:color w:val="auto"/>
        </w:rPr>
        <w:t>‘a Minister or Northern Ireland department has no power to make, confirm or approve any subordinate legislation, or to do any act, so far as the legislation or act – (a) is incompatible with any of the Convention rights’.</w:t>
      </w:r>
    </w:p>
  </w:footnote>
  <w:footnote w:id="2">
    <w:p w:rsidR="006C205F" w:rsidRPr="00B223DD" w:rsidRDefault="006C205F" w:rsidP="00FD0747">
      <w:pPr>
        <w:shd w:val="clear" w:color="auto" w:fill="FFFFFF"/>
        <w:outlineLvl w:val="4"/>
      </w:pPr>
      <w:r w:rsidRPr="00B223DD">
        <w:rPr>
          <w:rStyle w:val="FootnoteReference"/>
          <w:sz w:val="20"/>
        </w:rPr>
        <w:footnoteRef/>
      </w:r>
      <w:r w:rsidRPr="00B223DD">
        <w:rPr>
          <w:sz w:val="20"/>
        </w:rPr>
        <w:t xml:space="preserve"> Section 76 states that ‘i</w:t>
      </w:r>
      <w:r w:rsidRPr="00B223DD">
        <w:rPr>
          <w:rFonts w:eastAsia="Times New Roman" w:cs="Arial"/>
          <w:sz w:val="20"/>
          <w:lang w:val="en"/>
        </w:rPr>
        <w:t>t shall be unlawful for a public authority carrying out functions relating to Northern Ireland to discriminate, or to aid or incite another person to discriminate, against a person or class of person on the ground of religious belief or political opinion’.</w:t>
      </w:r>
    </w:p>
  </w:footnote>
  <w:footnote w:id="3">
    <w:p w:rsidR="00F2767B" w:rsidRDefault="00F2767B" w:rsidP="00F2767B">
      <w:pPr>
        <w:autoSpaceDE w:val="0"/>
        <w:autoSpaceDN w:val="0"/>
        <w:adjustRightInd w:val="0"/>
      </w:pPr>
      <w:r w:rsidRPr="00D46C10">
        <w:rPr>
          <w:rStyle w:val="FootnoteReference"/>
          <w:color w:val="auto"/>
          <w:sz w:val="20"/>
        </w:rPr>
        <w:footnoteRef/>
      </w:r>
      <w:r w:rsidRPr="00D46C10">
        <w:rPr>
          <w:color w:val="auto"/>
          <w:sz w:val="20"/>
        </w:rPr>
        <w:t xml:space="preserve"> </w:t>
      </w:r>
      <w:r w:rsidRPr="00D46C10">
        <w:rPr>
          <w:rFonts w:eastAsia="Times New Roman" w:cs="DIN-Regular"/>
          <w:color w:val="auto"/>
          <w:sz w:val="20"/>
        </w:rPr>
        <w:t xml:space="preserve">Maguire, M. et al. 1985 </w:t>
      </w:r>
      <w:r w:rsidRPr="00D46C10">
        <w:rPr>
          <w:rFonts w:eastAsia="Times New Roman" w:cs="DIN-RegularItalic"/>
          <w:iCs/>
          <w:color w:val="auto"/>
          <w:sz w:val="20"/>
        </w:rPr>
        <w:t>Accountability and prisons: opening up a closed world</w:t>
      </w:r>
      <w:r w:rsidRPr="00D46C10">
        <w:rPr>
          <w:rFonts w:eastAsia="Times New Roman" w:cs="DIN-Regular"/>
          <w:color w:val="auto"/>
          <w:sz w:val="20"/>
        </w:rPr>
        <w:t xml:space="preserve">, London: Tavistock Publications, at page 2 </w:t>
      </w:r>
      <w:r>
        <w:rPr>
          <w:rFonts w:eastAsia="Times New Roman" w:cs="DIN-Regular"/>
          <w:color w:val="auto"/>
          <w:sz w:val="20"/>
        </w:rPr>
        <w:t xml:space="preserve">referenced in </w:t>
      </w:r>
      <w:r w:rsidRPr="00D46C10">
        <w:rPr>
          <w:rFonts w:eastAsia="Times New Roman" w:cs="DIN-Regular"/>
          <w:color w:val="auto"/>
          <w:sz w:val="20"/>
        </w:rPr>
        <w:t>IPRT Position Paper 7</w:t>
      </w:r>
      <w:r>
        <w:rPr>
          <w:rFonts w:eastAsia="Times New Roman" w:cs="DIN-Regular"/>
          <w:color w:val="auto"/>
          <w:sz w:val="20"/>
        </w:rPr>
        <w:t xml:space="preserve"> </w:t>
      </w:r>
      <w:r w:rsidRPr="00D46C10">
        <w:rPr>
          <w:rFonts w:eastAsia="Times New Roman" w:cs="DIN-Bold"/>
          <w:bCs/>
          <w:color w:val="auto"/>
          <w:sz w:val="20"/>
        </w:rPr>
        <w:t xml:space="preserve">Complaints, Monitoring and Inspection in Prisons November 2009 </w:t>
      </w:r>
      <w:hyperlink r:id="rId1" w:history="1">
        <w:r w:rsidRPr="004401EC">
          <w:rPr>
            <w:rStyle w:val="Hyperlink"/>
            <w:rFonts w:eastAsia="Times New Roman" w:cs="DIN-Bold"/>
            <w:bCs/>
            <w:color w:val="auto"/>
            <w:sz w:val="20"/>
            <w:u w:val="none"/>
          </w:rPr>
          <w:t>http://www.iprt.ie/files/IPRT_Position_Paper_7_-Complaints,_Monitoring_and_Inspection_in_Prisons.pdf</w:t>
        </w:r>
      </w:hyperlink>
      <w:r>
        <w:rPr>
          <w:rFonts w:ascii="DIN-Bold" w:eastAsia="Times New Roman" w:hAnsi="DIN-Bold" w:cs="DIN-Bold"/>
          <w:b/>
          <w:bCs/>
          <w:color w:val="FFFFFF"/>
          <w:sz w:val="28"/>
          <w:szCs w:val="28"/>
        </w:rPr>
        <w:t>ovember</w:t>
      </w:r>
    </w:p>
  </w:footnote>
  <w:footnote w:id="4">
    <w:p w:rsidR="00F2767B" w:rsidRPr="00D46C10" w:rsidRDefault="00F2767B" w:rsidP="00F2767B">
      <w:pPr>
        <w:pStyle w:val="FootnoteText"/>
        <w:rPr>
          <w:color w:val="auto"/>
        </w:rPr>
      </w:pPr>
      <w:r>
        <w:rPr>
          <w:rStyle w:val="FootnoteReference"/>
        </w:rPr>
        <w:footnoteRef/>
      </w:r>
      <w:r>
        <w:t xml:space="preserve"> </w:t>
      </w:r>
      <w:hyperlink r:id="rId2" w:history="1">
        <w:r w:rsidRPr="00D46C10">
          <w:rPr>
            <w:rStyle w:val="Hyperlink"/>
            <w:color w:val="auto"/>
            <w:u w:val="none"/>
          </w:rPr>
          <w:t>http://www.niprisonerombudsman.com/index.php/latest-news/prisoner-ombudsman-to-secure-new-statutory-powers/</w:t>
        </w:r>
      </w:hyperlink>
      <w:r w:rsidRPr="00D46C10">
        <w:rPr>
          <w:color w:val="auto"/>
        </w:rPr>
        <w:t xml:space="preserve"> </w:t>
      </w:r>
    </w:p>
  </w:footnote>
  <w:footnote w:id="5">
    <w:p w:rsidR="00450231" w:rsidRPr="00DD51D5" w:rsidRDefault="00450231" w:rsidP="00450231">
      <w:pPr>
        <w:pStyle w:val="FootnoteText"/>
        <w:rPr>
          <w:color w:val="auto"/>
        </w:rPr>
      </w:pPr>
      <w:r>
        <w:rPr>
          <w:rStyle w:val="FootnoteReference"/>
        </w:rPr>
        <w:footnoteRef/>
      </w:r>
      <w:r>
        <w:t xml:space="preserve"> </w:t>
      </w:r>
      <w:r w:rsidR="00932958">
        <w:t>I</w:t>
      </w:r>
      <w:r w:rsidRPr="00DD51D5">
        <w:rPr>
          <w:color w:val="auto"/>
        </w:rPr>
        <w:t xml:space="preserve">n evidence to the Steele Review of Safety in HMP Maghaberry; to the Northern Ireland Affairs Committee of the House of Commons; to the Parliamentary Joint Committee on </w:t>
      </w:r>
      <w:r w:rsidR="00932958">
        <w:rPr>
          <w:color w:val="auto"/>
        </w:rPr>
        <w:t xml:space="preserve">Human Rights inquiry on deaths </w:t>
      </w:r>
      <w:r w:rsidRPr="00DD51D5">
        <w:rPr>
          <w:color w:val="auto"/>
        </w:rPr>
        <w:t>in custody and in views submitted to Government on the draft UK Report under the UN Convention Against Torture.</w:t>
      </w:r>
    </w:p>
  </w:footnote>
  <w:footnote w:id="6">
    <w:p w:rsidR="00450231" w:rsidRDefault="00450231" w:rsidP="00140E3F">
      <w:r w:rsidRPr="00DD51D5">
        <w:rPr>
          <w:rStyle w:val="FootnoteReference"/>
          <w:color w:val="auto"/>
          <w:sz w:val="20"/>
        </w:rPr>
        <w:footnoteRef/>
      </w:r>
      <w:r w:rsidRPr="00DD51D5">
        <w:rPr>
          <w:color w:val="auto"/>
          <w:sz w:val="20"/>
        </w:rPr>
        <w:t xml:space="preserve"> </w:t>
      </w:r>
      <w:r w:rsidRPr="00DD51D5">
        <w:rPr>
          <w:rFonts w:cs="Arial"/>
          <w:color w:val="auto"/>
          <w:sz w:val="20"/>
          <w:lang w:val="en"/>
        </w:rPr>
        <w:t xml:space="preserve">Brian Coulter resigned in 2007 because of his concern at a lack of progress in taking the matter forward </w:t>
      </w:r>
      <w:hyperlink r:id="rId3" w:history="1">
        <w:r w:rsidR="00DD51D5" w:rsidRPr="00DD51D5">
          <w:rPr>
            <w:rStyle w:val="Hyperlink"/>
            <w:rFonts w:cs="Arial"/>
            <w:color w:val="auto"/>
            <w:sz w:val="20"/>
            <w:u w:val="none"/>
            <w:lang w:val="en"/>
          </w:rPr>
          <w:t>http://www.niprisonerombudsman.gov.uk/publications/ar/AR-0708.pdf</w:t>
        </w:r>
      </w:hyperlink>
    </w:p>
  </w:footnote>
  <w:footnote w:id="7">
    <w:p w:rsidR="000E3C34" w:rsidRPr="00A175B8" w:rsidRDefault="000E3C34">
      <w:pPr>
        <w:pStyle w:val="FootnoteText"/>
      </w:pPr>
      <w:r>
        <w:rPr>
          <w:rStyle w:val="FootnoteReference"/>
        </w:rPr>
        <w:footnoteRef/>
      </w:r>
      <w:r>
        <w:t xml:space="preserve"> </w:t>
      </w:r>
      <w:r w:rsidRPr="00A175B8">
        <w:t>Scraton P and Moore L 2005 2</w:t>
      </w:r>
      <w:r w:rsidRPr="00A175B8">
        <w:rPr>
          <w:vertAlign w:val="superscript"/>
        </w:rPr>
        <w:t>nd</w:t>
      </w:r>
      <w:r w:rsidRPr="00A175B8">
        <w:t xml:space="preserve"> ed., The Hurt Inside: The imprisonment of women and girls in Northern Ireland, NIHRC, and 2007 The Prison Within: The imprisonment of women at Hydebank Wood 2004-2006, NIHRC</w:t>
      </w:r>
    </w:p>
  </w:footnote>
  <w:footnote w:id="8">
    <w:p w:rsidR="00A175B8" w:rsidRDefault="00A175B8">
      <w:pPr>
        <w:pStyle w:val="FootnoteText"/>
      </w:pPr>
      <w:r>
        <w:rPr>
          <w:rStyle w:val="FootnoteReference"/>
        </w:rPr>
        <w:footnoteRef/>
      </w:r>
      <w:r>
        <w:t xml:space="preserve"> Rule 57</w:t>
      </w:r>
    </w:p>
  </w:footnote>
  <w:footnote w:id="9">
    <w:p w:rsidR="00A175B8" w:rsidRDefault="00A175B8">
      <w:pPr>
        <w:pStyle w:val="FootnoteText"/>
      </w:pPr>
      <w:r>
        <w:rPr>
          <w:rStyle w:val="FootnoteReference"/>
        </w:rPr>
        <w:footnoteRef/>
      </w:r>
      <w:r>
        <w:t xml:space="preserve"> See for example rule 35 (1) of the Standard Minimum Rules</w:t>
      </w:r>
    </w:p>
  </w:footnote>
  <w:footnote w:id="10">
    <w:p w:rsidR="00A175B8" w:rsidRPr="00A175B8" w:rsidRDefault="00A175B8" w:rsidP="00A175B8">
      <w:pPr>
        <w:rPr>
          <w:sz w:val="20"/>
        </w:rPr>
      </w:pPr>
      <w:r w:rsidRPr="00A175B8">
        <w:rPr>
          <w:rStyle w:val="FootnoteReference"/>
          <w:sz w:val="20"/>
        </w:rPr>
        <w:footnoteRef/>
      </w:r>
      <w:r w:rsidRPr="00A175B8">
        <w:rPr>
          <w:sz w:val="20"/>
        </w:rPr>
        <w:t xml:space="preserve"> Rule 2 states: </w:t>
      </w:r>
      <w:r w:rsidRPr="00A175B8">
        <w:rPr>
          <w:rFonts w:cs="Arial"/>
          <w:sz w:val="20"/>
        </w:rPr>
        <w:t>It shall be possible to make requests or complaints to the inspector of prisons during his inspection. The prisoner shall have the opportunity to talk to the inspector or to any other inspecting officer without the director or other members of the staff</w:t>
      </w:r>
      <w:r>
        <w:rPr>
          <w:rFonts w:cs="Arial"/>
          <w:sz w:val="20"/>
        </w:rPr>
        <w:t xml:space="preserve"> being present</w:t>
      </w:r>
    </w:p>
  </w:footnote>
  <w:footnote w:id="11">
    <w:p w:rsidR="00BE3DAA" w:rsidRPr="00A175B8" w:rsidRDefault="00BE3DAA" w:rsidP="00BE3DAA">
      <w:pPr>
        <w:pStyle w:val="FootnoteText"/>
      </w:pPr>
      <w:r w:rsidRPr="00A175B8">
        <w:rPr>
          <w:rStyle w:val="FootnoteReference"/>
        </w:rPr>
        <w:footnoteRef/>
      </w:r>
      <w:r w:rsidRPr="00A175B8">
        <w:t xml:space="preserve"> Complaints from ex-prisoners or visitors to prisons can also be eligible</w:t>
      </w:r>
    </w:p>
  </w:footnote>
  <w:footnote w:id="12">
    <w:p w:rsidR="0015674B" w:rsidRPr="00AC621F" w:rsidRDefault="0015674B" w:rsidP="0015674B">
      <w:pPr>
        <w:pStyle w:val="FootnoteText"/>
        <w:rPr>
          <w:lang w:val="en-US"/>
        </w:rPr>
      </w:pPr>
      <w:r w:rsidRPr="00AC621F">
        <w:rPr>
          <w:rStyle w:val="FootnoteReference"/>
        </w:rPr>
        <w:footnoteRef/>
      </w:r>
      <w:r w:rsidRPr="00AC621F">
        <w:t xml:space="preserve"> </w:t>
      </w:r>
      <w:r w:rsidRPr="00AC621F">
        <w:rPr>
          <w:lang w:val="en-US"/>
        </w:rPr>
        <w:t>UN Human Rights Committee, ‘General comment no. 21’, 1992, para. 3</w:t>
      </w:r>
      <w:r>
        <w:rPr>
          <w:lang w:val="en-US"/>
        </w:rPr>
        <w:t xml:space="preserve"> and para 4.</w:t>
      </w:r>
    </w:p>
  </w:footnote>
  <w:footnote w:id="13">
    <w:p w:rsidR="00BA114A" w:rsidRPr="00706CDD" w:rsidRDefault="00BA114A">
      <w:pPr>
        <w:pStyle w:val="FootnoteText"/>
        <w:rPr>
          <w:color w:val="auto"/>
        </w:rPr>
      </w:pPr>
      <w:r w:rsidRPr="00706CDD">
        <w:rPr>
          <w:rStyle w:val="FootnoteReference"/>
          <w:color w:val="auto"/>
        </w:rPr>
        <w:footnoteRef/>
      </w:r>
      <w:r w:rsidR="00EC4F99">
        <w:rPr>
          <w:color w:val="auto"/>
        </w:rPr>
        <w:t xml:space="preserve"> ECHR, a</w:t>
      </w:r>
      <w:r w:rsidRPr="00706CDD">
        <w:rPr>
          <w:color w:val="auto"/>
        </w:rPr>
        <w:t>rticle 1</w:t>
      </w:r>
    </w:p>
  </w:footnote>
  <w:footnote w:id="14">
    <w:p w:rsidR="006A389B" w:rsidRPr="00CD4026" w:rsidRDefault="006A389B">
      <w:pPr>
        <w:pStyle w:val="FootnoteText"/>
      </w:pPr>
      <w:r w:rsidRPr="00706CDD">
        <w:rPr>
          <w:rStyle w:val="FootnoteReference"/>
          <w:color w:val="auto"/>
        </w:rPr>
        <w:footnoteRef/>
      </w:r>
      <w:r w:rsidRPr="00706CDD">
        <w:rPr>
          <w:color w:val="auto"/>
        </w:rPr>
        <w:t xml:space="preserve"> </w:t>
      </w:r>
      <w:r w:rsidRPr="00CD4026">
        <w:rPr>
          <w:color w:val="auto"/>
        </w:rPr>
        <w:t xml:space="preserve">See </w:t>
      </w:r>
      <w:r w:rsidRPr="00CD4026">
        <w:rPr>
          <w:rStyle w:val="Emphasis"/>
          <w:i w:val="0"/>
          <w:color w:val="auto"/>
          <w:lang w:val="is-IS"/>
        </w:rPr>
        <w:t xml:space="preserve">Belkiza Kaya and others v. Turkey </w:t>
      </w:r>
      <w:r w:rsidR="00CD4026" w:rsidRPr="00CD4026">
        <w:rPr>
          <w:rStyle w:val="Emphasis"/>
          <w:i w:val="0"/>
          <w:color w:val="auto"/>
          <w:lang w:val="is-IS"/>
        </w:rPr>
        <w:t xml:space="preserve">App. Nos. </w:t>
      </w:r>
      <w:r w:rsidR="00CD4026" w:rsidRPr="00CD4026">
        <w:t>33420/96 and36206/97</w:t>
      </w:r>
      <w:r w:rsidR="00B311A1">
        <w:t xml:space="preserve"> </w:t>
      </w:r>
      <w:r w:rsidRPr="00CD4026">
        <w:rPr>
          <w:rStyle w:val="Emphasis"/>
          <w:i w:val="0"/>
          <w:color w:val="auto"/>
          <w:lang w:val="is-IS"/>
        </w:rPr>
        <w:t>and Adali v. Turkey</w:t>
      </w:r>
      <w:r w:rsidR="00CD4026" w:rsidRPr="00CD4026">
        <w:rPr>
          <w:rStyle w:val="Emphasis"/>
          <w:i w:val="0"/>
          <w:color w:val="auto"/>
          <w:lang w:val="is-IS"/>
        </w:rPr>
        <w:t xml:space="preserve"> App. No</w:t>
      </w:r>
      <w:r w:rsidR="00CD4026" w:rsidRPr="00CD4026">
        <w:rPr>
          <w:rFonts w:cs="Arial"/>
        </w:rPr>
        <w:t xml:space="preserve"> 38187/97 w</w:t>
      </w:r>
      <w:r w:rsidRPr="00CD4026">
        <w:rPr>
          <w:rStyle w:val="Emphasis"/>
          <w:i w:val="0"/>
          <w:color w:val="auto"/>
          <w:lang w:val="is-IS"/>
        </w:rPr>
        <w:t xml:space="preserve">here the EctHR did not </w:t>
      </w:r>
      <w:r w:rsidRPr="00CD4026">
        <w:rPr>
          <w:color w:val="auto"/>
          <w:lang w:val="is-IS"/>
        </w:rPr>
        <w:t>find evidence that organs of the state wer</w:t>
      </w:r>
      <w:r w:rsidRPr="00CD4026">
        <w:rPr>
          <w:lang w:val="is-IS"/>
        </w:rPr>
        <w:t>e involved in the killings; however found that there had been a lack of an adequate and effective investigation, leadin</w:t>
      </w:r>
      <w:r w:rsidR="00CD4026">
        <w:rPr>
          <w:lang w:val="is-IS"/>
        </w:rPr>
        <w:t>g to a procedural violation of a</w:t>
      </w:r>
      <w:r w:rsidRPr="00CD4026">
        <w:rPr>
          <w:lang w:val="is-IS"/>
        </w:rPr>
        <w:t>rticle 2</w:t>
      </w:r>
    </w:p>
  </w:footnote>
  <w:footnote w:id="15">
    <w:p w:rsidR="00EC4F99" w:rsidRDefault="00EC4F99">
      <w:pPr>
        <w:pStyle w:val="FootnoteText"/>
      </w:pPr>
      <w:r>
        <w:rPr>
          <w:rStyle w:val="FootnoteReference"/>
        </w:rPr>
        <w:footnoteRef/>
      </w:r>
      <w:r>
        <w:t xml:space="preserve"> Salman v Turkey App. No 21986/93</w:t>
      </w:r>
    </w:p>
  </w:footnote>
  <w:footnote w:id="16">
    <w:p w:rsidR="00EB5806" w:rsidRDefault="00EB5806">
      <w:pPr>
        <w:pStyle w:val="FootnoteText"/>
      </w:pPr>
      <w:r>
        <w:rPr>
          <w:rStyle w:val="FootnoteReference"/>
        </w:rPr>
        <w:footnoteRef/>
      </w:r>
      <w:r>
        <w:t xml:space="preserve"> See Aksoy v Turkey 1997 23 EHRR 553, Aydin v Turkey 1998 25 EHRR 251, Assenov v Bulgaria 1998 EHRR 652, A v United Kingdom </w:t>
      </w:r>
      <w:r w:rsidR="00EC4F99">
        <w:t>100/1997/884/1096</w:t>
      </w:r>
    </w:p>
  </w:footnote>
  <w:footnote w:id="17">
    <w:p w:rsidR="005136D1" w:rsidRDefault="005136D1">
      <w:pPr>
        <w:pStyle w:val="FootnoteText"/>
      </w:pPr>
      <w:r>
        <w:rPr>
          <w:rStyle w:val="FootnoteReference"/>
        </w:rPr>
        <w:footnoteRef/>
      </w:r>
      <w:r>
        <w:t xml:space="preserve"> </w:t>
      </w:r>
      <w:r w:rsidRPr="005136D1">
        <w:rPr>
          <w:rFonts w:eastAsia="Times New Roman" w:cs="Arial-ItalicMT"/>
          <w:iCs/>
          <w:color w:val="auto"/>
        </w:rPr>
        <w:t xml:space="preserve">McCann and Others v UK </w:t>
      </w:r>
      <w:r w:rsidRPr="005136D1">
        <w:rPr>
          <w:rFonts w:eastAsia="Times New Roman" w:cs="ArialMT"/>
          <w:color w:val="auto"/>
        </w:rPr>
        <w:t>1995 ECHR45</w:t>
      </w:r>
    </w:p>
  </w:footnote>
  <w:footnote w:id="18">
    <w:p w:rsidR="00BD4958" w:rsidRDefault="00BD4958">
      <w:pPr>
        <w:pStyle w:val="FootnoteText"/>
      </w:pPr>
      <w:r>
        <w:rPr>
          <w:rStyle w:val="FootnoteReference"/>
        </w:rPr>
        <w:footnoteRef/>
      </w:r>
      <w:r>
        <w:t xml:space="preserve"> Brecknell v United Kingdom App. No. 32457/04 2008 ECHR 58</w:t>
      </w:r>
    </w:p>
  </w:footnote>
  <w:footnote w:id="19">
    <w:p w:rsidR="00102000" w:rsidRPr="00581A7C" w:rsidRDefault="00102000">
      <w:pPr>
        <w:pStyle w:val="FootnoteText"/>
        <w:rPr>
          <w:b/>
        </w:rPr>
      </w:pPr>
      <w:r>
        <w:rPr>
          <w:rStyle w:val="FootnoteReference"/>
        </w:rPr>
        <w:footnoteRef/>
      </w:r>
      <w:r>
        <w:t xml:space="preserve"> </w:t>
      </w:r>
      <w:r w:rsidR="009F2D17">
        <w:t>Jordan v United Kingdom App. No. 24746/94</w:t>
      </w:r>
    </w:p>
  </w:footnote>
  <w:footnote w:id="20">
    <w:p w:rsidR="00102000" w:rsidRDefault="00102000">
      <w:pPr>
        <w:pStyle w:val="FootnoteText"/>
      </w:pPr>
      <w:r>
        <w:rPr>
          <w:rStyle w:val="FootnoteReference"/>
        </w:rPr>
        <w:footnoteRef/>
      </w:r>
      <w:r>
        <w:t xml:space="preserve"> Supra para 106</w:t>
      </w:r>
    </w:p>
  </w:footnote>
  <w:footnote w:id="21">
    <w:p w:rsidR="00102000" w:rsidRDefault="00102000">
      <w:pPr>
        <w:pStyle w:val="FootnoteText"/>
      </w:pPr>
      <w:r>
        <w:rPr>
          <w:rStyle w:val="FootnoteReference"/>
        </w:rPr>
        <w:footnoteRef/>
      </w:r>
      <w:r>
        <w:t xml:space="preserve"> Ergi v Turkey 2001 32 EHRR 18</w:t>
      </w:r>
    </w:p>
  </w:footnote>
  <w:footnote w:id="22">
    <w:p w:rsidR="005136D1" w:rsidRDefault="005136D1">
      <w:pPr>
        <w:pStyle w:val="FootnoteText"/>
      </w:pPr>
      <w:r>
        <w:rPr>
          <w:rStyle w:val="FootnoteReference"/>
        </w:rPr>
        <w:footnoteRef/>
      </w:r>
      <w:r>
        <w:t xml:space="preserve"> Article 12</w:t>
      </w:r>
    </w:p>
  </w:footnote>
  <w:footnote w:id="23">
    <w:p w:rsidR="00F753D3" w:rsidRPr="00F753D3" w:rsidRDefault="00F753D3" w:rsidP="00F753D3">
      <w:pPr>
        <w:autoSpaceDE w:val="0"/>
        <w:autoSpaceDN w:val="0"/>
        <w:adjustRightInd w:val="0"/>
        <w:rPr>
          <w:sz w:val="20"/>
        </w:rPr>
      </w:pPr>
      <w:r>
        <w:rPr>
          <w:rStyle w:val="FootnoteReference"/>
        </w:rPr>
        <w:footnoteRef/>
      </w:r>
      <w:r>
        <w:t xml:space="preserve"> </w:t>
      </w:r>
      <w:r w:rsidRPr="00F753D3">
        <w:rPr>
          <w:rFonts w:eastAsia="Times New Roman" w:cs="Arial-ItalicMT"/>
          <w:iCs/>
          <w:color w:val="auto"/>
          <w:sz w:val="20"/>
        </w:rPr>
        <w:t xml:space="preserve">R (on the application of Amin) v Secretary of State for Home Department </w:t>
      </w:r>
      <w:r w:rsidRPr="00F753D3">
        <w:rPr>
          <w:rFonts w:eastAsia="Times New Roman" w:cs="ArialMT"/>
          <w:color w:val="auto"/>
          <w:sz w:val="20"/>
        </w:rPr>
        <w:t>2003 UKHL 51 para 20 referring to Jordan v U</w:t>
      </w:r>
      <w:r w:rsidR="00FC1452">
        <w:rPr>
          <w:rFonts w:eastAsia="Times New Roman" w:cs="ArialMT"/>
          <w:color w:val="auto"/>
          <w:sz w:val="20"/>
        </w:rPr>
        <w:t>nited Kingdom</w:t>
      </w:r>
      <w:r w:rsidRPr="00F753D3">
        <w:rPr>
          <w:rFonts w:eastAsia="Times New Roman" w:cs="ArialMT"/>
          <w:color w:val="auto"/>
          <w:sz w:val="20"/>
        </w:rPr>
        <w:t xml:space="preserve"> para 114</w:t>
      </w:r>
    </w:p>
  </w:footnote>
  <w:footnote w:id="24">
    <w:p w:rsidR="00B311A1" w:rsidRDefault="00B311A1">
      <w:pPr>
        <w:pStyle w:val="FootnoteText"/>
      </w:pPr>
      <w:r>
        <w:rPr>
          <w:rStyle w:val="FootnoteReference"/>
        </w:rPr>
        <w:footnoteRef/>
      </w:r>
      <w:r>
        <w:t xml:space="preserve"> Yasa v Turkey App. No. </w:t>
      </w:r>
      <w:r>
        <w:rPr>
          <w:rStyle w:val="s7d2086b4"/>
        </w:rPr>
        <w:t>63/1997/847/1054</w:t>
      </w:r>
    </w:p>
  </w:footnote>
  <w:footnote w:id="25">
    <w:p w:rsidR="002F4708" w:rsidRDefault="002F4708" w:rsidP="002F4708">
      <w:pPr>
        <w:autoSpaceDE w:val="0"/>
        <w:autoSpaceDN w:val="0"/>
        <w:adjustRightInd w:val="0"/>
      </w:pPr>
      <w:r>
        <w:rPr>
          <w:rStyle w:val="FootnoteReference"/>
        </w:rPr>
        <w:footnoteRef/>
      </w:r>
      <w:r>
        <w:t xml:space="preserve"> </w:t>
      </w:r>
      <w:r>
        <w:rPr>
          <w:rFonts w:eastAsia="Times New Roman" w:cs="Arial-ItalicMT"/>
          <w:iCs/>
          <w:color w:val="auto"/>
          <w:sz w:val="20"/>
        </w:rPr>
        <w:t xml:space="preserve">In </w:t>
      </w:r>
      <w:r w:rsidRPr="00F753D3">
        <w:rPr>
          <w:rFonts w:eastAsia="Times New Roman" w:cs="Arial-ItalicMT"/>
          <w:iCs/>
          <w:color w:val="auto"/>
          <w:sz w:val="20"/>
        </w:rPr>
        <w:t xml:space="preserve">R (JL) v The Secretary State </w:t>
      </w:r>
      <w:r w:rsidRPr="00F753D3">
        <w:rPr>
          <w:rFonts w:eastAsia="Times New Roman" w:cs="ArialMT"/>
          <w:color w:val="auto"/>
          <w:sz w:val="20"/>
        </w:rPr>
        <w:t xml:space="preserve">2008 UKHL 6849 </w:t>
      </w:r>
      <w:r>
        <w:rPr>
          <w:rFonts w:eastAsia="Times New Roman" w:cs="ArialMT"/>
          <w:color w:val="auto"/>
          <w:sz w:val="20"/>
        </w:rPr>
        <w:t>t</w:t>
      </w:r>
      <w:r w:rsidRPr="00F753D3">
        <w:rPr>
          <w:rFonts w:eastAsia="Times New Roman" w:cs="ArialMT"/>
          <w:color w:val="auto"/>
          <w:sz w:val="20"/>
        </w:rPr>
        <w:t>he House of Lords held that a</w:t>
      </w:r>
      <w:r>
        <w:rPr>
          <w:rFonts w:eastAsia="Times New Roman" w:cs="ArialMT"/>
          <w:color w:val="auto"/>
          <w:sz w:val="20"/>
        </w:rPr>
        <w:t xml:space="preserve"> </w:t>
      </w:r>
      <w:r w:rsidRPr="00F753D3">
        <w:rPr>
          <w:rFonts w:eastAsia="Times New Roman" w:cs="ArialMT"/>
          <w:color w:val="auto"/>
          <w:sz w:val="20"/>
        </w:rPr>
        <w:t>near suicide of a prisoner which left him with brain damage automatically triggered</w:t>
      </w:r>
      <w:r>
        <w:rPr>
          <w:rFonts w:eastAsia="Times New Roman" w:cs="ArialMT"/>
          <w:color w:val="auto"/>
          <w:sz w:val="20"/>
        </w:rPr>
        <w:t xml:space="preserve"> </w:t>
      </w:r>
      <w:r w:rsidRPr="00F753D3">
        <w:rPr>
          <w:rFonts w:eastAsia="Times New Roman" w:cs="ArialMT"/>
          <w:color w:val="auto"/>
          <w:sz w:val="20"/>
        </w:rPr>
        <w:t xml:space="preserve">an obligation under </w:t>
      </w:r>
      <w:r w:rsidR="00A44D1F">
        <w:rPr>
          <w:rFonts w:eastAsia="Times New Roman" w:cs="ArialMT"/>
          <w:color w:val="auto"/>
          <w:sz w:val="20"/>
        </w:rPr>
        <w:t>a</w:t>
      </w:r>
      <w:r w:rsidRPr="00F753D3">
        <w:rPr>
          <w:rFonts w:eastAsia="Times New Roman" w:cs="ArialMT"/>
          <w:color w:val="auto"/>
          <w:sz w:val="20"/>
        </w:rPr>
        <w:t>rticle 2 to conduct an investigation, which is independent,</w:t>
      </w:r>
      <w:r>
        <w:rPr>
          <w:rFonts w:eastAsia="Times New Roman" w:cs="ArialMT"/>
          <w:color w:val="auto"/>
          <w:sz w:val="20"/>
        </w:rPr>
        <w:t xml:space="preserve"> </w:t>
      </w:r>
      <w:r w:rsidRPr="00F753D3">
        <w:rPr>
          <w:rFonts w:eastAsia="Times New Roman" w:cs="ArialMT"/>
          <w:color w:val="auto"/>
          <w:sz w:val="20"/>
        </w:rPr>
        <w:t>prompt and involves the next of kin</w:t>
      </w:r>
    </w:p>
  </w:footnote>
  <w:footnote w:id="26">
    <w:p w:rsidR="000D183D" w:rsidRPr="00212408" w:rsidRDefault="000D183D" w:rsidP="000D183D">
      <w:pPr>
        <w:pStyle w:val="FootnoteText"/>
        <w:rPr>
          <w:rFonts w:cs="Arial"/>
        </w:rPr>
      </w:pPr>
      <w:r w:rsidRPr="00212408">
        <w:rPr>
          <w:rStyle w:val="FootnoteReference"/>
          <w:rFonts w:cs="Arial"/>
        </w:rPr>
        <w:footnoteRef/>
      </w:r>
      <w:r w:rsidRPr="00212408">
        <w:rPr>
          <w:rFonts w:cs="Arial"/>
        </w:rPr>
        <w:t xml:space="preserve"> </w:t>
      </w:r>
      <w:hyperlink r:id="rId4" w:history="1">
        <w:r w:rsidRPr="00212408">
          <w:rPr>
            <w:rFonts w:cs="Arial"/>
          </w:rPr>
          <w:t>Lawal v Northern Spirit Ltd 2003</w:t>
        </w:r>
        <w:r w:rsidR="00A44D1F">
          <w:rPr>
            <w:b/>
            <w:bCs/>
          </w:rPr>
          <w:t xml:space="preserve"> </w:t>
        </w:r>
        <w:r w:rsidR="00A44D1F" w:rsidRPr="00A44D1F">
          <w:rPr>
            <w:bCs/>
          </w:rPr>
          <w:t>UKHL 35</w:t>
        </w:r>
      </w:hyperlink>
      <w:r w:rsidRPr="00212408">
        <w:rPr>
          <w:rFonts w:cs="Arial"/>
        </w:rPr>
        <w:t xml:space="preserve"> and </w:t>
      </w:r>
      <w:hyperlink r:id="rId5" w:history="1">
        <w:r w:rsidRPr="00212408">
          <w:rPr>
            <w:rFonts w:cs="Arial"/>
          </w:rPr>
          <w:t>R. (on the application of L) v Secretary of State for Justice 2009 EWHC 2416 (Admin)</w:t>
        </w:r>
      </w:hyperlink>
    </w:p>
  </w:footnote>
  <w:footnote w:id="27">
    <w:p w:rsidR="00F477B6" w:rsidRDefault="00F477B6">
      <w:pPr>
        <w:pStyle w:val="FootnoteText"/>
      </w:pPr>
      <w:r>
        <w:rPr>
          <w:rStyle w:val="FootnoteReference"/>
        </w:rPr>
        <w:footnoteRef/>
      </w:r>
      <w:r>
        <w:t xml:space="preserve"> Khan v United Kingdom App. No. 35394/97</w:t>
      </w:r>
    </w:p>
  </w:footnote>
  <w:footnote w:id="28">
    <w:p w:rsidR="004443CD" w:rsidRDefault="004443CD">
      <w:pPr>
        <w:pStyle w:val="FootnoteText"/>
      </w:pPr>
      <w:r>
        <w:rPr>
          <w:rStyle w:val="FootnoteReference"/>
        </w:rPr>
        <w:footnoteRef/>
      </w:r>
      <w:r>
        <w:t xml:space="preserve"> App. No. 38361/97 ECHR 2002 IV</w:t>
      </w:r>
      <w:r w:rsidR="00BA5B9B">
        <w:t xml:space="preserve"> para 140</w:t>
      </w:r>
    </w:p>
  </w:footnote>
  <w:footnote w:id="29">
    <w:p w:rsidR="002605BF" w:rsidRDefault="002605BF">
      <w:pPr>
        <w:pStyle w:val="FootnoteText"/>
      </w:pPr>
      <w:r>
        <w:rPr>
          <w:rStyle w:val="FootnoteReference"/>
        </w:rPr>
        <w:footnoteRef/>
      </w:r>
      <w:r>
        <w:t xml:space="preserve"> The CPT Standards: Substantive sections of the CPT’s General Reports, Strasbourg: Council of Europe pg 19</w:t>
      </w:r>
    </w:p>
  </w:footnote>
  <w:footnote w:id="30">
    <w:p w:rsidR="002605BF" w:rsidRDefault="002605BF">
      <w:pPr>
        <w:pStyle w:val="FootnoteText"/>
      </w:pPr>
      <w:r>
        <w:rPr>
          <w:rStyle w:val="FootnoteReference"/>
        </w:rPr>
        <w:footnoteRef/>
      </w:r>
      <w:r>
        <w:t xml:space="preserve"> </w:t>
      </w:r>
      <w:r w:rsidR="00DF532E">
        <w:t>European</w:t>
      </w:r>
      <w:r>
        <w:t xml:space="preserve"> Prison Rules 2006 Rule 9</w:t>
      </w:r>
    </w:p>
  </w:footnote>
  <w:footnote w:id="31">
    <w:p w:rsidR="00042407" w:rsidRDefault="00042407">
      <w:pPr>
        <w:pStyle w:val="FootnoteText"/>
      </w:pPr>
      <w:r>
        <w:rPr>
          <w:rStyle w:val="FootnoteReference"/>
        </w:rPr>
        <w:footnoteRef/>
      </w:r>
      <w:r>
        <w:t xml:space="preserve"> Observations of the Committee against Torture on the revision of the United Nations Standard Minimum Rules for the Treatment of Prisons 16 December 2013 CAT/C/51/4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72FA"/>
    <w:multiLevelType w:val="hybridMultilevel"/>
    <w:tmpl w:val="FD041EA6"/>
    <w:lvl w:ilvl="0" w:tplc="46ACAE86">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434919"/>
    <w:multiLevelType w:val="hybridMultilevel"/>
    <w:tmpl w:val="10AAB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26083F"/>
    <w:multiLevelType w:val="hybridMultilevel"/>
    <w:tmpl w:val="DAAC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9502F4"/>
    <w:multiLevelType w:val="hybridMultilevel"/>
    <w:tmpl w:val="38F47AA2"/>
    <w:lvl w:ilvl="0" w:tplc="F48643FE">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5D1239"/>
    <w:multiLevelType w:val="hybridMultilevel"/>
    <w:tmpl w:val="AE9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EF7A73"/>
    <w:multiLevelType w:val="multilevel"/>
    <w:tmpl w:val="C408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57258"/>
    <w:multiLevelType w:val="hybridMultilevel"/>
    <w:tmpl w:val="DAAC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4C2325"/>
    <w:multiLevelType w:val="hybridMultilevel"/>
    <w:tmpl w:val="F79CC312"/>
    <w:lvl w:ilvl="0" w:tplc="EA48651A">
      <w:start w:val="13"/>
      <w:numFmt w:val="decimal"/>
      <w:lvlText w:val="%1."/>
      <w:lvlJc w:val="left"/>
      <w:pPr>
        <w:ind w:left="750" w:hanging="390"/>
      </w:pPr>
      <w:rPr>
        <w:rFonts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6B3AC8"/>
    <w:multiLevelType w:val="hybridMultilevel"/>
    <w:tmpl w:val="07303F4E"/>
    <w:lvl w:ilvl="0" w:tplc="D554A686">
      <w:numFmt w:val="bullet"/>
      <w:lvlText w:val=""/>
      <w:lvlJc w:val="left"/>
      <w:pPr>
        <w:ind w:left="720" w:hanging="360"/>
      </w:pPr>
      <w:rPr>
        <w:rFonts w:ascii="Symbol" w:eastAsia="ヒラギノ角ゴ Pro W3"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2"/>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AE"/>
    <w:rsid w:val="00000854"/>
    <w:rsid w:val="000036CA"/>
    <w:rsid w:val="000133A3"/>
    <w:rsid w:val="00037A48"/>
    <w:rsid w:val="00042407"/>
    <w:rsid w:val="000465B0"/>
    <w:rsid w:val="0005670F"/>
    <w:rsid w:val="000646BF"/>
    <w:rsid w:val="000A13B2"/>
    <w:rsid w:val="000C1E1B"/>
    <w:rsid w:val="000D183D"/>
    <w:rsid w:val="000E3C34"/>
    <w:rsid w:val="00102000"/>
    <w:rsid w:val="00106691"/>
    <w:rsid w:val="001324F0"/>
    <w:rsid w:val="00140E3F"/>
    <w:rsid w:val="00141BB9"/>
    <w:rsid w:val="00144BF1"/>
    <w:rsid w:val="0015674B"/>
    <w:rsid w:val="001E217E"/>
    <w:rsid w:val="001E2252"/>
    <w:rsid w:val="001F129F"/>
    <w:rsid w:val="0022588A"/>
    <w:rsid w:val="00240823"/>
    <w:rsid w:val="00250F0B"/>
    <w:rsid w:val="00253C8D"/>
    <w:rsid w:val="002605BF"/>
    <w:rsid w:val="00264A41"/>
    <w:rsid w:val="00291C53"/>
    <w:rsid w:val="002C405B"/>
    <w:rsid w:val="002C67A6"/>
    <w:rsid w:val="002E3333"/>
    <w:rsid w:val="002F4708"/>
    <w:rsid w:val="002F59EA"/>
    <w:rsid w:val="00301D53"/>
    <w:rsid w:val="00321EFE"/>
    <w:rsid w:val="0034799E"/>
    <w:rsid w:val="00365042"/>
    <w:rsid w:val="00394404"/>
    <w:rsid w:val="004103D6"/>
    <w:rsid w:val="004401EC"/>
    <w:rsid w:val="004443CD"/>
    <w:rsid w:val="00444E65"/>
    <w:rsid w:val="00450231"/>
    <w:rsid w:val="00497976"/>
    <w:rsid w:val="004B1848"/>
    <w:rsid w:val="004C7C44"/>
    <w:rsid w:val="005062A4"/>
    <w:rsid w:val="00512B68"/>
    <w:rsid w:val="005136D1"/>
    <w:rsid w:val="005201DC"/>
    <w:rsid w:val="005249C8"/>
    <w:rsid w:val="005779F2"/>
    <w:rsid w:val="005810D2"/>
    <w:rsid w:val="00581A7C"/>
    <w:rsid w:val="0058470C"/>
    <w:rsid w:val="00593034"/>
    <w:rsid w:val="005A768F"/>
    <w:rsid w:val="005C63F3"/>
    <w:rsid w:val="006511D6"/>
    <w:rsid w:val="00675880"/>
    <w:rsid w:val="00675F0E"/>
    <w:rsid w:val="006879A1"/>
    <w:rsid w:val="006A389B"/>
    <w:rsid w:val="006B6F20"/>
    <w:rsid w:val="006C205F"/>
    <w:rsid w:val="006F5077"/>
    <w:rsid w:val="006F547C"/>
    <w:rsid w:val="00706CDD"/>
    <w:rsid w:val="00745C1C"/>
    <w:rsid w:val="00761DDF"/>
    <w:rsid w:val="00777C78"/>
    <w:rsid w:val="0078405B"/>
    <w:rsid w:val="007C251E"/>
    <w:rsid w:val="00821B58"/>
    <w:rsid w:val="0084142C"/>
    <w:rsid w:val="008A024E"/>
    <w:rsid w:val="008B2626"/>
    <w:rsid w:val="008D0E10"/>
    <w:rsid w:val="008D7021"/>
    <w:rsid w:val="008F4D97"/>
    <w:rsid w:val="008F680F"/>
    <w:rsid w:val="009021FC"/>
    <w:rsid w:val="00904737"/>
    <w:rsid w:val="009109BD"/>
    <w:rsid w:val="00927EED"/>
    <w:rsid w:val="00931B0F"/>
    <w:rsid w:val="00932958"/>
    <w:rsid w:val="00945986"/>
    <w:rsid w:val="00986DCE"/>
    <w:rsid w:val="009871B1"/>
    <w:rsid w:val="009C07BC"/>
    <w:rsid w:val="009E4C96"/>
    <w:rsid w:val="009E7A5A"/>
    <w:rsid w:val="009F2D17"/>
    <w:rsid w:val="00A001D2"/>
    <w:rsid w:val="00A05122"/>
    <w:rsid w:val="00A175B8"/>
    <w:rsid w:val="00A27FDE"/>
    <w:rsid w:val="00A33ED9"/>
    <w:rsid w:val="00A44D1F"/>
    <w:rsid w:val="00A65BC0"/>
    <w:rsid w:val="00AB4427"/>
    <w:rsid w:val="00B00668"/>
    <w:rsid w:val="00B01BD4"/>
    <w:rsid w:val="00B14453"/>
    <w:rsid w:val="00B223DD"/>
    <w:rsid w:val="00B277AE"/>
    <w:rsid w:val="00B27B48"/>
    <w:rsid w:val="00B311A1"/>
    <w:rsid w:val="00B57510"/>
    <w:rsid w:val="00B760C4"/>
    <w:rsid w:val="00BA114A"/>
    <w:rsid w:val="00BA5B9B"/>
    <w:rsid w:val="00BB7AC0"/>
    <w:rsid w:val="00BD4958"/>
    <w:rsid w:val="00BE3DAA"/>
    <w:rsid w:val="00BE5F6A"/>
    <w:rsid w:val="00BF1A04"/>
    <w:rsid w:val="00C07DB6"/>
    <w:rsid w:val="00C1541B"/>
    <w:rsid w:val="00C35AFE"/>
    <w:rsid w:val="00C47753"/>
    <w:rsid w:val="00C65636"/>
    <w:rsid w:val="00C95F4C"/>
    <w:rsid w:val="00CD4026"/>
    <w:rsid w:val="00D338B6"/>
    <w:rsid w:val="00D46C10"/>
    <w:rsid w:val="00D55B02"/>
    <w:rsid w:val="00DD51D5"/>
    <w:rsid w:val="00DF532E"/>
    <w:rsid w:val="00E31232"/>
    <w:rsid w:val="00E8437D"/>
    <w:rsid w:val="00EA11C0"/>
    <w:rsid w:val="00EA79DC"/>
    <w:rsid w:val="00EB5806"/>
    <w:rsid w:val="00EC4F99"/>
    <w:rsid w:val="00F20787"/>
    <w:rsid w:val="00F2767B"/>
    <w:rsid w:val="00F44578"/>
    <w:rsid w:val="00F477B6"/>
    <w:rsid w:val="00F72999"/>
    <w:rsid w:val="00F753D3"/>
    <w:rsid w:val="00F935A8"/>
    <w:rsid w:val="00FC1452"/>
    <w:rsid w:val="00FD0747"/>
    <w:rsid w:val="00FE4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AE"/>
    <w:rPr>
      <w:rFonts w:ascii="Verdana" w:eastAsia="ヒラギノ角ゴ Pro W3" w:hAnsi="Verdana"/>
      <w:color w:val="000000"/>
      <w:szCs w:val="20"/>
    </w:rPr>
  </w:style>
  <w:style w:type="paragraph" w:styleId="Heading2">
    <w:name w:val="heading 2"/>
    <w:basedOn w:val="Normal"/>
    <w:link w:val="Heading2Char"/>
    <w:uiPriority w:val="9"/>
    <w:qFormat/>
    <w:rsid w:val="00BE3DAA"/>
    <w:pPr>
      <w:outlineLvl w:val="1"/>
    </w:pPr>
    <w:rPr>
      <w:rFonts w:ascii="Times New Roman" w:eastAsia="Times New Roman" w:hAnsi="Times New Roman"/>
      <w:b/>
      <w:bCs/>
      <w:color w:val="303030"/>
      <w:sz w:val="23"/>
      <w:szCs w:val="23"/>
    </w:rPr>
  </w:style>
  <w:style w:type="paragraph" w:styleId="Heading3">
    <w:name w:val="heading 3"/>
    <w:basedOn w:val="Normal"/>
    <w:link w:val="Heading3Char"/>
    <w:uiPriority w:val="9"/>
    <w:qFormat/>
    <w:rsid w:val="00BE3DAA"/>
    <w:pPr>
      <w:outlineLvl w:val="2"/>
    </w:pPr>
    <w:rPr>
      <w:rFonts w:ascii="Times New Roman" w:eastAsia="Times New Roman" w:hAnsi="Times New Roman"/>
      <w:b/>
      <w:bCs/>
      <w:color w:val="30303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utoRedefine/>
    <w:uiPriority w:val="34"/>
    <w:qFormat/>
    <w:rsid w:val="00F753D3"/>
    <w:pPr>
      <w:numPr>
        <w:numId w:val="6"/>
      </w:numPr>
      <w:autoSpaceDE w:val="0"/>
      <w:autoSpaceDN w:val="0"/>
      <w:adjustRightInd w:val="0"/>
      <w:ind w:right="368"/>
      <w:contextualSpacing/>
      <w:jc w:val="both"/>
    </w:pPr>
    <w:rPr>
      <w:rFonts w:ascii="Verdana" w:eastAsia="ヒラギノ角ゴ Pro W3" w:hAnsi="Verdana"/>
      <w:color w:val="000000"/>
      <w:sz w:val="22"/>
      <w:szCs w:val="22"/>
      <w:lang w:val="en-US" w:eastAsia="en-US"/>
    </w:rPr>
  </w:style>
  <w:style w:type="paragraph" w:customStyle="1" w:styleId="Default">
    <w:name w:val="Default"/>
    <w:rsid w:val="00B277AE"/>
    <w:pPr>
      <w:autoSpaceDE w:val="0"/>
      <w:autoSpaceDN w:val="0"/>
      <w:adjustRightInd w:val="0"/>
    </w:pPr>
    <w:rPr>
      <w:rFonts w:ascii="Verdana" w:hAnsi="Verdana" w:cs="Verdana"/>
      <w:color w:val="000000"/>
    </w:rPr>
  </w:style>
  <w:style w:type="paragraph" w:styleId="BalloonText">
    <w:name w:val="Balloon Text"/>
    <w:basedOn w:val="Normal"/>
    <w:link w:val="BalloonTextChar"/>
    <w:rsid w:val="00B277AE"/>
    <w:rPr>
      <w:rFonts w:ascii="Tahoma" w:hAnsi="Tahoma" w:cs="Tahoma"/>
      <w:sz w:val="16"/>
      <w:szCs w:val="16"/>
    </w:rPr>
  </w:style>
  <w:style w:type="character" w:customStyle="1" w:styleId="BalloonTextChar">
    <w:name w:val="Balloon Text Char"/>
    <w:basedOn w:val="DefaultParagraphFont"/>
    <w:link w:val="BalloonText"/>
    <w:rsid w:val="00B277AE"/>
    <w:rPr>
      <w:rFonts w:ascii="Tahoma" w:eastAsia="ヒラギノ角ゴ Pro W3" w:hAnsi="Tahoma" w:cs="Tahoma"/>
      <w:color w:val="000000"/>
      <w:sz w:val="16"/>
      <w:szCs w:val="16"/>
    </w:rPr>
  </w:style>
  <w:style w:type="paragraph" w:styleId="FootnoteText">
    <w:name w:val="footnote text"/>
    <w:basedOn w:val="Normal"/>
    <w:link w:val="FootnoteTextChar"/>
    <w:uiPriority w:val="99"/>
    <w:rsid w:val="009E7A5A"/>
    <w:rPr>
      <w:sz w:val="20"/>
    </w:rPr>
  </w:style>
  <w:style w:type="character" w:customStyle="1" w:styleId="FootnoteTextChar">
    <w:name w:val="Footnote Text Char"/>
    <w:basedOn w:val="DefaultParagraphFont"/>
    <w:link w:val="FootnoteText"/>
    <w:uiPriority w:val="99"/>
    <w:rsid w:val="009E7A5A"/>
    <w:rPr>
      <w:rFonts w:ascii="Verdana" w:eastAsia="ヒラギノ角ゴ Pro W3" w:hAnsi="Verdana"/>
      <w:color w:val="000000"/>
      <w:sz w:val="20"/>
      <w:szCs w:val="20"/>
    </w:rPr>
  </w:style>
  <w:style w:type="character" w:styleId="FootnoteReference">
    <w:name w:val="footnote reference"/>
    <w:basedOn w:val="DefaultParagraphFont"/>
    <w:uiPriority w:val="99"/>
    <w:rsid w:val="009E7A5A"/>
    <w:rPr>
      <w:vertAlign w:val="superscript"/>
    </w:rPr>
  </w:style>
  <w:style w:type="character" w:styleId="Hyperlink">
    <w:name w:val="Hyperlink"/>
    <w:basedOn w:val="DefaultParagraphFont"/>
    <w:rsid w:val="00DD51D5"/>
    <w:rPr>
      <w:color w:val="0000FF" w:themeColor="hyperlink"/>
      <w:u w:val="single"/>
    </w:rPr>
  </w:style>
  <w:style w:type="paragraph" w:styleId="NormalWeb">
    <w:name w:val="Normal (Web)"/>
    <w:basedOn w:val="Normal"/>
    <w:uiPriority w:val="99"/>
    <w:unhideWhenUsed/>
    <w:rsid w:val="00DD51D5"/>
    <w:pPr>
      <w:spacing w:before="100" w:beforeAutospacing="1" w:after="100" w:afterAutospacing="1"/>
    </w:pPr>
    <w:rPr>
      <w:rFonts w:ascii="Times New Roman" w:eastAsia="Times New Roman" w:hAnsi="Times New Roman"/>
      <w:color w:val="auto"/>
      <w:szCs w:val="24"/>
    </w:rPr>
  </w:style>
  <w:style w:type="character" w:styleId="Strong">
    <w:name w:val="Strong"/>
    <w:basedOn w:val="DefaultParagraphFont"/>
    <w:uiPriority w:val="22"/>
    <w:qFormat/>
    <w:rsid w:val="00904737"/>
    <w:rPr>
      <w:b/>
      <w:bCs/>
    </w:rPr>
  </w:style>
  <w:style w:type="character" w:styleId="Emphasis">
    <w:name w:val="Emphasis"/>
    <w:basedOn w:val="DefaultParagraphFont"/>
    <w:uiPriority w:val="20"/>
    <w:qFormat/>
    <w:rsid w:val="00BA114A"/>
    <w:rPr>
      <w:i/>
      <w:iCs/>
    </w:rPr>
  </w:style>
  <w:style w:type="paragraph" w:styleId="Header">
    <w:name w:val="header"/>
    <w:basedOn w:val="Normal"/>
    <w:link w:val="HeaderChar"/>
    <w:rsid w:val="00D55B02"/>
    <w:pPr>
      <w:tabs>
        <w:tab w:val="center" w:pos="4513"/>
        <w:tab w:val="right" w:pos="9026"/>
      </w:tabs>
    </w:pPr>
  </w:style>
  <w:style w:type="character" w:customStyle="1" w:styleId="HeaderChar">
    <w:name w:val="Header Char"/>
    <w:basedOn w:val="DefaultParagraphFont"/>
    <w:link w:val="Header"/>
    <w:rsid w:val="00D55B02"/>
    <w:rPr>
      <w:rFonts w:ascii="Verdana" w:eastAsia="ヒラギノ角ゴ Pro W3" w:hAnsi="Verdana"/>
      <w:color w:val="000000"/>
      <w:szCs w:val="20"/>
    </w:rPr>
  </w:style>
  <w:style w:type="paragraph" w:styleId="Footer">
    <w:name w:val="footer"/>
    <w:basedOn w:val="Normal"/>
    <w:link w:val="FooterChar"/>
    <w:uiPriority w:val="99"/>
    <w:rsid w:val="00D55B02"/>
    <w:pPr>
      <w:tabs>
        <w:tab w:val="center" w:pos="4513"/>
        <w:tab w:val="right" w:pos="9026"/>
      </w:tabs>
    </w:pPr>
  </w:style>
  <w:style w:type="character" w:customStyle="1" w:styleId="FooterChar">
    <w:name w:val="Footer Char"/>
    <w:basedOn w:val="DefaultParagraphFont"/>
    <w:link w:val="Footer"/>
    <w:uiPriority w:val="99"/>
    <w:rsid w:val="00D55B02"/>
    <w:rPr>
      <w:rFonts w:ascii="Verdana" w:eastAsia="ヒラギノ角ゴ Pro W3" w:hAnsi="Verdana"/>
      <w:color w:val="000000"/>
      <w:szCs w:val="20"/>
    </w:rPr>
  </w:style>
  <w:style w:type="character" w:customStyle="1" w:styleId="sb8d990e2">
    <w:name w:val="sb8d990e2"/>
    <w:basedOn w:val="DefaultParagraphFont"/>
    <w:rsid w:val="00F477B6"/>
  </w:style>
  <w:style w:type="character" w:customStyle="1" w:styleId="s7d2086b4">
    <w:name w:val="s7d2086b4"/>
    <w:basedOn w:val="DefaultParagraphFont"/>
    <w:rsid w:val="00B311A1"/>
  </w:style>
  <w:style w:type="character" w:customStyle="1" w:styleId="s6b621b36">
    <w:name w:val="s6b621b36"/>
    <w:basedOn w:val="DefaultParagraphFont"/>
    <w:rsid w:val="009F2D17"/>
  </w:style>
  <w:style w:type="paragraph" w:customStyle="1" w:styleId="legclearfix2">
    <w:name w:val="legclearfix2"/>
    <w:basedOn w:val="Normal"/>
    <w:rsid w:val="00B00668"/>
    <w:pPr>
      <w:shd w:val="clear" w:color="auto" w:fill="FFFFFF"/>
      <w:spacing w:after="120" w:line="360" w:lineRule="atLeast"/>
    </w:pPr>
    <w:rPr>
      <w:rFonts w:ascii="Times New Roman" w:eastAsia="Times New Roman" w:hAnsi="Times New Roman"/>
      <w:sz w:val="19"/>
      <w:szCs w:val="19"/>
    </w:rPr>
  </w:style>
  <w:style w:type="character" w:customStyle="1" w:styleId="legds2">
    <w:name w:val="legds2"/>
    <w:basedOn w:val="DefaultParagraphFont"/>
    <w:rsid w:val="00B00668"/>
    <w:rPr>
      <w:vanish w:val="0"/>
      <w:webHidden w:val="0"/>
      <w:specVanish w:val="0"/>
    </w:rPr>
  </w:style>
  <w:style w:type="character" w:customStyle="1" w:styleId="legextentrestriction7">
    <w:name w:val="legextentrestriction7"/>
    <w:basedOn w:val="DefaultParagraphFont"/>
    <w:rsid w:val="00B223DD"/>
    <w:rPr>
      <w:b/>
      <w:bCs/>
      <w:i w:val="0"/>
      <w:iCs w:val="0"/>
      <w:vanish/>
      <w:webHidden w:val="0"/>
      <w:color w:val="FFFFFF"/>
      <w:sz w:val="22"/>
      <w:szCs w:val="22"/>
      <w:shd w:val="clear" w:color="auto" w:fill="660066"/>
      <w:specVanish w:val="0"/>
    </w:rPr>
  </w:style>
  <w:style w:type="character" w:customStyle="1" w:styleId="Heading2Char">
    <w:name w:val="Heading 2 Char"/>
    <w:basedOn w:val="DefaultParagraphFont"/>
    <w:link w:val="Heading2"/>
    <w:uiPriority w:val="9"/>
    <w:rsid w:val="00BE3DAA"/>
    <w:rPr>
      <w:b/>
      <w:bCs/>
      <w:color w:val="303030"/>
      <w:sz w:val="23"/>
      <w:szCs w:val="23"/>
    </w:rPr>
  </w:style>
  <w:style w:type="character" w:customStyle="1" w:styleId="Heading3Char">
    <w:name w:val="Heading 3 Char"/>
    <w:basedOn w:val="DefaultParagraphFont"/>
    <w:link w:val="Heading3"/>
    <w:uiPriority w:val="9"/>
    <w:rsid w:val="00BE3DAA"/>
    <w:rPr>
      <w:b/>
      <w:bCs/>
      <w:color w:val="30303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AE"/>
    <w:rPr>
      <w:rFonts w:ascii="Verdana" w:eastAsia="ヒラギノ角ゴ Pro W3" w:hAnsi="Verdana"/>
      <w:color w:val="000000"/>
      <w:szCs w:val="20"/>
    </w:rPr>
  </w:style>
  <w:style w:type="paragraph" w:styleId="Heading2">
    <w:name w:val="heading 2"/>
    <w:basedOn w:val="Normal"/>
    <w:link w:val="Heading2Char"/>
    <w:uiPriority w:val="9"/>
    <w:qFormat/>
    <w:rsid w:val="00BE3DAA"/>
    <w:pPr>
      <w:outlineLvl w:val="1"/>
    </w:pPr>
    <w:rPr>
      <w:rFonts w:ascii="Times New Roman" w:eastAsia="Times New Roman" w:hAnsi="Times New Roman"/>
      <w:b/>
      <w:bCs/>
      <w:color w:val="303030"/>
      <w:sz w:val="23"/>
      <w:szCs w:val="23"/>
    </w:rPr>
  </w:style>
  <w:style w:type="paragraph" w:styleId="Heading3">
    <w:name w:val="heading 3"/>
    <w:basedOn w:val="Normal"/>
    <w:link w:val="Heading3Char"/>
    <w:uiPriority w:val="9"/>
    <w:qFormat/>
    <w:rsid w:val="00BE3DAA"/>
    <w:pPr>
      <w:outlineLvl w:val="2"/>
    </w:pPr>
    <w:rPr>
      <w:rFonts w:ascii="Times New Roman" w:eastAsia="Times New Roman" w:hAnsi="Times New Roman"/>
      <w:b/>
      <w:bCs/>
      <w:color w:val="30303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utoRedefine/>
    <w:uiPriority w:val="34"/>
    <w:qFormat/>
    <w:rsid w:val="00F753D3"/>
    <w:pPr>
      <w:numPr>
        <w:numId w:val="6"/>
      </w:numPr>
      <w:autoSpaceDE w:val="0"/>
      <w:autoSpaceDN w:val="0"/>
      <w:adjustRightInd w:val="0"/>
      <w:ind w:right="368"/>
      <w:contextualSpacing/>
      <w:jc w:val="both"/>
    </w:pPr>
    <w:rPr>
      <w:rFonts w:ascii="Verdana" w:eastAsia="ヒラギノ角ゴ Pro W3" w:hAnsi="Verdana"/>
      <w:color w:val="000000"/>
      <w:sz w:val="22"/>
      <w:szCs w:val="22"/>
      <w:lang w:val="en-US" w:eastAsia="en-US"/>
    </w:rPr>
  </w:style>
  <w:style w:type="paragraph" w:customStyle="1" w:styleId="Default">
    <w:name w:val="Default"/>
    <w:rsid w:val="00B277AE"/>
    <w:pPr>
      <w:autoSpaceDE w:val="0"/>
      <w:autoSpaceDN w:val="0"/>
      <w:adjustRightInd w:val="0"/>
    </w:pPr>
    <w:rPr>
      <w:rFonts w:ascii="Verdana" w:hAnsi="Verdana" w:cs="Verdana"/>
      <w:color w:val="000000"/>
    </w:rPr>
  </w:style>
  <w:style w:type="paragraph" w:styleId="BalloonText">
    <w:name w:val="Balloon Text"/>
    <w:basedOn w:val="Normal"/>
    <w:link w:val="BalloonTextChar"/>
    <w:rsid w:val="00B277AE"/>
    <w:rPr>
      <w:rFonts w:ascii="Tahoma" w:hAnsi="Tahoma" w:cs="Tahoma"/>
      <w:sz w:val="16"/>
      <w:szCs w:val="16"/>
    </w:rPr>
  </w:style>
  <w:style w:type="character" w:customStyle="1" w:styleId="BalloonTextChar">
    <w:name w:val="Balloon Text Char"/>
    <w:basedOn w:val="DefaultParagraphFont"/>
    <w:link w:val="BalloonText"/>
    <w:rsid w:val="00B277AE"/>
    <w:rPr>
      <w:rFonts w:ascii="Tahoma" w:eastAsia="ヒラギノ角ゴ Pro W3" w:hAnsi="Tahoma" w:cs="Tahoma"/>
      <w:color w:val="000000"/>
      <w:sz w:val="16"/>
      <w:szCs w:val="16"/>
    </w:rPr>
  </w:style>
  <w:style w:type="paragraph" w:styleId="FootnoteText">
    <w:name w:val="footnote text"/>
    <w:basedOn w:val="Normal"/>
    <w:link w:val="FootnoteTextChar"/>
    <w:uiPriority w:val="99"/>
    <w:rsid w:val="009E7A5A"/>
    <w:rPr>
      <w:sz w:val="20"/>
    </w:rPr>
  </w:style>
  <w:style w:type="character" w:customStyle="1" w:styleId="FootnoteTextChar">
    <w:name w:val="Footnote Text Char"/>
    <w:basedOn w:val="DefaultParagraphFont"/>
    <w:link w:val="FootnoteText"/>
    <w:uiPriority w:val="99"/>
    <w:rsid w:val="009E7A5A"/>
    <w:rPr>
      <w:rFonts w:ascii="Verdana" w:eastAsia="ヒラギノ角ゴ Pro W3" w:hAnsi="Verdana"/>
      <w:color w:val="000000"/>
      <w:sz w:val="20"/>
      <w:szCs w:val="20"/>
    </w:rPr>
  </w:style>
  <w:style w:type="character" w:styleId="FootnoteReference">
    <w:name w:val="footnote reference"/>
    <w:basedOn w:val="DefaultParagraphFont"/>
    <w:uiPriority w:val="99"/>
    <w:rsid w:val="009E7A5A"/>
    <w:rPr>
      <w:vertAlign w:val="superscript"/>
    </w:rPr>
  </w:style>
  <w:style w:type="character" w:styleId="Hyperlink">
    <w:name w:val="Hyperlink"/>
    <w:basedOn w:val="DefaultParagraphFont"/>
    <w:rsid w:val="00DD51D5"/>
    <w:rPr>
      <w:color w:val="0000FF" w:themeColor="hyperlink"/>
      <w:u w:val="single"/>
    </w:rPr>
  </w:style>
  <w:style w:type="paragraph" w:styleId="NormalWeb">
    <w:name w:val="Normal (Web)"/>
    <w:basedOn w:val="Normal"/>
    <w:uiPriority w:val="99"/>
    <w:unhideWhenUsed/>
    <w:rsid w:val="00DD51D5"/>
    <w:pPr>
      <w:spacing w:before="100" w:beforeAutospacing="1" w:after="100" w:afterAutospacing="1"/>
    </w:pPr>
    <w:rPr>
      <w:rFonts w:ascii="Times New Roman" w:eastAsia="Times New Roman" w:hAnsi="Times New Roman"/>
      <w:color w:val="auto"/>
      <w:szCs w:val="24"/>
    </w:rPr>
  </w:style>
  <w:style w:type="character" w:styleId="Strong">
    <w:name w:val="Strong"/>
    <w:basedOn w:val="DefaultParagraphFont"/>
    <w:uiPriority w:val="22"/>
    <w:qFormat/>
    <w:rsid w:val="00904737"/>
    <w:rPr>
      <w:b/>
      <w:bCs/>
    </w:rPr>
  </w:style>
  <w:style w:type="character" w:styleId="Emphasis">
    <w:name w:val="Emphasis"/>
    <w:basedOn w:val="DefaultParagraphFont"/>
    <w:uiPriority w:val="20"/>
    <w:qFormat/>
    <w:rsid w:val="00BA114A"/>
    <w:rPr>
      <w:i/>
      <w:iCs/>
    </w:rPr>
  </w:style>
  <w:style w:type="paragraph" w:styleId="Header">
    <w:name w:val="header"/>
    <w:basedOn w:val="Normal"/>
    <w:link w:val="HeaderChar"/>
    <w:rsid w:val="00D55B02"/>
    <w:pPr>
      <w:tabs>
        <w:tab w:val="center" w:pos="4513"/>
        <w:tab w:val="right" w:pos="9026"/>
      </w:tabs>
    </w:pPr>
  </w:style>
  <w:style w:type="character" w:customStyle="1" w:styleId="HeaderChar">
    <w:name w:val="Header Char"/>
    <w:basedOn w:val="DefaultParagraphFont"/>
    <w:link w:val="Header"/>
    <w:rsid w:val="00D55B02"/>
    <w:rPr>
      <w:rFonts w:ascii="Verdana" w:eastAsia="ヒラギノ角ゴ Pro W3" w:hAnsi="Verdana"/>
      <w:color w:val="000000"/>
      <w:szCs w:val="20"/>
    </w:rPr>
  </w:style>
  <w:style w:type="paragraph" w:styleId="Footer">
    <w:name w:val="footer"/>
    <w:basedOn w:val="Normal"/>
    <w:link w:val="FooterChar"/>
    <w:uiPriority w:val="99"/>
    <w:rsid w:val="00D55B02"/>
    <w:pPr>
      <w:tabs>
        <w:tab w:val="center" w:pos="4513"/>
        <w:tab w:val="right" w:pos="9026"/>
      </w:tabs>
    </w:pPr>
  </w:style>
  <w:style w:type="character" w:customStyle="1" w:styleId="FooterChar">
    <w:name w:val="Footer Char"/>
    <w:basedOn w:val="DefaultParagraphFont"/>
    <w:link w:val="Footer"/>
    <w:uiPriority w:val="99"/>
    <w:rsid w:val="00D55B02"/>
    <w:rPr>
      <w:rFonts w:ascii="Verdana" w:eastAsia="ヒラギノ角ゴ Pro W3" w:hAnsi="Verdana"/>
      <w:color w:val="000000"/>
      <w:szCs w:val="20"/>
    </w:rPr>
  </w:style>
  <w:style w:type="character" w:customStyle="1" w:styleId="sb8d990e2">
    <w:name w:val="sb8d990e2"/>
    <w:basedOn w:val="DefaultParagraphFont"/>
    <w:rsid w:val="00F477B6"/>
  </w:style>
  <w:style w:type="character" w:customStyle="1" w:styleId="s7d2086b4">
    <w:name w:val="s7d2086b4"/>
    <w:basedOn w:val="DefaultParagraphFont"/>
    <w:rsid w:val="00B311A1"/>
  </w:style>
  <w:style w:type="character" w:customStyle="1" w:styleId="s6b621b36">
    <w:name w:val="s6b621b36"/>
    <w:basedOn w:val="DefaultParagraphFont"/>
    <w:rsid w:val="009F2D17"/>
  </w:style>
  <w:style w:type="paragraph" w:customStyle="1" w:styleId="legclearfix2">
    <w:name w:val="legclearfix2"/>
    <w:basedOn w:val="Normal"/>
    <w:rsid w:val="00B00668"/>
    <w:pPr>
      <w:shd w:val="clear" w:color="auto" w:fill="FFFFFF"/>
      <w:spacing w:after="120" w:line="360" w:lineRule="atLeast"/>
    </w:pPr>
    <w:rPr>
      <w:rFonts w:ascii="Times New Roman" w:eastAsia="Times New Roman" w:hAnsi="Times New Roman"/>
      <w:sz w:val="19"/>
      <w:szCs w:val="19"/>
    </w:rPr>
  </w:style>
  <w:style w:type="character" w:customStyle="1" w:styleId="legds2">
    <w:name w:val="legds2"/>
    <w:basedOn w:val="DefaultParagraphFont"/>
    <w:rsid w:val="00B00668"/>
    <w:rPr>
      <w:vanish w:val="0"/>
      <w:webHidden w:val="0"/>
      <w:specVanish w:val="0"/>
    </w:rPr>
  </w:style>
  <w:style w:type="character" w:customStyle="1" w:styleId="legextentrestriction7">
    <w:name w:val="legextentrestriction7"/>
    <w:basedOn w:val="DefaultParagraphFont"/>
    <w:rsid w:val="00B223DD"/>
    <w:rPr>
      <w:b/>
      <w:bCs/>
      <w:i w:val="0"/>
      <w:iCs w:val="0"/>
      <w:vanish/>
      <w:webHidden w:val="0"/>
      <w:color w:val="FFFFFF"/>
      <w:sz w:val="22"/>
      <w:szCs w:val="22"/>
      <w:shd w:val="clear" w:color="auto" w:fill="660066"/>
      <w:specVanish w:val="0"/>
    </w:rPr>
  </w:style>
  <w:style w:type="character" w:customStyle="1" w:styleId="Heading2Char">
    <w:name w:val="Heading 2 Char"/>
    <w:basedOn w:val="DefaultParagraphFont"/>
    <w:link w:val="Heading2"/>
    <w:uiPriority w:val="9"/>
    <w:rsid w:val="00BE3DAA"/>
    <w:rPr>
      <w:b/>
      <w:bCs/>
      <w:color w:val="303030"/>
      <w:sz w:val="23"/>
      <w:szCs w:val="23"/>
    </w:rPr>
  </w:style>
  <w:style w:type="character" w:customStyle="1" w:styleId="Heading3Char">
    <w:name w:val="Heading 3 Char"/>
    <w:basedOn w:val="DefaultParagraphFont"/>
    <w:link w:val="Heading3"/>
    <w:uiPriority w:val="9"/>
    <w:rsid w:val="00BE3DAA"/>
    <w:rPr>
      <w:b/>
      <w:bCs/>
      <w:color w:val="3030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80462">
      <w:bodyDiv w:val="1"/>
      <w:marLeft w:val="0"/>
      <w:marRight w:val="0"/>
      <w:marTop w:val="0"/>
      <w:marBottom w:val="0"/>
      <w:divBdr>
        <w:top w:val="none" w:sz="0" w:space="0" w:color="auto"/>
        <w:left w:val="none" w:sz="0" w:space="0" w:color="auto"/>
        <w:bottom w:val="none" w:sz="0" w:space="0" w:color="auto"/>
        <w:right w:val="none" w:sz="0" w:space="0" w:color="auto"/>
      </w:divBdr>
      <w:divsChild>
        <w:div w:id="1269241964">
          <w:marLeft w:val="0"/>
          <w:marRight w:val="0"/>
          <w:marTop w:val="0"/>
          <w:marBottom w:val="0"/>
          <w:divBdr>
            <w:top w:val="none" w:sz="0" w:space="0" w:color="auto"/>
            <w:left w:val="none" w:sz="0" w:space="0" w:color="auto"/>
            <w:bottom w:val="none" w:sz="0" w:space="0" w:color="auto"/>
            <w:right w:val="none" w:sz="0" w:space="0" w:color="auto"/>
          </w:divBdr>
          <w:divsChild>
            <w:div w:id="20656402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7829821">
      <w:bodyDiv w:val="1"/>
      <w:marLeft w:val="0"/>
      <w:marRight w:val="0"/>
      <w:marTop w:val="0"/>
      <w:marBottom w:val="0"/>
      <w:divBdr>
        <w:top w:val="none" w:sz="0" w:space="0" w:color="auto"/>
        <w:left w:val="none" w:sz="0" w:space="0" w:color="auto"/>
        <w:bottom w:val="none" w:sz="0" w:space="0" w:color="auto"/>
        <w:right w:val="none" w:sz="0" w:space="0" w:color="auto"/>
      </w:divBdr>
      <w:divsChild>
        <w:div w:id="1226143347">
          <w:marLeft w:val="0"/>
          <w:marRight w:val="0"/>
          <w:marTop w:val="0"/>
          <w:marBottom w:val="0"/>
          <w:divBdr>
            <w:top w:val="none" w:sz="0" w:space="0" w:color="auto"/>
            <w:left w:val="none" w:sz="0" w:space="0" w:color="auto"/>
            <w:bottom w:val="none" w:sz="0" w:space="0" w:color="auto"/>
            <w:right w:val="none" w:sz="0" w:space="0" w:color="auto"/>
          </w:divBdr>
          <w:divsChild>
            <w:div w:id="566304208">
              <w:marLeft w:val="0"/>
              <w:marRight w:val="0"/>
              <w:marTop w:val="0"/>
              <w:marBottom w:val="0"/>
              <w:divBdr>
                <w:top w:val="none" w:sz="0" w:space="0" w:color="auto"/>
                <w:left w:val="none" w:sz="0" w:space="0" w:color="auto"/>
                <w:bottom w:val="none" w:sz="0" w:space="0" w:color="auto"/>
                <w:right w:val="none" w:sz="0" w:space="0" w:color="auto"/>
              </w:divBdr>
              <w:divsChild>
                <w:div w:id="1700541811">
                  <w:marLeft w:val="0"/>
                  <w:marRight w:val="0"/>
                  <w:marTop w:val="0"/>
                  <w:marBottom w:val="0"/>
                  <w:divBdr>
                    <w:top w:val="none" w:sz="0" w:space="0" w:color="auto"/>
                    <w:left w:val="none" w:sz="0" w:space="0" w:color="auto"/>
                    <w:bottom w:val="none" w:sz="0" w:space="0" w:color="auto"/>
                    <w:right w:val="none" w:sz="0" w:space="0" w:color="auto"/>
                  </w:divBdr>
                  <w:divsChild>
                    <w:div w:id="1367295420">
                      <w:marLeft w:val="0"/>
                      <w:marRight w:val="0"/>
                      <w:marTop w:val="0"/>
                      <w:marBottom w:val="0"/>
                      <w:divBdr>
                        <w:top w:val="none" w:sz="0" w:space="0" w:color="auto"/>
                        <w:left w:val="none" w:sz="0" w:space="0" w:color="auto"/>
                        <w:bottom w:val="none" w:sz="0" w:space="0" w:color="auto"/>
                        <w:right w:val="none" w:sz="0" w:space="0" w:color="auto"/>
                      </w:divBdr>
                      <w:divsChild>
                        <w:div w:id="13669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790514">
      <w:bodyDiv w:val="1"/>
      <w:marLeft w:val="0"/>
      <w:marRight w:val="0"/>
      <w:marTop w:val="0"/>
      <w:marBottom w:val="0"/>
      <w:divBdr>
        <w:top w:val="none" w:sz="0" w:space="0" w:color="auto"/>
        <w:left w:val="none" w:sz="0" w:space="0" w:color="auto"/>
        <w:bottom w:val="none" w:sz="0" w:space="0" w:color="auto"/>
        <w:right w:val="none" w:sz="0" w:space="0" w:color="auto"/>
      </w:divBdr>
      <w:divsChild>
        <w:div w:id="1542597412">
          <w:marLeft w:val="0"/>
          <w:marRight w:val="0"/>
          <w:marTop w:val="0"/>
          <w:marBottom w:val="0"/>
          <w:divBdr>
            <w:top w:val="none" w:sz="0" w:space="0" w:color="auto"/>
            <w:left w:val="none" w:sz="0" w:space="0" w:color="auto"/>
            <w:bottom w:val="none" w:sz="0" w:space="0" w:color="auto"/>
            <w:right w:val="none" w:sz="0" w:space="0" w:color="auto"/>
          </w:divBdr>
          <w:divsChild>
            <w:div w:id="162896809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61481695">
      <w:bodyDiv w:val="1"/>
      <w:marLeft w:val="0"/>
      <w:marRight w:val="0"/>
      <w:marTop w:val="0"/>
      <w:marBottom w:val="0"/>
      <w:divBdr>
        <w:top w:val="none" w:sz="0" w:space="0" w:color="auto"/>
        <w:left w:val="none" w:sz="0" w:space="0" w:color="auto"/>
        <w:bottom w:val="none" w:sz="0" w:space="0" w:color="auto"/>
        <w:right w:val="none" w:sz="0" w:space="0" w:color="auto"/>
      </w:divBdr>
      <w:divsChild>
        <w:div w:id="2013028087">
          <w:marLeft w:val="0"/>
          <w:marRight w:val="0"/>
          <w:marTop w:val="0"/>
          <w:marBottom w:val="0"/>
          <w:divBdr>
            <w:top w:val="none" w:sz="0" w:space="0" w:color="auto"/>
            <w:left w:val="none" w:sz="0" w:space="0" w:color="auto"/>
            <w:bottom w:val="none" w:sz="0" w:space="0" w:color="auto"/>
            <w:right w:val="none" w:sz="0" w:space="0" w:color="auto"/>
          </w:divBdr>
          <w:divsChild>
            <w:div w:id="1580870799">
              <w:marLeft w:val="0"/>
              <w:marRight w:val="0"/>
              <w:marTop w:val="0"/>
              <w:marBottom w:val="0"/>
              <w:divBdr>
                <w:top w:val="single" w:sz="2" w:space="0" w:color="FFFFFF"/>
                <w:left w:val="single" w:sz="6" w:space="0" w:color="FFFFFF"/>
                <w:bottom w:val="single" w:sz="6" w:space="0" w:color="FFFFFF"/>
                <w:right w:val="single" w:sz="6" w:space="0" w:color="FFFFFF"/>
              </w:divBdr>
              <w:divsChild>
                <w:div w:id="317616458">
                  <w:marLeft w:val="0"/>
                  <w:marRight w:val="0"/>
                  <w:marTop w:val="0"/>
                  <w:marBottom w:val="0"/>
                  <w:divBdr>
                    <w:top w:val="single" w:sz="6" w:space="1" w:color="D3D3D3"/>
                    <w:left w:val="none" w:sz="0" w:space="0" w:color="auto"/>
                    <w:bottom w:val="none" w:sz="0" w:space="0" w:color="auto"/>
                    <w:right w:val="none" w:sz="0" w:space="0" w:color="auto"/>
                  </w:divBdr>
                  <w:divsChild>
                    <w:div w:id="232854853">
                      <w:marLeft w:val="0"/>
                      <w:marRight w:val="0"/>
                      <w:marTop w:val="0"/>
                      <w:marBottom w:val="0"/>
                      <w:divBdr>
                        <w:top w:val="none" w:sz="0" w:space="0" w:color="auto"/>
                        <w:left w:val="none" w:sz="0" w:space="0" w:color="auto"/>
                        <w:bottom w:val="none" w:sz="0" w:space="0" w:color="auto"/>
                        <w:right w:val="none" w:sz="0" w:space="0" w:color="auto"/>
                      </w:divBdr>
                      <w:divsChild>
                        <w:div w:id="9785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94784">
      <w:bodyDiv w:val="1"/>
      <w:marLeft w:val="0"/>
      <w:marRight w:val="0"/>
      <w:marTop w:val="0"/>
      <w:marBottom w:val="0"/>
      <w:divBdr>
        <w:top w:val="none" w:sz="0" w:space="0" w:color="auto"/>
        <w:left w:val="none" w:sz="0" w:space="0" w:color="auto"/>
        <w:bottom w:val="none" w:sz="0" w:space="0" w:color="auto"/>
        <w:right w:val="none" w:sz="0" w:space="0" w:color="auto"/>
      </w:divBdr>
      <w:divsChild>
        <w:div w:id="137455696">
          <w:marLeft w:val="0"/>
          <w:marRight w:val="0"/>
          <w:marTop w:val="0"/>
          <w:marBottom w:val="0"/>
          <w:divBdr>
            <w:top w:val="none" w:sz="0" w:space="0" w:color="auto"/>
            <w:left w:val="none" w:sz="0" w:space="0" w:color="auto"/>
            <w:bottom w:val="none" w:sz="0" w:space="0" w:color="auto"/>
            <w:right w:val="none" w:sz="0" w:space="0" w:color="auto"/>
          </w:divBdr>
          <w:divsChild>
            <w:div w:id="757756276">
              <w:marLeft w:val="0"/>
              <w:marRight w:val="0"/>
              <w:marTop w:val="0"/>
              <w:marBottom w:val="0"/>
              <w:divBdr>
                <w:top w:val="single" w:sz="2" w:space="0" w:color="FFFFFF"/>
                <w:left w:val="single" w:sz="6" w:space="0" w:color="FFFFFF"/>
                <w:bottom w:val="single" w:sz="6" w:space="0" w:color="FFFFFF"/>
                <w:right w:val="single" w:sz="6" w:space="0" w:color="FFFFFF"/>
              </w:divBdr>
              <w:divsChild>
                <w:div w:id="627510164">
                  <w:marLeft w:val="0"/>
                  <w:marRight w:val="0"/>
                  <w:marTop w:val="0"/>
                  <w:marBottom w:val="0"/>
                  <w:divBdr>
                    <w:top w:val="single" w:sz="6" w:space="1" w:color="D3D3D3"/>
                    <w:left w:val="none" w:sz="0" w:space="0" w:color="auto"/>
                    <w:bottom w:val="none" w:sz="0" w:space="0" w:color="auto"/>
                    <w:right w:val="none" w:sz="0" w:space="0" w:color="auto"/>
                  </w:divBdr>
                  <w:divsChild>
                    <w:div w:id="1860926407">
                      <w:marLeft w:val="0"/>
                      <w:marRight w:val="0"/>
                      <w:marTop w:val="0"/>
                      <w:marBottom w:val="0"/>
                      <w:divBdr>
                        <w:top w:val="none" w:sz="0" w:space="0" w:color="auto"/>
                        <w:left w:val="none" w:sz="0" w:space="0" w:color="auto"/>
                        <w:bottom w:val="none" w:sz="0" w:space="0" w:color="auto"/>
                        <w:right w:val="none" w:sz="0" w:space="0" w:color="auto"/>
                      </w:divBdr>
                      <w:divsChild>
                        <w:div w:id="13839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545429">
      <w:bodyDiv w:val="1"/>
      <w:marLeft w:val="0"/>
      <w:marRight w:val="0"/>
      <w:marTop w:val="0"/>
      <w:marBottom w:val="0"/>
      <w:divBdr>
        <w:top w:val="none" w:sz="0" w:space="0" w:color="auto"/>
        <w:left w:val="none" w:sz="0" w:space="0" w:color="auto"/>
        <w:bottom w:val="none" w:sz="0" w:space="0" w:color="auto"/>
        <w:right w:val="none" w:sz="0" w:space="0" w:color="auto"/>
      </w:divBdr>
      <w:divsChild>
        <w:div w:id="1539585895">
          <w:marLeft w:val="0"/>
          <w:marRight w:val="0"/>
          <w:marTop w:val="0"/>
          <w:marBottom w:val="0"/>
          <w:divBdr>
            <w:top w:val="single" w:sz="6" w:space="0" w:color="300906"/>
            <w:left w:val="single" w:sz="6" w:space="0" w:color="300906"/>
            <w:bottom w:val="single" w:sz="6" w:space="0" w:color="300906"/>
            <w:right w:val="single" w:sz="6" w:space="0" w:color="300906"/>
          </w:divBdr>
          <w:divsChild>
            <w:div w:id="16268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3559">
      <w:bodyDiv w:val="1"/>
      <w:marLeft w:val="0"/>
      <w:marRight w:val="0"/>
      <w:marTop w:val="0"/>
      <w:marBottom w:val="0"/>
      <w:divBdr>
        <w:top w:val="none" w:sz="0" w:space="0" w:color="auto"/>
        <w:left w:val="none" w:sz="0" w:space="0" w:color="auto"/>
        <w:bottom w:val="none" w:sz="0" w:space="0" w:color="auto"/>
        <w:right w:val="none" w:sz="0" w:space="0" w:color="auto"/>
      </w:divBdr>
      <w:divsChild>
        <w:div w:id="698894207">
          <w:marLeft w:val="0"/>
          <w:marRight w:val="0"/>
          <w:marTop w:val="0"/>
          <w:marBottom w:val="0"/>
          <w:divBdr>
            <w:top w:val="none" w:sz="0" w:space="0" w:color="auto"/>
            <w:left w:val="none" w:sz="0" w:space="0" w:color="auto"/>
            <w:bottom w:val="none" w:sz="0" w:space="0" w:color="auto"/>
            <w:right w:val="none" w:sz="0" w:space="0" w:color="auto"/>
          </w:divBdr>
          <w:divsChild>
            <w:div w:id="1733186910">
              <w:marLeft w:val="0"/>
              <w:marRight w:val="0"/>
              <w:marTop w:val="0"/>
              <w:marBottom w:val="0"/>
              <w:divBdr>
                <w:top w:val="single" w:sz="2" w:space="0" w:color="FFFFFF"/>
                <w:left w:val="single" w:sz="6" w:space="0" w:color="FFFFFF"/>
                <w:bottom w:val="single" w:sz="6" w:space="0" w:color="FFFFFF"/>
                <w:right w:val="single" w:sz="6" w:space="0" w:color="FFFFFF"/>
              </w:divBdr>
              <w:divsChild>
                <w:div w:id="2120055352">
                  <w:marLeft w:val="0"/>
                  <w:marRight w:val="0"/>
                  <w:marTop w:val="0"/>
                  <w:marBottom w:val="0"/>
                  <w:divBdr>
                    <w:top w:val="single" w:sz="6" w:space="1" w:color="D3D3D3"/>
                    <w:left w:val="none" w:sz="0" w:space="0" w:color="auto"/>
                    <w:bottom w:val="none" w:sz="0" w:space="0" w:color="auto"/>
                    <w:right w:val="none" w:sz="0" w:space="0" w:color="auto"/>
                  </w:divBdr>
                  <w:divsChild>
                    <w:div w:id="1191262679">
                      <w:marLeft w:val="0"/>
                      <w:marRight w:val="0"/>
                      <w:marTop w:val="0"/>
                      <w:marBottom w:val="0"/>
                      <w:divBdr>
                        <w:top w:val="none" w:sz="0" w:space="0" w:color="auto"/>
                        <w:left w:val="none" w:sz="0" w:space="0" w:color="auto"/>
                        <w:bottom w:val="none" w:sz="0" w:space="0" w:color="auto"/>
                        <w:right w:val="none" w:sz="0" w:space="0" w:color="auto"/>
                      </w:divBdr>
                      <w:divsChild>
                        <w:div w:id="19997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niprisonerombudsman.gov.uk/publications/ar/AR-0708.pdf" TargetMode="External"/><Relationship Id="rId2" Type="http://schemas.openxmlformats.org/officeDocument/2006/relationships/hyperlink" Target="http://www.niprisonerombudsman.com/index.php/latest-news/prisoner-ombudsman-to-secure-new-statutory-powers/" TargetMode="External"/><Relationship Id="rId1" Type="http://schemas.openxmlformats.org/officeDocument/2006/relationships/hyperlink" Target="http://www.iprt.ie/files/IPRT_Position_Paper_7_-Complaints,_Monitoring_and_Inspection_in_Prisons.pdf" TargetMode="External"/><Relationship Id="rId5" Type="http://schemas.openxmlformats.org/officeDocument/2006/relationships/hyperlink" Target="http://login.westlaw.co.uk/maf/wluk/app/document?src=doc&amp;linktype=ref&amp;&amp;context=17&amp;crumb-action=replace&amp;docguid=I1480EB30B3B111DEB1FE9FEFBEFFBE54" TargetMode="External"/><Relationship Id="rId4" Type="http://schemas.openxmlformats.org/officeDocument/2006/relationships/hyperlink" Target="http://login.westlaw.co.uk/maf/wluk/app/document?src=doc&amp;linktype=ref&amp;&amp;context=17&amp;crumb-action=replace&amp;docguid=ID7B6CD70E42711DA8FC2A0F0355337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A2CE-6171-48BA-9B9A-315D7116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Stevens</dc:creator>
  <cp:lastModifiedBy>Alice Neeson</cp:lastModifiedBy>
  <cp:revision>2</cp:revision>
  <cp:lastPrinted>2014-04-16T10:56:00Z</cp:lastPrinted>
  <dcterms:created xsi:type="dcterms:W3CDTF">2014-04-17T14:49:00Z</dcterms:created>
  <dcterms:modified xsi:type="dcterms:W3CDTF">2014-04-17T14:49:00Z</dcterms:modified>
</cp:coreProperties>
</file>