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49183" w14:textId="77777777" w:rsidR="000A6272" w:rsidRPr="00A17F70" w:rsidRDefault="000A6272" w:rsidP="00745C74">
      <w:pPr>
        <w:pStyle w:val="Title"/>
        <w:spacing w:before="0"/>
        <w:jc w:val="center"/>
        <w:rPr>
          <w:spacing w:val="-106"/>
          <w:sz w:val="24"/>
        </w:rPr>
      </w:pPr>
      <w:r w:rsidRPr="00A17F70">
        <w:rPr>
          <w:b w:val="0"/>
          <w:noProof/>
          <w:color w:val="734791"/>
          <w:sz w:val="24"/>
          <w:lang w:eastAsia="en-GB"/>
        </w:rPr>
        <w:drawing>
          <wp:inline distT="0" distB="0" distL="0" distR="0" wp14:anchorId="0A9F88EC" wp14:editId="255476AA">
            <wp:extent cx="2043112" cy="2657475"/>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2230" cy="2682342"/>
                    </a:xfrm>
                    <a:prstGeom prst="rect">
                      <a:avLst/>
                    </a:prstGeom>
                    <a:noFill/>
                    <a:ln>
                      <a:noFill/>
                    </a:ln>
                  </pic:spPr>
                </pic:pic>
              </a:graphicData>
            </a:graphic>
          </wp:inline>
        </w:drawing>
      </w:r>
    </w:p>
    <w:p w14:paraId="053F14CD" w14:textId="1C797BFC" w:rsidR="003073FD" w:rsidRPr="00565102" w:rsidRDefault="00D232ED" w:rsidP="00C51A8C">
      <w:pPr>
        <w:pStyle w:val="Heading1"/>
        <w:tabs>
          <w:tab w:val="left" w:pos="497"/>
        </w:tabs>
        <w:jc w:val="center"/>
        <w:rPr>
          <w:color w:val="77328A"/>
          <w:sz w:val="24"/>
          <w:szCs w:val="24"/>
        </w:rPr>
      </w:pPr>
      <w:r w:rsidRPr="00565102">
        <w:rPr>
          <w:color w:val="77328A"/>
          <w:sz w:val="24"/>
          <w:szCs w:val="24"/>
        </w:rPr>
        <w:t>INVESTIGATION: SEXUAL AND REPRODUCTIVE HEALTH EDUCATION IN NORTHERN IRELAND</w:t>
      </w:r>
    </w:p>
    <w:p w14:paraId="7B962FD6" w14:textId="77777777" w:rsidR="00C51A8C" w:rsidRPr="00565102" w:rsidRDefault="00C51A8C" w:rsidP="00C51A8C">
      <w:pPr>
        <w:pStyle w:val="Heading1"/>
        <w:tabs>
          <w:tab w:val="left" w:pos="497"/>
        </w:tabs>
        <w:jc w:val="center"/>
        <w:rPr>
          <w:color w:val="77328A"/>
          <w:sz w:val="24"/>
          <w:szCs w:val="24"/>
        </w:rPr>
      </w:pPr>
    </w:p>
    <w:p w14:paraId="49E6207F" w14:textId="77777777" w:rsidR="00C51A8C" w:rsidRPr="00565102" w:rsidRDefault="00D232ED" w:rsidP="00C51A8C">
      <w:pPr>
        <w:pStyle w:val="Title"/>
        <w:spacing w:before="0"/>
        <w:ind w:left="0" w:firstLine="496"/>
        <w:jc w:val="center"/>
        <w:rPr>
          <w:color w:val="77328A"/>
          <w:sz w:val="24"/>
          <w:szCs w:val="24"/>
        </w:rPr>
      </w:pPr>
      <w:r w:rsidRPr="00565102">
        <w:rPr>
          <w:color w:val="77328A"/>
          <w:sz w:val="24"/>
          <w:szCs w:val="24"/>
        </w:rPr>
        <w:t>TERMS</w:t>
      </w:r>
      <w:r w:rsidRPr="00565102">
        <w:rPr>
          <w:color w:val="77328A"/>
          <w:spacing w:val="14"/>
          <w:sz w:val="24"/>
          <w:szCs w:val="24"/>
        </w:rPr>
        <w:t xml:space="preserve"> </w:t>
      </w:r>
      <w:r w:rsidRPr="00565102">
        <w:rPr>
          <w:color w:val="77328A"/>
          <w:sz w:val="24"/>
          <w:szCs w:val="24"/>
        </w:rPr>
        <w:t>OF</w:t>
      </w:r>
      <w:r w:rsidRPr="00565102">
        <w:rPr>
          <w:color w:val="77328A"/>
          <w:spacing w:val="12"/>
          <w:sz w:val="24"/>
          <w:szCs w:val="24"/>
        </w:rPr>
        <w:t xml:space="preserve"> </w:t>
      </w:r>
      <w:r w:rsidRPr="00565102">
        <w:rPr>
          <w:color w:val="77328A"/>
          <w:sz w:val="24"/>
          <w:szCs w:val="24"/>
        </w:rPr>
        <w:t>REFERE</w:t>
      </w:r>
      <w:r w:rsidR="00C51A8C" w:rsidRPr="00565102">
        <w:rPr>
          <w:color w:val="77328A"/>
          <w:sz w:val="24"/>
          <w:szCs w:val="24"/>
        </w:rPr>
        <w:t>N</w:t>
      </w:r>
      <w:r w:rsidRPr="00565102">
        <w:rPr>
          <w:color w:val="77328A"/>
          <w:sz w:val="24"/>
          <w:szCs w:val="24"/>
        </w:rPr>
        <w:t>CE</w:t>
      </w:r>
    </w:p>
    <w:p w14:paraId="370BA889" w14:textId="4218CB77" w:rsidR="006331CE" w:rsidRDefault="00357C7B" w:rsidP="006331CE">
      <w:pPr>
        <w:pStyle w:val="Heading1"/>
        <w:tabs>
          <w:tab w:val="left" w:pos="497"/>
        </w:tabs>
        <w:ind w:left="0" w:firstLine="0"/>
        <w:jc w:val="center"/>
        <w:rPr>
          <w:color w:val="77328A"/>
          <w:sz w:val="24"/>
          <w:szCs w:val="24"/>
        </w:rPr>
      </w:pPr>
      <w:r>
        <w:rPr>
          <w:color w:val="77328A"/>
          <w:sz w:val="24"/>
          <w:szCs w:val="24"/>
        </w:rPr>
        <w:t xml:space="preserve"> MARCH</w:t>
      </w:r>
      <w:r w:rsidR="007111A6">
        <w:rPr>
          <w:color w:val="77328A"/>
          <w:sz w:val="24"/>
          <w:szCs w:val="24"/>
        </w:rPr>
        <w:t xml:space="preserve"> </w:t>
      </w:r>
      <w:r w:rsidR="008847D5">
        <w:rPr>
          <w:color w:val="77328A"/>
          <w:sz w:val="24"/>
          <w:szCs w:val="24"/>
        </w:rPr>
        <w:t>2022</w:t>
      </w:r>
    </w:p>
    <w:p w14:paraId="6500503A" w14:textId="77777777" w:rsidR="006331CE" w:rsidRDefault="006331CE" w:rsidP="00A17F70">
      <w:pPr>
        <w:pStyle w:val="Heading1"/>
        <w:tabs>
          <w:tab w:val="left" w:pos="497"/>
        </w:tabs>
        <w:ind w:left="0" w:firstLine="0"/>
        <w:jc w:val="both"/>
        <w:rPr>
          <w:color w:val="77328A"/>
          <w:sz w:val="24"/>
          <w:szCs w:val="24"/>
        </w:rPr>
      </w:pPr>
    </w:p>
    <w:p w14:paraId="094621E4" w14:textId="4327B2BA" w:rsidR="00620D04" w:rsidRPr="00565102" w:rsidRDefault="003073FD" w:rsidP="00A17F70">
      <w:pPr>
        <w:pStyle w:val="Heading1"/>
        <w:tabs>
          <w:tab w:val="left" w:pos="497"/>
        </w:tabs>
        <w:ind w:left="0" w:firstLine="0"/>
        <w:jc w:val="both"/>
        <w:rPr>
          <w:color w:val="77328A"/>
          <w:sz w:val="24"/>
        </w:rPr>
      </w:pPr>
      <w:r w:rsidRPr="00565102">
        <w:rPr>
          <w:color w:val="77328A"/>
          <w:sz w:val="24"/>
        </w:rPr>
        <w:t>I</w:t>
      </w:r>
      <w:r w:rsidR="00620D04" w:rsidRPr="00565102">
        <w:rPr>
          <w:color w:val="77328A"/>
          <w:sz w:val="24"/>
        </w:rPr>
        <w:t>ntroduction</w:t>
      </w:r>
    </w:p>
    <w:p w14:paraId="628EE09F" w14:textId="77777777" w:rsidR="00A0564E" w:rsidRPr="00A17F70" w:rsidRDefault="00A0564E" w:rsidP="00A17F70">
      <w:pPr>
        <w:pStyle w:val="Heading1"/>
        <w:tabs>
          <w:tab w:val="left" w:pos="497"/>
        </w:tabs>
        <w:jc w:val="both"/>
        <w:rPr>
          <w:sz w:val="24"/>
        </w:rPr>
      </w:pPr>
    </w:p>
    <w:p w14:paraId="1C6CF70F" w14:textId="2ECD4F9D" w:rsidR="00A8794D" w:rsidRPr="00C51A8C" w:rsidRDefault="00A0564E" w:rsidP="00A17F70">
      <w:pPr>
        <w:pStyle w:val="BodyText"/>
        <w:ind w:right="120"/>
        <w:jc w:val="both"/>
      </w:pPr>
      <w:r w:rsidRPr="00C51A8C">
        <w:t>The</w:t>
      </w:r>
      <w:r w:rsidRPr="00C51A8C">
        <w:rPr>
          <w:spacing w:val="81"/>
        </w:rPr>
        <w:t xml:space="preserve"> </w:t>
      </w:r>
      <w:r w:rsidRPr="00C51A8C">
        <w:t>Northern</w:t>
      </w:r>
      <w:r w:rsidR="006331CE">
        <w:rPr>
          <w:spacing w:val="80"/>
        </w:rPr>
        <w:t xml:space="preserve"> </w:t>
      </w:r>
      <w:r w:rsidRPr="00C51A8C">
        <w:t>Ireland</w:t>
      </w:r>
      <w:r w:rsidRPr="00C51A8C">
        <w:rPr>
          <w:spacing w:val="-82"/>
        </w:rPr>
        <w:t xml:space="preserve">                              </w:t>
      </w:r>
      <w:r w:rsidRPr="00C51A8C">
        <w:t xml:space="preserve">Human Rights Commission (the Commission) has decided to </w:t>
      </w:r>
      <w:proofErr w:type="gramStart"/>
      <w:r w:rsidRPr="00C51A8C">
        <w:t>conduct an</w:t>
      </w:r>
      <w:r w:rsidRPr="00C51A8C">
        <w:rPr>
          <w:spacing w:val="1"/>
        </w:rPr>
        <w:t xml:space="preserve"> </w:t>
      </w:r>
      <w:r w:rsidRPr="00C51A8C">
        <w:t>investigation</w:t>
      </w:r>
      <w:r w:rsidRPr="00C51A8C">
        <w:rPr>
          <w:spacing w:val="1"/>
        </w:rPr>
        <w:t xml:space="preserve"> </w:t>
      </w:r>
      <w:r w:rsidRPr="00C51A8C">
        <w:t>into</w:t>
      </w:r>
      <w:proofErr w:type="gramEnd"/>
      <w:r w:rsidRPr="00C51A8C">
        <w:t xml:space="preserve"> </w:t>
      </w:r>
      <w:r w:rsidR="00D232ED" w:rsidRPr="00C51A8C">
        <w:t xml:space="preserve">the provision of </w:t>
      </w:r>
      <w:r w:rsidRPr="00C51A8C">
        <w:t>education on</w:t>
      </w:r>
      <w:r w:rsidRPr="00C51A8C">
        <w:rPr>
          <w:spacing w:val="1"/>
        </w:rPr>
        <w:t xml:space="preserve"> </w:t>
      </w:r>
      <w:r w:rsidRPr="00C51A8C">
        <w:t>sexual and reproductive health in</w:t>
      </w:r>
      <w:r w:rsidRPr="00C51A8C">
        <w:rPr>
          <w:spacing w:val="1"/>
        </w:rPr>
        <w:t xml:space="preserve"> </w:t>
      </w:r>
      <w:r w:rsidRPr="00C51A8C">
        <w:t>Northern</w:t>
      </w:r>
      <w:r w:rsidRPr="00C51A8C">
        <w:rPr>
          <w:spacing w:val="1"/>
        </w:rPr>
        <w:t xml:space="preserve"> </w:t>
      </w:r>
      <w:r w:rsidRPr="00C51A8C">
        <w:t>Ireland</w:t>
      </w:r>
      <w:r w:rsidRPr="00C51A8C">
        <w:rPr>
          <w:spacing w:val="1"/>
        </w:rPr>
        <w:t xml:space="preserve"> </w:t>
      </w:r>
      <w:r w:rsidRPr="00C51A8C">
        <w:t>(the</w:t>
      </w:r>
      <w:r w:rsidRPr="00C51A8C">
        <w:rPr>
          <w:spacing w:val="1"/>
        </w:rPr>
        <w:t xml:space="preserve"> </w:t>
      </w:r>
      <w:r w:rsidRPr="00C51A8C">
        <w:t>Investigation).</w:t>
      </w:r>
      <w:r w:rsidR="00703522" w:rsidRPr="00A17F70">
        <w:t xml:space="preserve"> </w:t>
      </w:r>
      <w:r w:rsidR="00D232ED" w:rsidRPr="00C51A8C">
        <w:rPr>
          <w:spacing w:val="41"/>
        </w:rPr>
        <w:t>The</w:t>
      </w:r>
      <w:r w:rsidRPr="00C51A8C">
        <w:rPr>
          <w:spacing w:val="42"/>
        </w:rPr>
        <w:t xml:space="preserve"> </w:t>
      </w:r>
      <w:r w:rsidR="00D232ED" w:rsidRPr="00C51A8C">
        <w:t>I</w:t>
      </w:r>
      <w:r w:rsidRPr="00C51A8C">
        <w:t>nvestigation</w:t>
      </w:r>
      <w:r w:rsidRPr="00C51A8C">
        <w:rPr>
          <w:spacing w:val="40"/>
        </w:rPr>
        <w:t xml:space="preserve"> </w:t>
      </w:r>
      <w:r w:rsidRPr="00C51A8C">
        <w:t>is</w:t>
      </w:r>
      <w:r w:rsidRPr="00C51A8C">
        <w:rPr>
          <w:spacing w:val="42"/>
        </w:rPr>
        <w:t xml:space="preserve"> </w:t>
      </w:r>
      <w:r w:rsidR="00703522" w:rsidRPr="00C51A8C">
        <w:t>pursuant to</w:t>
      </w:r>
      <w:r w:rsidRPr="00C51A8C">
        <w:rPr>
          <w:spacing w:val="40"/>
        </w:rPr>
        <w:t xml:space="preserve"> </w:t>
      </w:r>
      <w:r w:rsidRPr="00C51A8C">
        <w:t>Section</w:t>
      </w:r>
      <w:r w:rsidRPr="00C51A8C">
        <w:rPr>
          <w:spacing w:val="39"/>
        </w:rPr>
        <w:t xml:space="preserve"> </w:t>
      </w:r>
      <w:r w:rsidRPr="00C51A8C">
        <w:t>69(8)</w:t>
      </w:r>
      <w:r w:rsidRPr="00C51A8C">
        <w:rPr>
          <w:spacing w:val="38"/>
        </w:rPr>
        <w:t xml:space="preserve"> </w:t>
      </w:r>
      <w:r w:rsidRPr="00C51A8C">
        <w:t>of</w:t>
      </w:r>
      <w:r w:rsidRPr="00C51A8C">
        <w:rPr>
          <w:spacing w:val="-82"/>
        </w:rPr>
        <w:t xml:space="preserve"> </w:t>
      </w:r>
      <w:r w:rsidR="009D466C" w:rsidRPr="00C51A8C">
        <w:rPr>
          <w:spacing w:val="-82"/>
        </w:rPr>
        <w:t xml:space="preserve">                                                </w:t>
      </w:r>
      <w:r w:rsidRPr="00C51A8C">
        <w:t>the</w:t>
      </w:r>
      <w:r w:rsidRPr="00C51A8C">
        <w:rPr>
          <w:spacing w:val="37"/>
        </w:rPr>
        <w:t xml:space="preserve"> </w:t>
      </w:r>
      <w:r w:rsidRPr="00C51A8C">
        <w:t>Northern</w:t>
      </w:r>
      <w:r w:rsidRPr="00C51A8C">
        <w:rPr>
          <w:spacing w:val="38"/>
        </w:rPr>
        <w:t xml:space="preserve"> </w:t>
      </w:r>
      <w:r w:rsidRPr="00C51A8C">
        <w:t>Ireland</w:t>
      </w:r>
      <w:r w:rsidRPr="00C51A8C">
        <w:rPr>
          <w:spacing w:val="37"/>
        </w:rPr>
        <w:t xml:space="preserve"> </w:t>
      </w:r>
      <w:r w:rsidRPr="00C51A8C">
        <w:t>Act</w:t>
      </w:r>
      <w:r w:rsidRPr="00C51A8C">
        <w:rPr>
          <w:spacing w:val="39"/>
        </w:rPr>
        <w:t xml:space="preserve"> </w:t>
      </w:r>
      <w:r w:rsidRPr="00C51A8C">
        <w:t>1998,</w:t>
      </w:r>
      <w:r w:rsidRPr="00C51A8C">
        <w:rPr>
          <w:spacing w:val="36"/>
        </w:rPr>
        <w:t xml:space="preserve"> </w:t>
      </w:r>
      <w:r w:rsidRPr="00C51A8C">
        <w:t>under</w:t>
      </w:r>
      <w:r w:rsidRPr="00C51A8C">
        <w:rPr>
          <w:spacing w:val="42"/>
        </w:rPr>
        <w:t xml:space="preserve"> </w:t>
      </w:r>
      <w:r w:rsidRPr="00C51A8C">
        <w:t>which</w:t>
      </w:r>
      <w:r w:rsidRPr="00C51A8C">
        <w:rPr>
          <w:spacing w:val="40"/>
        </w:rPr>
        <w:t xml:space="preserve"> </w:t>
      </w:r>
      <w:r w:rsidRPr="00C51A8C">
        <w:t>the</w:t>
      </w:r>
      <w:r w:rsidRPr="00C51A8C">
        <w:rPr>
          <w:spacing w:val="38"/>
        </w:rPr>
        <w:t xml:space="preserve"> </w:t>
      </w:r>
      <w:r w:rsidRPr="00C51A8C">
        <w:t>Commission</w:t>
      </w:r>
      <w:r w:rsidRPr="00C51A8C">
        <w:rPr>
          <w:spacing w:val="37"/>
        </w:rPr>
        <w:t xml:space="preserve"> </w:t>
      </w:r>
      <w:r w:rsidRPr="00C51A8C">
        <w:t>may</w:t>
      </w:r>
      <w:r w:rsidRPr="00C51A8C">
        <w:rPr>
          <w:spacing w:val="37"/>
        </w:rPr>
        <w:t xml:space="preserve"> </w:t>
      </w:r>
      <w:r w:rsidRPr="00C51A8C">
        <w:t>carry</w:t>
      </w:r>
      <w:r w:rsidR="009442DF" w:rsidRPr="00A17F70">
        <w:t xml:space="preserve"> </w:t>
      </w:r>
      <w:r w:rsidRPr="00C51A8C">
        <w:rPr>
          <w:spacing w:val="-82"/>
        </w:rPr>
        <w:t xml:space="preserve"> </w:t>
      </w:r>
      <w:r w:rsidR="009442DF" w:rsidRPr="00C51A8C">
        <w:rPr>
          <w:spacing w:val="-82"/>
        </w:rPr>
        <w:t xml:space="preserve">  </w:t>
      </w:r>
      <w:r w:rsidRPr="00C51A8C">
        <w:t>out</w:t>
      </w:r>
      <w:r w:rsidRPr="00C51A8C">
        <w:rPr>
          <w:spacing w:val="27"/>
        </w:rPr>
        <w:t xml:space="preserve"> </w:t>
      </w:r>
      <w:r w:rsidRPr="00C51A8C">
        <w:t>such</w:t>
      </w:r>
      <w:r w:rsidRPr="00C51A8C">
        <w:rPr>
          <w:spacing w:val="28"/>
        </w:rPr>
        <w:t xml:space="preserve"> </w:t>
      </w:r>
      <w:r w:rsidRPr="00C51A8C">
        <w:t>investigations</w:t>
      </w:r>
      <w:r w:rsidRPr="00C51A8C">
        <w:rPr>
          <w:spacing w:val="28"/>
        </w:rPr>
        <w:t xml:space="preserve"> </w:t>
      </w:r>
      <w:r w:rsidRPr="00C51A8C">
        <w:t>as</w:t>
      </w:r>
      <w:r w:rsidR="00703522" w:rsidRPr="00A17F70">
        <w:t xml:space="preserve"> </w:t>
      </w:r>
      <w:r w:rsidR="00703522" w:rsidRPr="00C51A8C">
        <w:t>it</w:t>
      </w:r>
      <w:r w:rsidRPr="00C51A8C">
        <w:rPr>
          <w:spacing w:val="29"/>
        </w:rPr>
        <w:t xml:space="preserve"> </w:t>
      </w:r>
      <w:r w:rsidRPr="00C51A8C">
        <w:t>consid</w:t>
      </w:r>
      <w:r w:rsidR="00703522" w:rsidRPr="00C51A8C">
        <w:t>ers</w:t>
      </w:r>
      <w:r w:rsidRPr="00C51A8C">
        <w:rPr>
          <w:spacing w:val="28"/>
        </w:rPr>
        <w:t xml:space="preserve"> </w:t>
      </w:r>
      <w:r w:rsidRPr="00C51A8C">
        <w:t>necessary</w:t>
      </w:r>
      <w:r w:rsidRPr="00C51A8C">
        <w:rPr>
          <w:spacing w:val="28"/>
        </w:rPr>
        <w:t xml:space="preserve"> </w:t>
      </w:r>
      <w:r w:rsidRPr="00C51A8C">
        <w:t>or</w:t>
      </w:r>
      <w:r w:rsidRPr="00C51A8C">
        <w:rPr>
          <w:spacing w:val="30"/>
        </w:rPr>
        <w:t xml:space="preserve"> </w:t>
      </w:r>
      <w:r w:rsidRPr="00C51A8C">
        <w:t>expedient</w:t>
      </w:r>
      <w:r w:rsidRPr="00C51A8C">
        <w:rPr>
          <w:spacing w:val="27"/>
        </w:rPr>
        <w:t xml:space="preserve"> </w:t>
      </w:r>
      <w:r w:rsidRPr="00C51A8C">
        <w:t>in</w:t>
      </w:r>
      <w:r w:rsidRPr="00C51A8C">
        <w:rPr>
          <w:spacing w:val="28"/>
        </w:rPr>
        <w:t xml:space="preserve"> </w:t>
      </w:r>
      <w:r w:rsidRPr="00C51A8C">
        <w:t>fulfilling</w:t>
      </w:r>
      <w:r w:rsidRPr="00C51A8C">
        <w:rPr>
          <w:spacing w:val="-82"/>
        </w:rPr>
        <w:t xml:space="preserve">                                          </w:t>
      </w:r>
      <w:r w:rsidRPr="00C51A8C">
        <w:t>its</w:t>
      </w:r>
      <w:r w:rsidRPr="00C51A8C">
        <w:rPr>
          <w:spacing w:val="-2"/>
        </w:rPr>
        <w:t xml:space="preserve"> </w:t>
      </w:r>
      <w:r w:rsidRPr="00C51A8C">
        <w:t>statutory functions.</w:t>
      </w:r>
      <w:r w:rsidR="009441FF" w:rsidRPr="00C51A8C">
        <w:t xml:space="preserve"> </w:t>
      </w:r>
    </w:p>
    <w:p w14:paraId="3894FF2E" w14:textId="45265132" w:rsidR="00A8794D" w:rsidRPr="00C51A8C" w:rsidRDefault="00A8794D" w:rsidP="00A17F70">
      <w:pPr>
        <w:pStyle w:val="BodyText"/>
        <w:ind w:right="120"/>
        <w:jc w:val="both"/>
      </w:pPr>
    </w:p>
    <w:p w14:paraId="1E4C27D4" w14:textId="3FEF2C42" w:rsidR="00945E5E" w:rsidRPr="00C51A8C" w:rsidRDefault="00F72A36" w:rsidP="00C51A8C">
      <w:pPr>
        <w:pStyle w:val="BodyText"/>
        <w:ind w:right="120"/>
        <w:jc w:val="both"/>
      </w:pPr>
      <w:r>
        <w:t xml:space="preserve"> T</w:t>
      </w:r>
      <w:r w:rsidR="008847D5">
        <w:t>he Commission aims to conclude its</w:t>
      </w:r>
      <w:r w:rsidR="009441FF" w:rsidRPr="00C51A8C">
        <w:t xml:space="preserve"> </w:t>
      </w:r>
      <w:r>
        <w:t>i</w:t>
      </w:r>
      <w:r w:rsidR="009441FF" w:rsidRPr="00C51A8C">
        <w:t>nvestigation</w:t>
      </w:r>
      <w:r w:rsidR="00564030">
        <w:t xml:space="preserve"> by </w:t>
      </w:r>
      <w:r w:rsidR="008B4DD5">
        <w:t xml:space="preserve">31 </w:t>
      </w:r>
      <w:r w:rsidR="006331CE">
        <w:t>March</w:t>
      </w:r>
      <w:r w:rsidR="00A166F7">
        <w:t xml:space="preserve"> 2023</w:t>
      </w:r>
      <w:r w:rsidR="006331CE">
        <w:t>.</w:t>
      </w:r>
      <w:r w:rsidR="00A166F7">
        <w:t xml:space="preserve"> </w:t>
      </w:r>
    </w:p>
    <w:p w14:paraId="4C31CE12" w14:textId="2DBB71F7" w:rsidR="00703522" w:rsidRPr="00565102" w:rsidRDefault="00703522" w:rsidP="00C51A8C">
      <w:pPr>
        <w:pStyle w:val="BodyText"/>
        <w:ind w:right="120"/>
        <w:jc w:val="both"/>
        <w:rPr>
          <w:color w:val="77328A"/>
        </w:rPr>
      </w:pPr>
    </w:p>
    <w:p w14:paraId="0B0FDA04" w14:textId="7FC7AF7F" w:rsidR="00703522" w:rsidRPr="00565102" w:rsidRDefault="00703522" w:rsidP="00C51A8C">
      <w:pPr>
        <w:pStyle w:val="BodyText"/>
        <w:ind w:right="120"/>
        <w:jc w:val="both"/>
        <w:rPr>
          <w:b/>
          <w:bCs/>
          <w:color w:val="77328A"/>
        </w:rPr>
      </w:pPr>
      <w:r w:rsidRPr="00565102">
        <w:rPr>
          <w:b/>
          <w:bCs/>
          <w:color w:val="77328A"/>
        </w:rPr>
        <w:t>Reasons for Investigation</w:t>
      </w:r>
    </w:p>
    <w:p w14:paraId="52948BCE" w14:textId="27C431E8" w:rsidR="00703522" w:rsidRPr="00C51A8C" w:rsidRDefault="00703522" w:rsidP="00C51A8C">
      <w:pPr>
        <w:pStyle w:val="BodyText"/>
        <w:ind w:right="120"/>
        <w:jc w:val="both"/>
      </w:pPr>
    </w:p>
    <w:p w14:paraId="734E1717" w14:textId="0D96EA3F" w:rsidR="00703522" w:rsidRPr="00A17F70" w:rsidRDefault="00703522" w:rsidP="00A17F70">
      <w:pPr>
        <w:pStyle w:val="BasicParagraph"/>
        <w:suppressAutoHyphens/>
        <w:spacing w:line="240" w:lineRule="auto"/>
        <w:jc w:val="both"/>
      </w:pPr>
      <w:r w:rsidRPr="00C51A8C">
        <w:rPr>
          <w:rFonts w:ascii="Verdana" w:hAnsi="Verdana"/>
        </w:rPr>
        <w:t>The Investigation will consider and</w:t>
      </w:r>
      <w:r w:rsidRPr="00A17F70">
        <w:rPr>
          <w:rFonts w:ascii="Verdana" w:hAnsi="Verdana"/>
        </w:rPr>
        <w:t xml:space="preserve"> establish the extent to which the Department of Education and other relevant public authorities are </w:t>
      </w:r>
      <w:r w:rsidR="006E0B6F">
        <w:rPr>
          <w:rFonts w:ascii="Verdana" w:hAnsi="Verdana"/>
        </w:rPr>
        <w:t>acting consistently with</w:t>
      </w:r>
      <w:r w:rsidR="006E0B6F" w:rsidRPr="006E0B6F">
        <w:rPr>
          <w:rFonts w:ascii="Verdana" w:hAnsi="Verdana"/>
        </w:rPr>
        <w:t xml:space="preserve"> </w:t>
      </w:r>
      <w:r w:rsidR="00052961">
        <w:rPr>
          <w:rFonts w:ascii="Verdana" w:hAnsi="Verdana"/>
        </w:rPr>
        <w:t>the</w:t>
      </w:r>
      <w:r w:rsidR="006E0B6F" w:rsidRPr="00A17F70">
        <w:rPr>
          <w:rFonts w:ascii="Verdana" w:hAnsi="Verdana"/>
        </w:rPr>
        <w:t xml:space="preserve"> recommendation of the UN Committee on the Elimination of Discrimination against Women</w:t>
      </w:r>
      <w:r w:rsidR="006E0B6F">
        <w:rPr>
          <w:rFonts w:ascii="Verdana" w:hAnsi="Verdana"/>
        </w:rPr>
        <w:t xml:space="preserve"> </w:t>
      </w:r>
      <w:r w:rsidRPr="00A17F70">
        <w:rPr>
          <w:rFonts w:ascii="Verdana" w:hAnsi="Verdana"/>
        </w:rPr>
        <w:t>to make “age-appropriate, comprehensive and scientifically accurate education on sexual and reproductive health a compulsory component of curriculum for adolescents covering prevention of early pregnancy and access to abortion” in Northern Ireland</w:t>
      </w:r>
      <w:r w:rsidR="006E0B6F">
        <w:rPr>
          <w:rFonts w:ascii="Verdana" w:hAnsi="Verdana"/>
        </w:rPr>
        <w:t>.</w:t>
      </w:r>
      <w:r w:rsidRPr="00A17F70">
        <w:rPr>
          <w:rFonts w:ascii="Verdana" w:hAnsi="Verdana"/>
        </w:rPr>
        <w:t xml:space="preserve"> </w:t>
      </w:r>
    </w:p>
    <w:p w14:paraId="35450775" w14:textId="77777777" w:rsidR="00703522" w:rsidRPr="00A17F70" w:rsidRDefault="00703522" w:rsidP="00A17F70">
      <w:pPr>
        <w:pStyle w:val="BasicParagraph"/>
        <w:suppressAutoHyphens/>
        <w:spacing w:line="240" w:lineRule="auto"/>
        <w:jc w:val="both"/>
      </w:pPr>
    </w:p>
    <w:p w14:paraId="7ACDB1F9" w14:textId="77777777" w:rsidR="00703522" w:rsidRPr="00C51A8C" w:rsidRDefault="00703522" w:rsidP="00C51A8C">
      <w:pPr>
        <w:pStyle w:val="BasicParagraph"/>
        <w:suppressAutoHyphens/>
        <w:spacing w:line="240" w:lineRule="auto"/>
        <w:jc w:val="both"/>
        <w:rPr>
          <w:rFonts w:ascii="Verdana" w:hAnsi="Verdana"/>
        </w:rPr>
      </w:pPr>
      <w:r w:rsidRPr="00C51A8C">
        <w:rPr>
          <w:rFonts w:ascii="Verdana" w:hAnsi="Verdana"/>
        </w:rPr>
        <w:t xml:space="preserve">That recommendation was given effect in domestic legislation by Section 9 of the Northern Ireland (Executive Formation etc.) Act 2019. Section 9 requires the Secretary of State for Northern Ireland to ensure implementation of the relevant recommendation contained at sub-paragraph 86(d) of </w:t>
      </w:r>
      <w:r w:rsidRPr="00C51A8C">
        <w:rPr>
          <w:rFonts w:ascii="Verdana" w:hAnsi="Verdana" w:cs="Arial"/>
          <w:color w:val="232120"/>
        </w:rPr>
        <w:t>the UN CEDAW Committee’s report, following its inquiry into abortion services in Northern Ireland.</w:t>
      </w:r>
      <w:r w:rsidRPr="00C51A8C">
        <w:rPr>
          <w:rFonts w:ascii="Verdana" w:hAnsi="Verdana"/>
        </w:rPr>
        <w:t xml:space="preserve">  </w:t>
      </w:r>
    </w:p>
    <w:p w14:paraId="2BE42320" w14:textId="7DFB2EBF" w:rsidR="00703522" w:rsidRPr="00C51A8C" w:rsidRDefault="00703522" w:rsidP="00C51A8C">
      <w:pPr>
        <w:pStyle w:val="BasicParagraph"/>
        <w:suppressAutoHyphens/>
        <w:spacing w:line="240" w:lineRule="auto"/>
        <w:jc w:val="both"/>
        <w:rPr>
          <w:rFonts w:ascii="Verdana" w:hAnsi="Verdana"/>
        </w:rPr>
      </w:pPr>
      <w:r w:rsidRPr="00C51A8C">
        <w:rPr>
          <w:rFonts w:ascii="Verdana" w:hAnsi="Verdana" w:cs="Arial"/>
          <w:color w:val="232120"/>
        </w:rPr>
        <w:lastRenderedPageBreak/>
        <w:t>Paragraph 86 (d) requires the State Party (the UK government and the NI Executive) to “</w:t>
      </w:r>
      <w:r w:rsidRPr="00C51A8C">
        <w:rPr>
          <w:rFonts w:ascii="Verdana" w:hAnsi="Verdana"/>
        </w:rPr>
        <w:t>Make age-appropriate, comprehensive and scientifically accurate education on sexual and reproductive health and rights a compulsory component of curriculum for adolescents, covering prevention of early pregnancy and access to abortion, and monitor its implementation.”</w:t>
      </w:r>
      <w:r w:rsidRPr="00C51A8C">
        <w:rPr>
          <w:rStyle w:val="FootnoteReference"/>
          <w:rFonts w:ascii="Verdana" w:hAnsi="Verdana" w:cs="Arial"/>
          <w:color w:val="232120"/>
        </w:rPr>
        <w:footnoteReference w:id="2"/>
      </w:r>
      <w:r w:rsidRPr="00C51A8C">
        <w:rPr>
          <w:rFonts w:ascii="Verdana" w:hAnsi="Verdana"/>
        </w:rPr>
        <w:t xml:space="preserve"> </w:t>
      </w:r>
    </w:p>
    <w:p w14:paraId="6A245A5D" w14:textId="34D7D944" w:rsidR="00703522" w:rsidRPr="00A17F70" w:rsidRDefault="00703522" w:rsidP="00A17F70">
      <w:pPr>
        <w:pStyle w:val="BasicParagraph"/>
        <w:suppressAutoHyphens/>
        <w:spacing w:line="240" w:lineRule="auto"/>
        <w:jc w:val="both"/>
      </w:pPr>
    </w:p>
    <w:p w14:paraId="57B6D234" w14:textId="07D2AF7A" w:rsidR="00703522" w:rsidRPr="00565102" w:rsidRDefault="00703522" w:rsidP="00C51A8C">
      <w:pPr>
        <w:pStyle w:val="BasicParagraph"/>
        <w:suppressAutoHyphens/>
        <w:spacing w:line="240" w:lineRule="auto"/>
        <w:jc w:val="both"/>
        <w:rPr>
          <w:rFonts w:ascii="Verdana" w:hAnsi="Verdana"/>
          <w:b/>
          <w:bCs/>
          <w:color w:val="77328A"/>
        </w:rPr>
      </w:pPr>
      <w:r w:rsidRPr="00565102">
        <w:rPr>
          <w:rFonts w:ascii="Verdana" w:hAnsi="Verdana"/>
          <w:b/>
          <w:color w:val="77328A"/>
        </w:rPr>
        <w:t>Methodology</w:t>
      </w:r>
    </w:p>
    <w:p w14:paraId="38A27E63" w14:textId="77777777" w:rsidR="00703522" w:rsidRPr="00C51A8C" w:rsidRDefault="00703522" w:rsidP="00C51A8C">
      <w:pPr>
        <w:pStyle w:val="BasicParagraph"/>
        <w:suppressAutoHyphens/>
        <w:spacing w:line="240" w:lineRule="auto"/>
        <w:jc w:val="both"/>
        <w:rPr>
          <w:rFonts w:ascii="Verdana" w:hAnsi="Verdana"/>
        </w:rPr>
      </w:pPr>
    </w:p>
    <w:p w14:paraId="1C470FEE" w14:textId="6B4437C5" w:rsidR="00703522" w:rsidRPr="00C51A8C" w:rsidRDefault="00703522" w:rsidP="00A17F70">
      <w:pPr>
        <w:pStyle w:val="BodyText"/>
        <w:jc w:val="both"/>
      </w:pPr>
      <w:r w:rsidRPr="00C51A8C">
        <w:t>The</w:t>
      </w:r>
      <w:r w:rsidRPr="00A17F70">
        <w:rPr>
          <w:spacing w:val="-3"/>
        </w:rPr>
        <w:t xml:space="preserve"> </w:t>
      </w:r>
      <w:r w:rsidRPr="00C51A8C">
        <w:t>Investigation</w:t>
      </w:r>
      <w:r w:rsidRPr="00A17F70">
        <w:rPr>
          <w:spacing w:val="-3"/>
        </w:rPr>
        <w:t xml:space="preserve"> </w:t>
      </w:r>
      <w:r w:rsidRPr="00C51A8C">
        <w:t>will</w:t>
      </w:r>
      <w:r w:rsidR="000B0099">
        <w:t>:</w:t>
      </w:r>
    </w:p>
    <w:p w14:paraId="6D3ACC5D" w14:textId="77777777" w:rsidR="00703522" w:rsidRPr="00A17F70" w:rsidRDefault="00703522" w:rsidP="00A17F70">
      <w:pPr>
        <w:pStyle w:val="BodyText"/>
        <w:jc w:val="both"/>
      </w:pPr>
    </w:p>
    <w:p w14:paraId="03BF00C1" w14:textId="65B45030" w:rsidR="00703522" w:rsidRPr="00C51A8C" w:rsidRDefault="00703522" w:rsidP="00C51A8C">
      <w:pPr>
        <w:pStyle w:val="ListParagraph"/>
        <w:numPr>
          <w:ilvl w:val="1"/>
          <w:numId w:val="1"/>
        </w:numPr>
        <w:tabs>
          <w:tab w:val="left" w:pos="821"/>
        </w:tabs>
        <w:ind w:right="116"/>
        <w:rPr>
          <w:sz w:val="24"/>
          <w:szCs w:val="24"/>
        </w:rPr>
      </w:pPr>
      <w:r w:rsidRPr="00C51A8C">
        <w:rPr>
          <w:sz w:val="24"/>
          <w:szCs w:val="24"/>
        </w:rPr>
        <w:t>Identify</w:t>
      </w:r>
      <w:r w:rsidRPr="00C51A8C">
        <w:rPr>
          <w:spacing w:val="1"/>
          <w:sz w:val="24"/>
          <w:szCs w:val="24"/>
        </w:rPr>
        <w:t xml:space="preserve"> </w:t>
      </w:r>
      <w:r w:rsidRPr="00C51A8C">
        <w:rPr>
          <w:sz w:val="24"/>
          <w:szCs w:val="24"/>
        </w:rPr>
        <w:t>the</w:t>
      </w:r>
      <w:r w:rsidRPr="00C51A8C">
        <w:rPr>
          <w:spacing w:val="1"/>
          <w:sz w:val="24"/>
          <w:szCs w:val="24"/>
        </w:rPr>
        <w:t xml:space="preserve"> </w:t>
      </w:r>
      <w:r w:rsidRPr="00C51A8C">
        <w:rPr>
          <w:sz w:val="24"/>
          <w:szCs w:val="24"/>
        </w:rPr>
        <w:t>legal,</w:t>
      </w:r>
      <w:r w:rsidRPr="00C51A8C">
        <w:rPr>
          <w:spacing w:val="1"/>
          <w:sz w:val="24"/>
          <w:szCs w:val="24"/>
        </w:rPr>
        <w:t xml:space="preserve"> </w:t>
      </w:r>
      <w:r w:rsidRPr="00C51A8C">
        <w:rPr>
          <w:sz w:val="24"/>
          <w:szCs w:val="24"/>
        </w:rPr>
        <w:t>policy</w:t>
      </w:r>
      <w:r w:rsidRPr="00C51A8C">
        <w:rPr>
          <w:spacing w:val="1"/>
          <w:sz w:val="24"/>
          <w:szCs w:val="24"/>
        </w:rPr>
        <w:t xml:space="preserve"> </w:t>
      </w:r>
      <w:r w:rsidRPr="00C51A8C">
        <w:rPr>
          <w:sz w:val="24"/>
          <w:szCs w:val="24"/>
        </w:rPr>
        <w:t>and</w:t>
      </w:r>
      <w:r w:rsidRPr="00C51A8C">
        <w:rPr>
          <w:spacing w:val="1"/>
          <w:sz w:val="24"/>
          <w:szCs w:val="24"/>
        </w:rPr>
        <w:t xml:space="preserve"> </w:t>
      </w:r>
      <w:r w:rsidRPr="00C51A8C">
        <w:rPr>
          <w:sz w:val="24"/>
          <w:szCs w:val="24"/>
        </w:rPr>
        <w:t>regulatory</w:t>
      </w:r>
      <w:r w:rsidRPr="00C51A8C">
        <w:rPr>
          <w:spacing w:val="1"/>
          <w:sz w:val="24"/>
          <w:szCs w:val="24"/>
        </w:rPr>
        <w:t xml:space="preserve"> </w:t>
      </w:r>
      <w:r w:rsidRPr="00C51A8C">
        <w:rPr>
          <w:sz w:val="24"/>
          <w:szCs w:val="24"/>
        </w:rPr>
        <w:t>framework</w:t>
      </w:r>
      <w:r w:rsidRPr="00C51A8C">
        <w:rPr>
          <w:spacing w:val="1"/>
          <w:sz w:val="24"/>
          <w:szCs w:val="24"/>
        </w:rPr>
        <w:t xml:space="preserve"> </w:t>
      </w:r>
      <w:r w:rsidRPr="00C51A8C">
        <w:rPr>
          <w:sz w:val="24"/>
          <w:szCs w:val="24"/>
        </w:rPr>
        <w:t>in</w:t>
      </w:r>
      <w:r w:rsidRPr="00C51A8C">
        <w:rPr>
          <w:spacing w:val="1"/>
          <w:sz w:val="24"/>
          <w:szCs w:val="24"/>
        </w:rPr>
        <w:t xml:space="preserve"> </w:t>
      </w:r>
      <w:r w:rsidR="00C51A8C" w:rsidRPr="00C51A8C">
        <w:rPr>
          <w:sz w:val="24"/>
          <w:szCs w:val="24"/>
        </w:rPr>
        <w:t>Northern</w:t>
      </w:r>
      <w:r w:rsidR="000B0099" w:rsidRPr="00A17F70">
        <w:rPr>
          <w:sz w:val="24"/>
        </w:rPr>
        <w:t xml:space="preserve"> </w:t>
      </w:r>
      <w:r w:rsidR="000B0099">
        <w:rPr>
          <w:sz w:val="24"/>
          <w:szCs w:val="24"/>
        </w:rPr>
        <w:t xml:space="preserve">Ireland for </w:t>
      </w:r>
      <w:r w:rsidRPr="00C51A8C">
        <w:rPr>
          <w:sz w:val="24"/>
          <w:szCs w:val="24"/>
        </w:rPr>
        <w:t>the</w:t>
      </w:r>
      <w:r w:rsidRPr="00A17F70">
        <w:rPr>
          <w:sz w:val="24"/>
        </w:rPr>
        <w:t xml:space="preserve"> provision of sexual and reproductive health education </w:t>
      </w:r>
      <w:r w:rsidRPr="00C51A8C">
        <w:rPr>
          <w:sz w:val="24"/>
          <w:szCs w:val="24"/>
        </w:rPr>
        <w:t>in</w:t>
      </w:r>
      <w:r w:rsidRPr="00A17F70">
        <w:rPr>
          <w:sz w:val="24"/>
        </w:rPr>
        <w:t xml:space="preserve"> </w:t>
      </w:r>
      <w:proofErr w:type="gramStart"/>
      <w:r w:rsidRPr="00A17F70">
        <w:rPr>
          <w:sz w:val="24"/>
        </w:rPr>
        <w:t>schools</w:t>
      </w:r>
      <w:r w:rsidRPr="00C51A8C">
        <w:rPr>
          <w:sz w:val="24"/>
          <w:szCs w:val="24"/>
        </w:rPr>
        <w:t>;</w:t>
      </w:r>
      <w:proofErr w:type="gramEnd"/>
    </w:p>
    <w:p w14:paraId="183293CB" w14:textId="15B27850" w:rsidR="00703522" w:rsidRPr="00C51A8C" w:rsidRDefault="00703522" w:rsidP="00C51A8C">
      <w:pPr>
        <w:pStyle w:val="ListParagraph"/>
        <w:numPr>
          <w:ilvl w:val="1"/>
          <w:numId w:val="1"/>
        </w:numPr>
        <w:tabs>
          <w:tab w:val="left" w:pos="821"/>
        </w:tabs>
        <w:ind w:right="115"/>
        <w:rPr>
          <w:sz w:val="24"/>
          <w:szCs w:val="24"/>
        </w:rPr>
      </w:pPr>
      <w:r w:rsidRPr="00C51A8C">
        <w:rPr>
          <w:sz w:val="24"/>
          <w:szCs w:val="24"/>
        </w:rPr>
        <w:t>Identify</w:t>
      </w:r>
      <w:r w:rsidRPr="00C51A8C">
        <w:rPr>
          <w:spacing w:val="82"/>
          <w:sz w:val="24"/>
          <w:szCs w:val="24"/>
        </w:rPr>
        <w:t xml:space="preserve"> </w:t>
      </w:r>
      <w:r w:rsidRPr="00C51A8C">
        <w:rPr>
          <w:sz w:val="24"/>
          <w:szCs w:val="24"/>
        </w:rPr>
        <w:t>the</w:t>
      </w:r>
      <w:r w:rsidRPr="00C51A8C">
        <w:rPr>
          <w:spacing w:val="82"/>
          <w:sz w:val="24"/>
          <w:szCs w:val="24"/>
        </w:rPr>
        <w:t xml:space="preserve"> </w:t>
      </w:r>
      <w:r w:rsidRPr="00C51A8C">
        <w:rPr>
          <w:sz w:val="24"/>
          <w:szCs w:val="24"/>
        </w:rPr>
        <w:t>extent</w:t>
      </w:r>
      <w:r w:rsidRPr="00C51A8C">
        <w:rPr>
          <w:spacing w:val="83"/>
          <w:sz w:val="24"/>
          <w:szCs w:val="24"/>
        </w:rPr>
        <w:t xml:space="preserve"> </w:t>
      </w:r>
      <w:r w:rsidRPr="00C51A8C">
        <w:rPr>
          <w:sz w:val="24"/>
          <w:szCs w:val="24"/>
        </w:rPr>
        <w:t>to</w:t>
      </w:r>
      <w:r w:rsidRPr="00C51A8C">
        <w:rPr>
          <w:spacing w:val="82"/>
          <w:sz w:val="24"/>
          <w:szCs w:val="24"/>
        </w:rPr>
        <w:t xml:space="preserve"> </w:t>
      </w:r>
      <w:r w:rsidRPr="00C51A8C">
        <w:rPr>
          <w:sz w:val="24"/>
          <w:szCs w:val="24"/>
        </w:rPr>
        <w:t>which</w:t>
      </w:r>
      <w:r w:rsidRPr="00C51A8C">
        <w:rPr>
          <w:spacing w:val="80"/>
          <w:sz w:val="24"/>
          <w:szCs w:val="24"/>
        </w:rPr>
        <w:t xml:space="preserve"> </w:t>
      </w:r>
      <w:r w:rsidRPr="00C51A8C">
        <w:rPr>
          <w:sz w:val="24"/>
          <w:szCs w:val="24"/>
        </w:rPr>
        <w:t>the</w:t>
      </w:r>
      <w:r w:rsidRPr="00A17F70">
        <w:rPr>
          <w:spacing w:val="82"/>
          <w:sz w:val="24"/>
        </w:rPr>
        <w:t xml:space="preserve"> </w:t>
      </w:r>
      <w:r w:rsidRPr="00A17F70">
        <w:rPr>
          <w:sz w:val="24"/>
        </w:rPr>
        <w:t>human</w:t>
      </w:r>
      <w:r w:rsidRPr="00A17F70">
        <w:rPr>
          <w:spacing w:val="81"/>
          <w:sz w:val="24"/>
        </w:rPr>
        <w:t xml:space="preserve"> </w:t>
      </w:r>
      <w:r w:rsidRPr="00A17F70">
        <w:rPr>
          <w:sz w:val="24"/>
        </w:rPr>
        <w:t>rights</w:t>
      </w:r>
      <w:r w:rsidRPr="00A17F70">
        <w:rPr>
          <w:spacing w:val="81"/>
          <w:sz w:val="24"/>
        </w:rPr>
        <w:t xml:space="preserve"> </w:t>
      </w:r>
      <w:r w:rsidRPr="00C51A8C">
        <w:rPr>
          <w:sz w:val="24"/>
          <w:szCs w:val="24"/>
        </w:rPr>
        <w:t>of</w:t>
      </w:r>
      <w:r w:rsidRPr="00C51A8C">
        <w:rPr>
          <w:spacing w:val="81"/>
          <w:sz w:val="24"/>
          <w:szCs w:val="24"/>
        </w:rPr>
        <w:t xml:space="preserve"> </w:t>
      </w:r>
      <w:r w:rsidRPr="00C51A8C">
        <w:rPr>
          <w:sz w:val="24"/>
          <w:szCs w:val="24"/>
        </w:rPr>
        <w:t>children and young people to access</w:t>
      </w:r>
      <w:r w:rsidRPr="00C51A8C">
        <w:rPr>
          <w:spacing w:val="82"/>
          <w:sz w:val="24"/>
          <w:szCs w:val="24"/>
        </w:rPr>
        <w:t xml:space="preserve"> </w:t>
      </w:r>
      <w:r w:rsidRPr="00C51A8C">
        <w:rPr>
          <w:spacing w:val="-1"/>
          <w:sz w:val="24"/>
          <w:szCs w:val="24"/>
        </w:rPr>
        <w:t xml:space="preserve">age appropriate, comprehensive and scientifically accurate </w:t>
      </w:r>
      <w:r w:rsidRPr="00C51A8C">
        <w:rPr>
          <w:sz w:val="24"/>
          <w:szCs w:val="24"/>
        </w:rPr>
        <w:t>sexual and reproductive education are</w:t>
      </w:r>
      <w:r w:rsidRPr="00C51A8C">
        <w:rPr>
          <w:spacing w:val="2"/>
          <w:sz w:val="24"/>
          <w:szCs w:val="24"/>
        </w:rPr>
        <w:t xml:space="preserve"> </w:t>
      </w:r>
      <w:r w:rsidRPr="00C51A8C">
        <w:rPr>
          <w:sz w:val="24"/>
          <w:szCs w:val="24"/>
        </w:rPr>
        <w:t>realised</w:t>
      </w:r>
      <w:r w:rsidRPr="00C51A8C">
        <w:rPr>
          <w:spacing w:val="1"/>
          <w:sz w:val="24"/>
          <w:szCs w:val="24"/>
        </w:rPr>
        <w:t xml:space="preserve"> </w:t>
      </w:r>
      <w:r w:rsidRPr="00C51A8C">
        <w:rPr>
          <w:sz w:val="24"/>
          <w:szCs w:val="24"/>
        </w:rPr>
        <w:t>in</w:t>
      </w:r>
      <w:r w:rsidRPr="00C51A8C">
        <w:rPr>
          <w:spacing w:val="-1"/>
          <w:sz w:val="24"/>
          <w:szCs w:val="24"/>
        </w:rPr>
        <w:t xml:space="preserve"> </w:t>
      </w:r>
      <w:r w:rsidR="00BB3B2A" w:rsidRPr="00C51A8C">
        <w:rPr>
          <w:spacing w:val="-1"/>
          <w:sz w:val="24"/>
          <w:szCs w:val="24"/>
        </w:rPr>
        <w:t xml:space="preserve">law, policy and </w:t>
      </w:r>
      <w:proofErr w:type="gramStart"/>
      <w:r w:rsidRPr="00C51A8C">
        <w:rPr>
          <w:sz w:val="24"/>
          <w:szCs w:val="24"/>
        </w:rPr>
        <w:t>practice</w:t>
      </w:r>
      <w:r w:rsidR="00BB3B2A" w:rsidRPr="00C51A8C">
        <w:rPr>
          <w:sz w:val="24"/>
          <w:szCs w:val="24"/>
        </w:rPr>
        <w:t>;</w:t>
      </w:r>
      <w:proofErr w:type="gramEnd"/>
    </w:p>
    <w:p w14:paraId="675C8B04" w14:textId="14260A04" w:rsidR="00703522" w:rsidRPr="00C51A8C" w:rsidRDefault="00703522" w:rsidP="00C51A8C">
      <w:pPr>
        <w:pStyle w:val="ListParagraph"/>
        <w:numPr>
          <w:ilvl w:val="1"/>
          <w:numId w:val="1"/>
        </w:numPr>
        <w:tabs>
          <w:tab w:val="left" w:pos="821"/>
        </w:tabs>
        <w:ind w:right="120"/>
        <w:rPr>
          <w:sz w:val="24"/>
          <w:szCs w:val="24"/>
        </w:rPr>
      </w:pPr>
      <w:r w:rsidRPr="00C51A8C">
        <w:rPr>
          <w:sz w:val="24"/>
          <w:szCs w:val="24"/>
        </w:rPr>
        <w:t>Identify</w:t>
      </w:r>
      <w:r w:rsidRPr="00C51A8C">
        <w:rPr>
          <w:spacing w:val="1"/>
          <w:sz w:val="24"/>
          <w:szCs w:val="24"/>
        </w:rPr>
        <w:t xml:space="preserve"> </w:t>
      </w:r>
      <w:r w:rsidRPr="00C51A8C">
        <w:rPr>
          <w:sz w:val="24"/>
          <w:szCs w:val="24"/>
        </w:rPr>
        <w:t>good</w:t>
      </w:r>
      <w:r w:rsidRPr="00C51A8C">
        <w:rPr>
          <w:spacing w:val="1"/>
          <w:sz w:val="24"/>
          <w:szCs w:val="24"/>
        </w:rPr>
        <w:t xml:space="preserve"> </w:t>
      </w:r>
      <w:r w:rsidRPr="00C51A8C">
        <w:rPr>
          <w:sz w:val="24"/>
          <w:szCs w:val="24"/>
        </w:rPr>
        <w:t>practice and make recommendations where necessary for</w:t>
      </w:r>
      <w:r w:rsidRPr="00C51A8C">
        <w:rPr>
          <w:spacing w:val="1"/>
          <w:sz w:val="24"/>
          <w:szCs w:val="24"/>
        </w:rPr>
        <w:t xml:space="preserve"> </w:t>
      </w:r>
      <w:proofErr w:type="gramStart"/>
      <w:r w:rsidRPr="00C51A8C">
        <w:rPr>
          <w:sz w:val="24"/>
          <w:szCs w:val="24"/>
        </w:rPr>
        <w:t>improvement</w:t>
      </w:r>
      <w:r w:rsidR="00BB3B2A" w:rsidRPr="00C51A8C">
        <w:rPr>
          <w:sz w:val="24"/>
          <w:szCs w:val="24"/>
        </w:rPr>
        <w:t>;</w:t>
      </w:r>
      <w:proofErr w:type="gramEnd"/>
      <w:r w:rsidRPr="00C51A8C">
        <w:rPr>
          <w:spacing w:val="1"/>
          <w:sz w:val="24"/>
          <w:szCs w:val="24"/>
        </w:rPr>
        <w:t xml:space="preserve"> </w:t>
      </w:r>
    </w:p>
    <w:p w14:paraId="644E021A" w14:textId="67EB5F20" w:rsidR="00703522" w:rsidRPr="00C51A8C" w:rsidRDefault="00703522" w:rsidP="00C51A8C">
      <w:pPr>
        <w:pStyle w:val="ListParagraph"/>
        <w:numPr>
          <w:ilvl w:val="1"/>
          <w:numId w:val="1"/>
        </w:numPr>
        <w:tabs>
          <w:tab w:val="left" w:pos="821"/>
        </w:tabs>
        <w:ind w:right="122"/>
        <w:rPr>
          <w:sz w:val="24"/>
          <w:szCs w:val="24"/>
        </w:rPr>
      </w:pPr>
      <w:r w:rsidRPr="00C51A8C">
        <w:rPr>
          <w:sz w:val="24"/>
          <w:szCs w:val="24"/>
        </w:rPr>
        <w:t>Increase public awareness of human rights generally and in the</w:t>
      </w:r>
      <w:r w:rsidRPr="00C51A8C">
        <w:rPr>
          <w:spacing w:val="1"/>
          <w:sz w:val="24"/>
          <w:szCs w:val="24"/>
        </w:rPr>
        <w:t xml:space="preserve"> </w:t>
      </w:r>
      <w:r w:rsidRPr="00C51A8C">
        <w:rPr>
          <w:sz w:val="24"/>
          <w:szCs w:val="24"/>
        </w:rPr>
        <w:t>specific context</w:t>
      </w:r>
      <w:r w:rsidRPr="00C51A8C">
        <w:rPr>
          <w:spacing w:val="-2"/>
          <w:sz w:val="24"/>
          <w:szCs w:val="24"/>
        </w:rPr>
        <w:t xml:space="preserve"> </w:t>
      </w:r>
      <w:r w:rsidRPr="00C51A8C">
        <w:rPr>
          <w:sz w:val="24"/>
          <w:szCs w:val="24"/>
        </w:rPr>
        <w:t>of</w:t>
      </w:r>
      <w:r w:rsidRPr="00C51A8C">
        <w:rPr>
          <w:spacing w:val="-1"/>
          <w:sz w:val="24"/>
          <w:szCs w:val="24"/>
        </w:rPr>
        <w:t xml:space="preserve"> </w:t>
      </w:r>
      <w:r w:rsidR="00BB3B2A" w:rsidRPr="00C51A8C">
        <w:rPr>
          <w:spacing w:val="-1"/>
          <w:sz w:val="24"/>
          <w:szCs w:val="24"/>
        </w:rPr>
        <w:t xml:space="preserve">children’s </w:t>
      </w:r>
      <w:r w:rsidRPr="00C51A8C">
        <w:rPr>
          <w:sz w:val="24"/>
          <w:szCs w:val="24"/>
        </w:rPr>
        <w:t>health education.</w:t>
      </w:r>
    </w:p>
    <w:p w14:paraId="1F73E2C8" w14:textId="77777777" w:rsidR="00703522" w:rsidRPr="00C51A8C" w:rsidRDefault="00703522" w:rsidP="00C51A8C">
      <w:pPr>
        <w:pStyle w:val="BodyText"/>
        <w:ind w:right="120"/>
        <w:jc w:val="both"/>
      </w:pPr>
    </w:p>
    <w:p w14:paraId="00DAB0FF" w14:textId="605242A7" w:rsidR="00703522" w:rsidRPr="00C51A8C" w:rsidRDefault="00703522" w:rsidP="00C51A8C">
      <w:pPr>
        <w:pStyle w:val="BodyText"/>
        <w:ind w:right="120"/>
        <w:jc w:val="both"/>
      </w:pPr>
      <w:r w:rsidRPr="00C51A8C">
        <w:rPr>
          <w:spacing w:val="1"/>
        </w:rPr>
        <w:t>Such an investigation relies upon</w:t>
      </w:r>
      <w:r w:rsidRPr="00A17F70">
        <w:rPr>
          <w:spacing w:val="1"/>
        </w:rPr>
        <w:t xml:space="preserve"> engagement with </w:t>
      </w:r>
      <w:r w:rsidRPr="00C51A8C">
        <w:rPr>
          <w:spacing w:val="1"/>
        </w:rPr>
        <w:t xml:space="preserve">and </w:t>
      </w:r>
      <w:r w:rsidRPr="00C51A8C">
        <w:t xml:space="preserve">cooperation of those </w:t>
      </w:r>
      <w:r w:rsidRPr="00C51A8C">
        <w:rPr>
          <w:spacing w:val="1"/>
        </w:rPr>
        <w:t>involved in the provision of education, which includes relevant government departments, public authorities, third sector organisations,</w:t>
      </w:r>
      <w:r w:rsidR="00564030">
        <w:rPr>
          <w:spacing w:val="1"/>
        </w:rPr>
        <w:t xml:space="preserve"> post primary schools,</w:t>
      </w:r>
      <w:r w:rsidRPr="00C51A8C">
        <w:rPr>
          <w:spacing w:val="1"/>
        </w:rPr>
        <w:t xml:space="preserve"> teaching unions, </w:t>
      </w:r>
      <w:r w:rsidRPr="00C51A8C">
        <w:t>civil society organisations and churches</w:t>
      </w:r>
      <w:r w:rsidR="00564030">
        <w:t>.</w:t>
      </w:r>
    </w:p>
    <w:p w14:paraId="7866B96F" w14:textId="77777777" w:rsidR="00703522" w:rsidRPr="00A17F70" w:rsidRDefault="00703522" w:rsidP="00A17F70">
      <w:pPr>
        <w:pStyle w:val="BodyText"/>
        <w:ind w:right="120"/>
        <w:jc w:val="both"/>
      </w:pPr>
    </w:p>
    <w:p w14:paraId="0FAB9687" w14:textId="0888E524" w:rsidR="00703522" w:rsidRPr="00C51A8C" w:rsidRDefault="00703522" w:rsidP="00A17F70">
      <w:pPr>
        <w:pStyle w:val="BodyText"/>
        <w:ind w:right="120"/>
        <w:jc w:val="both"/>
        <w:rPr>
          <w:spacing w:val="1"/>
        </w:rPr>
      </w:pPr>
      <w:r w:rsidRPr="00C51A8C">
        <w:t>The Commission will engage with relevant stakeholders through meetings and/or roundtable events.</w:t>
      </w:r>
    </w:p>
    <w:p w14:paraId="44BA6C5E" w14:textId="3104C3CB" w:rsidR="00703522" w:rsidRPr="00C51A8C" w:rsidRDefault="00703522" w:rsidP="00A17F70">
      <w:pPr>
        <w:pStyle w:val="BasicParagraph"/>
        <w:suppressAutoHyphens/>
        <w:spacing w:line="240" w:lineRule="auto"/>
        <w:jc w:val="both"/>
        <w:rPr>
          <w:rFonts w:ascii="Verdana" w:hAnsi="Verdana" w:cs="Arial"/>
          <w:color w:val="auto"/>
        </w:rPr>
      </w:pPr>
    </w:p>
    <w:p w14:paraId="3EDC3C3F" w14:textId="06CB5060" w:rsidR="00703522" w:rsidRPr="00C51A8C" w:rsidRDefault="00703522" w:rsidP="00A17F70">
      <w:pPr>
        <w:pStyle w:val="BasicParagraph"/>
        <w:suppressAutoHyphens/>
        <w:spacing w:line="240" w:lineRule="auto"/>
        <w:jc w:val="both"/>
        <w:rPr>
          <w:rFonts w:ascii="Verdana" w:hAnsi="Verdana"/>
        </w:rPr>
      </w:pPr>
      <w:r w:rsidRPr="00C51A8C">
        <w:rPr>
          <w:rFonts w:ascii="Verdana" w:hAnsi="Verdana"/>
        </w:rPr>
        <w:t xml:space="preserve">The Commission will utilise its investigatory powers to obtain relevant information and documentation from </w:t>
      </w:r>
      <w:bookmarkStart w:id="0" w:name="_Hlk79678924"/>
      <w:r w:rsidRPr="00C51A8C">
        <w:rPr>
          <w:rFonts w:ascii="Verdana" w:hAnsi="Verdana"/>
        </w:rPr>
        <w:t>the Department of Education</w:t>
      </w:r>
      <w:r w:rsidR="00564030">
        <w:rPr>
          <w:rFonts w:ascii="Verdana" w:hAnsi="Verdana"/>
        </w:rPr>
        <w:t xml:space="preserve">, </w:t>
      </w:r>
      <w:r w:rsidRPr="00C51A8C">
        <w:rPr>
          <w:rFonts w:ascii="Verdana" w:hAnsi="Verdana"/>
        </w:rPr>
        <w:t>public bodies responsible for curriculum development and delivery;</w:t>
      </w:r>
      <w:r w:rsidR="008847D5">
        <w:rPr>
          <w:rFonts w:ascii="Verdana" w:hAnsi="Verdana"/>
        </w:rPr>
        <w:t xml:space="preserve"> all post primary schools in NI</w:t>
      </w:r>
      <w:r w:rsidRPr="00C51A8C">
        <w:rPr>
          <w:rFonts w:ascii="Verdana" w:hAnsi="Verdana"/>
        </w:rPr>
        <w:t xml:space="preserve"> and, relevant third sector or private contractors involved in the provision of education on sexual and reproductive health in schools.</w:t>
      </w:r>
      <w:bookmarkEnd w:id="0"/>
    </w:p>
    <w:p w14:paraId="12A37A63" w14:textId="77777777" w:rsidR="006331CE" w:rsidRDefault="006331CE" w:rsidP="00C51A8C">
      <w:pPr>
        <w:pStyle w:val="BodyText"/>
        <w:jc w:val="both"/>
      </w:pPr>
    </w:p>
    <w:p w14:paraId="799FA1CA" w14:textId="17A2A7A0" w:rsidR="00703522" w:rsidRPr="00A17F70" w:rsidRDefault="00703522" w:rsidP="00C51A8C">
      <w:pPr>
        <w:pStyle w:val="BodyText"/>
        <w:jc w:val="both"/>
      </w:pPr>
      <w:r w:rsidRPr="00C51A8C">
        <w:t xml:space="preserve">The Commission </w:t>
      </w:r>
      <w:r w:rsidR="00357C7B">
        <w:t xml:space="preserve">has </w:t>
      </w:r>
      <w:r w:rsidRPr="00C51A8C">
        <w:t>commission</w:t>
      </w:r>
      <w:r w:rsidR="00357C7B">
        <w:t>ed</w:t>
      </w:r>
      <w:r w:rsidRPr="00C51A8C">
        <w:t xml:space="preserve"> </w:t>
      </w:r>
      <w:bookmarkStart w:id="1" w:name="_Hlk79679109"/>
      <w:bookmarkStart w:id="2" w:name="_Hlk79679176"/>
      <w:r w:rsidRPr="00C51A8C">
        <w:t>independent external research, by experts with specialist experience and expertise,</w:t>
      </w:r>
      <w:bookmarkEnd w:id="1"/>
      <w:r w:rsidRPr="00C51A8C">
        <w:t xml:space="preserve"> to assist in conducting an analysis of the current provision of sexual and reproductive health education in NI schools. </w:t>
      </w:r>
      <w:r w:rsidRPr="00C51A8C" w:rsidDel="005B7B0A">
        <w:t xml:space="preserve"> </w:t>
      </w:r>
      <w:bookmarkEnd w:id="2"/>
    </w:p>
    <w:p w14:paraId="7C0EBB8A" w14:textId="77777777" w:rsidR="00703522" w:rsidRPr="00A17F70" w:rsidRDefault="00703522" w:rsidP="00A17F70">
      <w:pPr>
        <w:pStyle w:val="BodyText"/>
        <w:jc w:val="both"/>
      </w:pPr>
    </w:p>
    <w:p w14:paraId="5C3D9265" w14:textId="6ABC9D61" w:rsidR="00703522" w:rsidRPr="00A17F70" w:rsidRDefault="008847D5" w:rsidP="00A17F70">
      <w:pPr>
        <w:pStyle w:val="Heading1"/>
        <w:tabs>
          <w:tab w:val="left" w:pos="497"/>
        </w:tabs>
        <w:ind w:left="0" w:firstLine="0"/>
        <w:jc w:val="both"/>
        <w:rPr>
          <w:color w:val="7030A0"/>
        </w:rPr>
      </w:pPr>
      <w:r>
        <w:rPr>
          <w:b w:val="0"/>
          <w:bCs w:val="0"/>
          <w:sz w:val="24"/>
          <w:szCs w:val="24"/>
        </w:rPr>
        <w:t>T</w:t>
      </w:r>
      <w:r w:rsidR="00703522" w:rsidRPr="00C51A8C">
        <w:rPr>
          <w:b w:val="0"/>
          <w:bCs w:val="0"/>
          <w:sz w:val="24"/>
          <w:szCs w:val="24"/>
        </w:rPr>
        <w:t xml:space="preserve">he </w:t>
      </w:r>
      <w:r w:rsidR="00703522" w:rsidRPr="00A17F70">
        <w:rPr>
          <w:b w:val="0"/>
          <w:sz w:val="24"/>
        </w:rPr>
        <w:t xml:space="preserve">Commission </w:t>
      </w:r>
      <w:r w:rsidR="00A166F7">
        <w:rPr>
          <w:b w:val="0"/>
          <w:sz w:val="24"/>
        </w:rPr>
        <w:t xml:space="preserve">shall </w:t>
      </w:r>
      <w:r w:rsidR="00703522" w:rsidRPr="00C51A8C">
        <w:rPr>
          <w:b w:val="0"/>
          <w:bCs w:val="0"/>
          <w:sz w:val="24"/>
          <w:szCs w:val="24"/>
        </w:rPr>
        <w:t xml:space="preserve">publish </w:t>
      </w:r>
      <w:r>
        <w:rPr>
          <w:b w:val="0"/>
          <w:bCs w:val="0"/>
          <w:sz w:val="24"/>
          <w:szCs w:val="24"/>
        </w:rPr>
        <w:t xml:space="preserve">a </w:t>
      </w:r>
      <w:r w:rsidR="00703522" w:rsidRPr="00A17F70">
        <w:rPr>
          <w:b w:val="0"/>
          <w:sz w:val="24"/>
        </w:rPr>
        <w:t>report</w:t>
      </w:r>
      <w:r w:rsidR="00F72A36">
        <w:rPr>
          <w:b w:val="0"/>
          <w:sz w:val="24"/>
        </w:rPr>
        <w:t xml:space="preserve"> on its findings</w:t>
      </w:r>
      <w:r w:rsidR="00703522" w:rsidRPr="00A17F70">
        <w:rPr>
          <w:b w:val="0"/>
          <w:sz w:val="24"/>
        </w:rPr>
        <w:t xml:space="preserve">, as required by Section 69(8) of the Northern </w:t>
      </w:r>
      <w:r w:rsidR="00703522" w:rsidRPr="00A17F70">
        <w:rPr>
          <w:b w:val="0"/>
          <w:spacing w:val="-82"/>
          <w:sz w:val="24"/>
        </w:rPr>
        <w:t xml:space="preserve">  </w:t>
      </w:r>
      <w:r w:rsidR="00703522" w:rsidRPr="00A17F70">
        <w:rPr>
          <w:b w:val="0"/>
          <w:sz w:val="24"/>
        </w:rPr>
        <w:t>Ireland Act 1998</w:t>
      </w:r>
      <w:r>
        <w:rPr>
          <w:b w:val="0"/>
          <w:sz w:val="24"/>
        </w:rPr>
        <w:t xml:space="preserve"> </w:t>
      </w:r>
      <w:r w:rsidR="00564030">
        <w:rPr>
          <w:b w:val="0"/>
          <w:sz w:val="24"/>
        </w:rPr>
        <w:t>at the conclusion of the investigation</w:t>
      </w:r>
      <w:r w:rsidR="00703522" w:rsidRPr="00A17F70">
        <w:rPr>
          <w:b w:val="0"/>
          <w:sz w:val="24"/>
        </w:rPr>
        <w:t xml:space="preserve">. </w:t>
      </w:r>
      <w:r w:rsidR="00703522" w:rsidRPr="00C51A8C">
        <w:rPr>
          <w:b w:val="0"/>
          <w:bCs w:val="0"/>
          <w:sz w:val="24"/>
          <w:szCs w:val="24"/>
        </w:rPr>
        <w:t xml:space="preserve">In that report, </w:t>
      </w:r>
      <w:r w:rsidR="00F72A36">
        <w:rPr>
          <w:b w:val="0"/>
          <w:bCs w:val="0"/>
          <w:sz w:val="24"/>
          <w:szCs w:val="24"/>
        </w:rPr>
        <w:t xml:space="preserve">it is envisaged that </w:t>
      </w:r>
      <w:r w:rsidR="00703522" w:rsidRPr="00C51A8C">
        <w:rPr>
          <w:b w:val="0"/>
          <w:bCs w:val="0"/>
          <w:sz w:val="24"/>
          <w:szCs w:val="24"/>
        </w:rPr>
        <w:t>the Commission will make conclusions and any</w:t>
      </w:r>
      <w:r w:rsidR="00703522" w:rsidRPr="00A17F70">
        <w:rPr>
          <w:b w:val="0"/>
          <w:sz w:val="24"/>
        </w:rPr>
        <w:t xml:space="preserve"> recommendations for action </w:t>
      </w:r>
      <w:r w:rsidR="00703522" w:rsidRPr="00C51A8C">
        <w:rPr>
          <w:b w:val="0"/>
          <w:bCs w:val="0"/>
          <w:sz w:val="24"/>
          <w:szCs w:val="24"/>
        </w:rPr>
        <w:t xml:space="preserve">considered </w:t>
      </w:r>
      <w:r w:rsidR="00703522" w:rsidRPr="00A17F70">
        <w:rPr>
          <w:b w:val="0"/>
          <w:sz w:val="24"/>
        </w:rPr>
        <w:t>necessary</w:t>
      </w:r>
      <w:r w:rsidR="00703522" w:rsidRPr="00A17F70">
        <w:rPr>
          <w:b w:val="0"/>
          <w:spacing w:val="1"/>
          <w:sz w:val="24"/>
        </w:rPr>
        <w:t xml:space="preserve"> </w:t>
      </w:r>
      <w:r w:rsidR="00703522" w:rsidRPr="00A17F70">
        <w:rPr>
          <w:b w:val="0"/>
          <w:sz w:val="24"/>
        </w:rPr>
        <w:t>for</w:t>
      </w:r>
      <w:r w:rsidR="00703522" w:rsidRPr="00A17F70">
        <w:rPr>
          <w:b w:val="0"/>
          <w:spacing w:val="7"/>
          <w:sz w:val="24"/>
        </w:rPr>
        <w:t xml:space="preserve"> </w:t>
      </w:r>
      <w:r w:rsidR="00703522" w:rsidRPr="00A17F70">
        <w:rPr>
          <w:b w:val="0"/>
          <w:sz w:val="24"/>
        </w:rPr>
        <w:t>the</w:t>
      </w:r>
      <w:r w:rsidR="00703522" w:rsidRPr="00A17F70">
        <w:rPr>
          <w:b w:val="0"/>
          <w:spacing w:val="8"/>
          <w:sz w:val="24"/>
        </w:rPr>
        <w:t xml:space="preserve"> </w:t>
      </w:r>
      <w:r w:rsidR="00703522" w:rsidRPr="00A17F70">
        <w:rPr>
          <w:b w:val="0"/>
          <w:sz w:val="24"/>
        </w:rPr>
        <w:t>promotion</w:t>
      </w:r>
      <w:r w:rsidR="00703522" w:rsidRPr="00A17F70">
        <w:rPr>
          <w:b w:val="0"/>
          <w:spacing w:val="9"/>
          <w:sz w:val="24"/>
        </w:rPr>
        <w:t xml:space="preserve"> </w:t>
      </w:r>
      <w:r w:rsidR="00703522" w:rsidRPr="00A17F70">
        <w:rPr>
          <w:b w:val="0"/>
          <w:sz w:val="24"/>
        </w:rPr>
        <w:t>and</w:t>
      </w:r>
      <w:r w:rsidR="00703522" w:rsidRPr="00A17F70">
        <w:rPr>
          <w:b w:val="0"/>
          <w:spacing w:val="7"/>
          <w:sz w:val="24"/>
        </w:rPr>
        <w:t xml:space="preserve"> </w:t>
      </w:r>
      <w:r w:rsidR="00703522" w:rsidRPr="00A17F70">
        <w:rPr>
          <w:b w:val="0"/>
          <w:sz w:val="24"/>
        </w:rPr>
        <w:lastRenderedPageBreak/>
        <w:t>protection</w:t>
      </w:r>
      <w:r w:rsidR="00703522" w:rsidRPr="00A17F70">
        <w:rPr>
          <w:b w:val="0"/>
          <w:spacing w:val="7"/>
          <w:sz w:val="24"/>
        </w:rPr>
        <w:t xml:space="preserve"> </w:t>
      </w:r>
      <w:r w:rsidR="00703522" w:rsidRPr="00A17F70">
        <w:rPr>
          <w:b w:val="0"/>
          <w:sz w:val="24"/>
        </w:rPr>
        <w:t>of</w:t>
      </w:r>
      <w:r w:rsidR="00703522" w:rsidRPr="00A17F70">
        <w:rPr>
          <w:b w:val="0"/>
          <w:spacing w:val="10"/>
          <w:sz w:val="24"/>
        </w:rPr>
        <w:t xml:space="preserve"> </w:t>
      </w:r>
      <w:r w:rsidR="00703522" w:rsidRPr="00A17F70">
        <w:rPr>
          <w:b w:val="0"/>
          <w:sz w:val="24"/>
        </w:rPr>
        <w:t>human</w:t>
      </w:r>
      <w:r w:rsidR="00703522" w:rsidRPr="00A17F70">
        <w:rPr>
          <w:b w:val="0"/>
          <w:spacing w:val="7"/>
          <w:sz w:val="24"/>
        </w:rPr>
        <w:t xml:space="preserve"> </w:t>
      </w:r>
      <w:r w:rsidR="00703522" w:rsidRPr="00A17F70">
        <w:rPr>
          <w:b w:val="0"/>
          <w:sz w:val="24"/>
        </w:rPr>
        <w:t>rights</w:t>
      </w:r>
      <w:r w:rsidR="00703522" w:rsidRPr="00C51A8C">
        <w:rPr>
          <w:b w:val="0"/>
          <w:bCs w:val="0"/>
          <w:sz w:val="24"/>
          <w:szCs w:val="24"/>
        </w:rPr>
        <w:t>. The report</w:t>
      </w:r>
      <w:r w:rsidR="00703522" w:rsidRPr="00A17F70">
        <w:rPr>
          <w:b w:val="0"/>
          <w:sz w:val="24"/>
        </w:rPr>
        <w:t xml:space="preserve"> will</w:t>
      </w:r>
      <w:r w:rsidR="00703522" w:rsidRPr="00A17F70">
        <w:rPr>
          <w:b w:val="0"/>
          <w:spacing w:val="9"/>
          <w:sz w:val="24"/>
        </w:rPr>
        <w:t xml:space="preserve"> </w:t>
      </w:r>
      <w:r w:rsidR="00703522" w:rsidRPr="00A17F70">
        <w:rPr>
          <w:b w:val="0"/>
          <w:sz w:val="24"/>
        </w:rPr>
        <w:t>be</w:t>
      </w:r>
      <w:r w:rsidR="00703522" w:rsidRPr="00A17F70">
        <w:rPr>
          <w:b w:val="0"/>
          <w:spacing w:val="8"/>
          <w:sz w:val="24"/>
        </w:rPr>
        <w:t xml:space="preserve"> </w:t>
      </w:r>
      <w:r w:rsidR="00703522" w:rsidRPr="00A17F70">
        <w:rPr>
          <w:b w:val="0"/>
          <w:sz w:val="24"/>
        </w:rPr>
        <w:t>presented</w:t>
      </w:r>
      <w:r w:rsidR="00703522" w:rsidRPr="00A17F70">
        <w:rPr>
          <w:b w:val="0"/>
          <w:spacing w:val="7"/>
          <w:sz w:val="24"/>
        </w:rPr>
        <w:t xml:space="preserve"> </w:t>
      </w:r>
      <w:r w:rsidR="00703522" w:rsidRPr="00A17F70">
        <w:rPr>
          <w:b w:val="0"/>
          <w:sz w:val="24"/>
        </w:rPr>
        <w:t>to</w:t>
      </w:r>
      <w:r w:rsidR="00703522" w:rsidRPr="00A17F70">
        <w:rPr>
          <w:b w:val="0"/>
          <w:spacing w:val="8"/>
          <w:sz w:val="24"/>
        </w:rPr>
        <w:t xml:space="preserve"> </w:t>
      </w:r>
      <w:r w:rsidR="00703522" w:rsidRPr="00A17F70">
        <w:rPr>
          <w:b w:val="0"/>
          <w:sz w:val="24"/>
        </w:rPr>
        <w:t>the Northern Ireland Executive and Legislative Assembly.</w:t>
      </w:r>
      <w:bookmarkStart w:id="3" w:name="_Toc75169650"/>
    </w:p>
    <w:bookmarkEnd w:id="3"/>
    <w:p w14:paraId="2CBB637B" w14:textId="77777777" w:rsidR="00703522" w:rsidRPr="00A17F70" w:rsidRDefault="00703522" w:rsidP="00A17F70">
      <w:pPr>
        <w:pStyle w:val="BodyText"/>
        <w:ind w:right="120"/>
        <w:jc w:val="both"/>
      </w:pPr>
    </w:p>
    <w:p w14:paraId="5B651E6B" w14:textId="77777777" w:rsidR="009908BC" w:rsidRPr="00A17F70" w:rsidRDefault="009908BC" w:rsidP="00A17F70">
      <w:pPr>
        <w:pStyle w:val="Heading1"/>
        <w:keepNext/>
        <w:keepLines/>
        <w:widowControl/>
        <w:autoSpaceDE/>
        <w:autoSpaceDN/>
        <w:ind w:hanging="496"/>
        <w:jc w:val="both"/>
        <w:rPr>
          <w:color w:val="7030A0"/>
          <w:sz w:val="24"/>
        </w:rPr>
      </w:pPr>
      <w:bookmarkStart w:id="4" w:name="_Toc75169654"/>
      <w:r w:rsidRPr="00A17F70">
        <w:rPr>
          <w:color w:val="7030A0"/>
          <w:sz w:val="24"/>
        </w:rPr>
        <w:t>Background</w:t>
      </w:r>
      <w:bookmarkEnd w:id="4"/>
      <w:r w:rsidRPr="00A17F70">
        <w:rPr>
          <w:color w:val="7030A0"/>
          <w:sz w:val="24"/>
        </w:rPr>
        <w:t xml:space="preserve"> </w:t>
      </w:r>
    </w:p>
    <w:p w14:paraId="514CC929" w14:textId="77777777" w:rsidR="00F11442" w:rsidRPr="00C51A8C" w:rsidRDefault="00F11442" w:rsidP="00A17F70">
      <w:pPr>
        <w:jc w:val="both"/>
        <w:rPr>
          <w:sz w:val="24"/>
          <w:szCs w:val="24"/>
        </w:rPr>
      </w:pPr>
    </w:p>
    <w:p w14:paraId="09CDFF04" w14:textId="5E2C6B5C" w:rsidR="00522845" w:rsidRPr="00C51A8C" w:rsidRDefault="00BB3B2A" w:rsidP="00A17F70">
      <w:pPr>
        <w:jc w:val="both"/>
        <w:rPr>
          <w:sz w:val="24"/>
          <w:szCs w:val="24"/>
        </w:rPr>
      </w:pPr>
      <w:r w:rsidRPr="00C51A8C">
        <w:rPr>
          <w:sz w:val="24"/>
          <w:szCs w:val="24"/>
        </w:rPr>
        <w:t>The</w:t>
      </w:r>
      <w:r w:rsidR="00522845" w:rsidRPr="00C51A8C">
        <w:rPr>
          <w:sz w:val="24"/>
          <w:szCs w:val="24"/>
        </w:rPr>
        <w:t xml:space="preserve"> U</w:t>
      </w:r>
      <w:r w:rsidRPr="00C51A8C">
        <w:rPr>
          <w:sz w:val="24"/>
          <w:szCs w:val="24"/>
        </w:rPr>
        <w:t>nited Nations Convention on the Rights of Children (UN</w:t>
      </w:r>
      <w:r w:rsidR="00564030">
        <w:rPr>
          <w:sz w:val="24"/>
          <w:szCs w:val="24"/>
        </w:rPr>
        <w:t xml:space="preserve"> </w:t>
      </w:r>
      <w:r w:rsidRPr="00C51A8C">
        <w:rPr>
          <w:sz w:val="24"/>
          <w:szCs w:val="24"/>
        </w:rPr>
        <w:t xml:space="preserve">CRC) </w:t>
      </w:r>
      <w:r w:rsidR="00522845" w:rsidRPr="00C51A8C">
        <w:rPr>
          <w:sz w:val="24"/>
          <w:szCs w:val="24"/>
        </w:rPr>
        <w:t>requires the State to provide access to sexual and reproductive health information.</w:t>
      </w:r>
      <w:r w:rsidR="00522845" w:rsidRPr="00C51A8C">
        <w:rPr>
          <w:rStyle w:val="FootnoteReference"/>
          <w:sz w:val="24"/>
          <w:szCs w:val="24"/>
        </w:rPr>
        <w:footnoteReference w:id="3"/>
      </w:r>
      <w:r w:rsidR="00522845" w:rsidRPr="00C51A8C">
        <w:rPr>
          <w:sz w:val="24"/>
          <w:szCs w:val="24"/>
        </w:rPr>
        <w:t xml:space="preserve"> States should ensure that “meaningful sexual and reproductive health education is part of the mandatory school curriculum for all schools, including academies, special schools and youth detention centres”.</w:t>
      </w:r>
      <w:r w:rsidR="00522845" w:rsidRPr="00C51A8C">
        <w:rPr>
          <w:rStyle w:val="FootnoteReference"/>
          <w:sz w:val="24"/>
          <w:szCs w:val="24"/>
        </w:rPr>
        <w:footnoteReference w:id="4"/>
      </w:r>
      <w:r w:rsidR="00522845" w:rsidRPr="00C51A8C">
        <w:rPr>
          <w:sz w:val="24"/>
          <w:szCs w:val="24"/>
        </w:rPr>
        <w:t xml:space="preserve"> Such information should include family planning and contraceptives, the dangers of early pregnancy, the prevention of HIV/AIDS, the prevention and treatment of sexually transmitted diseases (STDs).</w:t>
      </w:r>
      <w:r w:rsidR="00522845" w:rsidRPr="00C51A8C">
        <w:rPr>
          <w:rStyle w:val="FootnoteReference"/>
          <w:sz w:val="24"/>
          <w:szCs w:val="24"/>
        </w:rPr>
        <w:footnoteReference w:id="5"/>
      </w:r>
      <w:r w:rsidR="00522845" w:rsidRPr="00C51A8C">
        <w:rPr>
          <w:sz w:val="24"/>
          <w:szCs w:val="24"/>
        </w:rPr>
        <w:t xml:space="preserve"> Education should be age-appropriate and include “confidential sexual and reproductive health-care services; contraceptives; the prevention of sexual abuse or exploitation, including sexual bullying; the support available in cases of such abuse and exploitation; and sexuality, including that of lesbian, gay, bisexual, transgender and intersex children”.</w:t>
      </w:r>
      <w:r w:rsidR="00522845" w:rsidRPr="00C51A8C">
        <w:rPr>
          <w:rStyle w:val="FootnoteReference"/>
          <w:sz w:val="24"/>
          <w:szCs w:val="24"/>
        </w:rPr>
        <w:footnoteReference w:id="6"/>
      </w:r>
    </w:p>
    <w:p w14:paraId="3EBCFD1E" w14:textId="77777777" w:rsidR="008622C7" w:rsidRPr="00C51A8C" w:rsidRDefault="008622C7" w:rsidP="00A17F70">
      <w:pPr>
        <w:jc w:val="both"/>
        <w:rPr>
          <w:sz w:val="24"/>
          <w:szCs w:val="24"/>
        </w:rPr>
      </w:pPr>
    </w:p>
    <w:p w14:paraId="7D205748" w14:textId="265F4376" w:rsidR="00005550" w:rsidRPr="00C51A8C" w:rsidRDefault="008622C7" w:rsidP="00C51A8C">
      <w:pPr>
        <w:jc w:val="both"/>
        <w:rPr>
          <w:color w:val="000000"/>
          <w:sz w:val="24"/>
          <w:szCs w:val="24"/>
        </w:rPr>
      </w:pPr>
      <w:r w:rsidRPr="00C51A8C">
        <w:rPr>
          <w:sz w:val="24"/>
          <w:szCs w:val="24"/>
        </w:rPr>
        <w:t>The right to sexual and reproductive health</w:t>
      </w:r>
      <w:r w:rsidR="00005550" w:rsidRPr="00C51A8C">
        <w:rPr>
          <w:sz w:val="24"/>
          <w:szCs w:val="24"/>
        </w:rPr>
        <w:t xml:space="preserve"> (</w:t>
      </w:r>
      <w:r w:rsidRPr="00C51A8C">
        <w:rPr>
          <w:sz w:val="24"/>
          <w:szCs w:val="24"/>
        </w:rPr>
        <w:t>as an integral element of the right to health</w:t>
      </w:r>
      <w:r w:rsidRPr="00C51A8C">
        <w:rPr>
          <w:rStyle w:val="FootnoteReference"/>
          <w:sz w:val="24"/>
          <w:szCs w:val="24"/>
        </w:rPr>
        <w:footnoteReference w:id="7"/>
      </w:r>
      <w:r w:rsidR="00005550" w:rsidRPr="00C51A8C">
        <w:rPr>
          <w:sz w:val="24"/>
          <w:szCs w:val="24"/>
        </w:rPr>
        <w:t>)</w:t>
      </w:r>
      <w:r w:rsidRPr="00C51A8C">
        <w:rPr>
          <w:sz w:val="24"/>
          <w:szCs w:val="24"/>
        </w:rPr>
        <w:t xml:space="preserve">, when </w:t>
      </w:r>
      <w:r w:rsidRPr="00C51A8C">
        <w:rPr>
          <w:color w:val="000000"/>
          <w:sz w:val="24"/>
          <w:szCs w:val="24"/>
        </w:rPr>
        <w:t>combined with the right to education (</w:t>
      </w:r>
      <w:r w:rsidR="00005550" w:rsidRPr="00C51A8C">
        <w:rPr>
          <w:color w:val="000000"/>
          <w:sz w:val="24"/>
          <w:szCs w:val="24"/>
        </w:rPr>
        <w:t>A</w:t>
      </w:r>
      <w:r w:rsidRPr="00C51A8C">
        <w:rPr>
          <w:color w:val="000000"/>
          <w:sz w:val="24"/>
          <w:szCs w:val="24"/>
        </w:rPr>
        <w:t>rticles 13 and 14</w:t>
      </w:r>
      <w:r w:rsidR="00005550" w:rsidRPr="00C51A8C">
        <w:rPr>
          <w:color w:val="000000"/>
          <w:sz w:val="24"/>
          <w:szCs w:val="24"/>
        </w:rPr>
        <w:t xml:space="preserve"> UNCRC)</w:t>
      </w:r>
      <w:r w:rsidRPr="00C51A8C">
        <w:rPr>
          <w:color w:val="000000"/>
          <w:sz w:val="24"/>
          <w:szCs w:val="24"/>
        </w:rPr>
        <w:t xml:space="preserve"> and the right to non-discrimination and equality between men and women (</w:t>
      </w:r>
      <w:r w:rsidR="00005550" w:rsidRPr="00C51A8C">
        <w:rPr>
          <w:color w:val="000000"/>
          <w:sz w:val="24"/>
          <w:szCs w:val="24"/>
        </w:rPr>
        <w:t>A</w:t>
      </w:r>
      <w:r w:rsidRPr="00C51A8C">
        <w:rPr>
          <w:color w:val="000000"/>
          <w:sz w:val="24"/>
          <w:szCs w:val="24"/>
        </w:rPr>
        <w:t>rticles 2(2) and 3</w:t>
      </w:r>
      <w:r w:rsidR="00005550" w:rsidRPr="00C51A8C">
        <w:rPr>
          <w:color w:val="000000"/>
          <w:sz w:val="24"/>
          <w:szCs w:val="24"/>
        </w:rPr>
        <w:t xml:space="preserve"> UNCRC</w:t>
      </w:r>
      <w:r w:rsidRPr="00C51A8C">
        <w:rPr>
          <w:color w:val="000000"/>
          <w:sz w:val="24"/>
          <w:szCs w:val="24"/>
        </w:rPr>
        <w:t xml:space="preserve">), </w:t>
      </w:r>
      <w:r w:rsidR="00005550" w:rsidRPr="00C51A8C">
        <w:rPr>
          <w:color w:val="000000"/>
          <w:sz w:val="24"/>
          <w:szCs w:val="24"/>
        </w:rPr>
        <w:t>means there is a</w:t>
      </w:r>
      <w:r w:rsidRPr="00C51A8C">
        <w:rPr>
          <w:color w:val="000000"/>
          <w:sz w:val="24"/>
          <w:szCs w:val="24"/>
        </w:rPr>
        <w:t xml:space="preserve"> right to education on sexuality and reproduction that is comprehensive, non-discriminatory, evidence-based, scientifically accurate and age appropriate.</w:t>
      </w:r>
      <w:r w:rsidRPr="00C51A8C">
        <w:rPr>
          <w:rStyle w:val="FootnoteReference"/>
          <w:color w:val="000000"/>
          <w:sz w:val="24"/>
          <w:szCs w:val="24"/>
        </w:rPr>
        <w:footnoteReference w:id="8"/>
      </w:r>
      <w:r w:rsidRPr="00C51A8C">
        <w:rPr>
          <w:color w:val="000000"/>
          <w:sz w:val="24"/>
          <w:szCs w:val="24"/>
        </w:rPr>
        <w:t xml:space="preserve"> Furthermore, it recognises that “preventing unintended pregnancies and unsafe abortions requires States to adopt legal and policy measures to guarantee all individuals access to affordable, safe and effective contraceptives and comprehensive sexuality education, including for adolescents”.</w:t>
      </w:r>
      <w:r w:rsidRPr="00C51A8C">
        <w:rPr>
          <w:rStyle w:val="FootnoteReference"/>
          <w:color w:val="000000"/>
          <w:sz w:val="24"/>
          <w:szCs w:val="24"/>
        </w:rPr>
        <w:footnoteReference w:id="9"/>
      </w:r>
      <w:r w:rsidRPr="00C51A8C">
        <w:rPr>
          <w:color w:val="000000"/>
          <w:sz w:val="24"/>
          <w:szCs w:val="24"/>
        </w:rPr>
        <w:t xml:space="preserve"> </w:t>
      </w:r>
    </w:p>
    <w:p w14:paraId="00C51569" w14:textId="77777777" w:rsidR="00005550" w:rsidRPr="00A17F70" w:rsidRDefault="00005550" w:rsidP="00A17F70">
      <w:pPr>
        <w:jc w:val="both"/>
        <w:rPr>
          <w:color w:val="000000"/>
        </w:rPr>
      </w:pPr>
    </w:p>
    <w:p w14:paraId="7347385E" w14:textId="156B4513" w:rsidR="008622C7" w:rsidRPr="00C51A8C" w:rsidRDefault="00005550" w:rsidP="00A17F70">
      <w:pPr>
        <w:jc w:val="both"/>
        <w:rPr>
          <w:sz w:val="24"/>
          <w:szCs w:val="24"/>
        </w:rPr>
      </w:pPr>
      <w:r w:rsidRPr="00A17F70">
        <w:rPr>
          <w:color w:val="000000"/>
          <w:sz w:val="24"/>
        </w:rPr>
        <w:t xml:space="preserve">The </w:t>
      </w:r>
      <w:r w:rsidR="00427481" w:rsidRPr="00C51A8C">
        <w:rPr>
          <w:color w:val="000000"/>
          <w:sz w:val="24"/>
          <w:szCs w:val="24"/>
        </w:rPr>
        <w:t xml:space="preserve">International Covenant on </w:t>
      </w:r>
      <w:r w:rsidR="008622C7" w:rsidRPr="00C51A8C">
        <w:rPr>
          <w:color w:val="000000"/>
          <w:sz w:val="24"/>
          <w:szCs w:val="24"/>
        </w:rPr>
        <w:t>E</w:t>
      </w:r>
      <w:r w:rsidR="00427481" w:rsidRPr="00C51A8C">
        <w:rPr>
          <w:color w:val="000000"/>
          <w:sz w:val="24"/>
          <w:szCs w:val="24"/>
        </w:rPr>
        <w:t xml:space="preserve">conomic, </w:t>
      </w:r>
      <w:r w:rsidR="008622C7" w:rsidRPr="00C51A8C">
        <w:rPr>
          <w:color w:val="000000"/>
          <w:sz w:val="24"/>
          <w:szCs w:val="24"/>
        </w:rPr>
        <w:t>S</w:t>
      </w:r>
      <w:r w:rsidR="00427481" w:rsidRPr="00C51A8C">
        <w:rPr>
          <w:color w:val="000000"/>
          <w:sz w:val="24"/>
          <w:szCs w:val="24"/>
        </w:rPr>
        <w:t xml:space="preserve">ocial and </w:t>
      </w:r>
      <w:r w:rsidR="008622C7" w:rsidRPr="00C51A8C">
        <w:rPr>
          <w:color w:val="000000"/>
          <w:sz w:val="24"/>
          <w:szCs w:val="24"/>
        </w:rPr>
        <w:t>C</w:t>
      </w:r>
      <w:r w:rsidR="00427481" w:rsidRPr="00C51A8C">
        <w:rPr>
          <w:color w:val="000000"/>
          <w:sz w:val="24"/>
          <w:szCs w:val="24"/>
        </w:rPr>
        <w:t>ultural Rights (ICESR)</w:t>
      </w:r>
      <w:r w:rsidR="008622C7" w:rsidRPr="00C51A8C">
        <w:rPr>
          <w:color w:val="000000"/>
          <w:sz w:val="24"/>
          <w:szCs w:val="24"/>
        </w:rPr>
        <w:t xml:space="preserve"> recognises that a minimum core obligation on </w:t>
      </w:r>
      <w:r w:rsidR="00427481" w:rsidRPr="00C51A8C">
        <w:rPr>
          <w:color w:val="000000"/>
          <w:sz w:val="24"/>
          <w:szCs w:val="24"/>
        </w:rPr>
        <w:t xml:space="preserve">States is </w:t>
      </w:r>
      <w:r w:rsidR="008622C7" w:rsidRPr="00C51A8C">
        <w:rPr>
          <w:color w:val="000000"/>
          <w:sz w:val="24"/>
          <w:szCs w:val="24"/>
        </w:rPr>
        <w:t>to ensure access “to comprehensive education and information on sexual and reproductive health that are non-discriminatory, non-biased, evidence-based, and that take into account the evolving capacities of children and adolescents”.</w:t>
      </w:r>
      <w:r w:rsidR="008622C7" w:rsidRPr="00C51A8C">
        <w:rPr>
          <w:rStyle w:val="FootnoteReference"/>
          <w:color w:val="000000"/>
          <w:sz w:val="24"/>
          <w:szCs w:val="24"/>
        </w:rPr>
        <w:footnoteReference w:id="10"/>
      </w:r>
    </w:p>
    <w:p w14:paraId="58F0FF02" w14:textId="11C3F052" w:rsidR="00522845" w:rsidRPr="00C51A8C" w:rsidRDefault="00427481" w:rsidP="00A17F70">
      <w:pPr>
        <w:jc w:val="both"/>
        <w:rPr>
          <w:sz w:val="24"/>
          <w:szCs w:val="24"/>
        </w:rPr>
      </w:pPr>
      <w:r w:rsidRPr="00C51A8C">
        <w:rPr>
          <w:sz w:val="24"/>
          <w:szCs w:val="24"/>
        </w:rPr>
        <w:lastRenderedPageBreak/>
        <w:t>In</w:t>
      </w:r>
      <w:r w:rsidR="00522845" w:rsidRPr="00C51A8C">
        <w:rPr>
          <w:sz w:val="24"/>
          <w:szCs w:val="24"/>
        </w:rPr>
        <w:t xml:space="preserve"> line with the right of the child to be heard, </w:t>
      </w:r>
      <w:r w:rsidR="002D05DE" w:rsidRPr="00C51A8C">
        <w:rPr>
          <w:sz w:val="24"/>
          <w:szCs w:val="24"/>
        </w:rPr>
        <w:t xml:space="preserve">when developing policy, </w:t>
      </w:r>
      <w:r w:rsidR="00522845" w:rsidRPr="00C51A8C">
        <w:rPr>
          <w:sz w:val="24"/>
          <w:szCs w:val="24"/>
        </w:rPr>
        <w:t xml:space="preserve">States should “establish structures for the active and meaningful participation of children and give due weight to their views in designing laws, policies, programmes and services at the local and national levels” in respect of issues including sexual and reproductive education and </w:t>
      </w:r>
      <w:proofErr w:type="gramStart"/>
      <w:r w:rsidR="00522845" w:rsidRPr="00C51A8C">
        <w:rPr>
          <w:sz w:val="24"/>
          <w:szCs w:val="24"/>
        </w:rPr>
        <w:t>giving consideration to</w:t>
      </w:r>
      <w:proofErr w:type="gramEnd"/>
      <w:r w:rsidR="00522845" w:rsidRPr="00C51A8C">
        <w:rPr>
          <w:sz w:val="24"/>
          <w:szCs w:val="24"/>
        </w:rPr>
        <w:t xml:space="preserve"> “involving younger children and children in vulnerable situations, such as children with disabilities.</w:t>
      </w:r>
      <w:r w:rsidR="00522845" w:rsidRPr="00C51A8C">
        <w:rPr>
          <w:rStyle w:val="FootnoteReference"/>
          <w:sz w:val="24"/>
          <w:szCs w:val="24"/>
        </w:rPr>
        <w:footnoteReference w:id="11"/>
      </w:r>
    </w:p>
    <w:p w14:paraId="3073E2D1" w14:textId="77777777" w:rsidR="00C44DA9" w:rsidRPr="00C51A8C" w:rsidRDefault="00C44DA9" w:rsidP="00A17F70">
      <w:pPr>
        <w:jc w:val="both"/>
        <w:rPr>
          <w:sz w:val="24"/>
          <w:szCs w:val="24"/>
        </w:rPr>
      </w:pPr>
    </w:p>
    <w:p w14:paraId="68D145C3" w14:textId="3DD0BF17" w:rsidR="00C44DA9" w:rsidRPr="00C51A8C" w:rsidRDefault="00C44DA9" w:rsidP="00A17F70">
      <w:pPr>
        <w:jc w:val="both"/>
        <w:rPr>
          <w:sz w:val="24"/>
          <w:szCs w:val="24"/>
        </w:rPr>
      </w:pPr>
      <w:r w:rsidRPr="00C51A8C">
        <w:rPr>
          <w:rFonts w:cs="Open Sans"/>
          <w:color w:val="000000"/>
          <w:sz w:val="24"/>
          <w:szCs w:val="24"/>
          <w:shd w:val="clear" w:color="auto" w:fill="F9F9F9"/>
        </w:rPr>
        <w:t xml:space="preserve">States must </w:t>
      </w:r>
      <w:r w:rsidR="002D05DE" w:rsidRPr="00C51A8C">
        <w:rPr>
          <w:rFonts w:cs="Open Sans"/>
          <w:color w:val="000000"/>
          <w:sz w:val="24"/>
          <w:szCs w:val="24"/>
          <w:shd w:val="clear" w:color="auto" w:fill="F9F9F9"/>
        </w:rPr>
        <w:t xml:space="preserve">also </w:t>
      </w:r>
      <w:r w:rsidRPr="00C51A8C">
        <w:rPr>
          <w:rFonts w:cs="Open Sans"/>
          <w:color w:val="000000"/>
          <w:sz w:val="24"/>
          <w:szCs w:val="24"/>
          <w:shd w:val="clear" w:color="auto" w:fill="F9F9F9"/>
        </w:rPr>
        <w:t xml:space="preserve">take effective and appropriate measures to eliminate discrimination against persons with disabilities in all matters relating to marriage, family, parenthood and relationships, on an equal basis with others, so as to ensure that persons with disabilities, including </w:t>
      </w:r>
      <w:r w:rsidR="00352245" w:rsidRPr="00C51A8C">
        <w:rPr>
          <w:color w:val="000000"/>
          <w:sz w:val="24"/>
          <w:szCs w:val="24"/>
          <w:shd w:val="clear" w:color="auto" w:fill="FFFFFF"/>
        </w:rPr>
        <w:t>access to age-appropriate information, reproductive and family planning education.</w:t>
      </w:r>
      <w:r w:rsidR="00352245" w:rsidRPr="00C51A8C">
        <w:rPr>
          <w:rStyle w:val="FootnoteReference"/>
          <w:color w:val="000000"/>
          <w:sz w:val="24"/>
          <w:szCs w:val="24"/>
          <w:shd w:val="clear" w:color="auto" w:fill="FFFFFF"/>
        </w:rPr>
        <w:footnoteReference w:id="12"/>
      </w:r>
      <w:r w:rsidR="00352245" w:rsidRPr="00C51A8C">
        <w:rPr>
          <w:color w:val="000000"/>
          <w:sz w:val="24"/>
          <w:szCs w:val="24"/>
          <w:shd w:val="clear" w:color="auto" w:fill="FFFFFF"/>
        </w:rPr>
        <w:t xml:space="preserve"> The CRPD Committee has confirmed that</w:t>
      </w:r>
      <w:r w:rsidR="00352245" w:rsidRPr="00C51A8C">
        <w:rPr>
          <w:sz w:val="24"/>
          <w:szCs w:val="24"/>
        </w:rPr>
        <w:t>, on an equal basis with others, persons with disabilities “must be provided with age-appropriate, comprehensive and inclusive sexuality education, based on scientific evidence and human rights standards, and in accessible formats”.</w:t>
      </w:r>
      <w:r w:rsidR="00352245" w:rsidRPr="00C51A8C">
        <w:rPr>
          <w:rStyle w:val="FootnoteReference"/>
          <w:sz w:val="24"/>
          <w:szCs w:val="24"/>
        </w:rPr>
        <w:footnoteReference w:id="13"/>
      </w:r>
    </w:p>
    <w:p w14:paraId="3F6E41E0" w14:textId="77777777" w:rsidR="00522845" w:rsidRPr="00C51A8C" w:rsidRDefault="00522845" w:rsidP="00A17F70">
      <w:pPr>
        <w:jc w:val="both"/>
        <w:rPr>
          <w:sz w:val="24"/>
          <w:szCs w:val="24"/>
        </w:rPr>
      </w:pPr>
    </w:p>
    <w:p w14:paraId="03E207C5" w14:textId="4FD03833" w:rsidR="00522845" w:rsidRPr="00C51A8C" w:rsidRDefault="002D05DE" w:rsidP="00A17F70">
      <w:pPr>
        <w:jc w:val="both"/>
        <w:rPr>
          <w:iCs/>
          <w:sz w:val="24"/>
          <w:szCs w:val="24"/>
        </w:rPr>
      </w:pPr>
      <w:r w:rsidRPr="00C51A8C">
        <w:rPr>
          <w:sz w:val="24"/>
          <w:szCs w:val="24"/>
        </w:rPr>
        <w:t xml:space="preserve">Currently, </w:t>
      </w:r>
      <w:r w:rsidR="00522845" w:rsidRPr="00C51A8C">
        <w:rPr>
          <w:sz w:val="24"/>
          <w:szCs w:val="24"/>
        </w:rPr>
        <w:t>the NI curriculum</w:t>
      </w:r>
      <w:r w:rsidR="00C51A8C" w:rsidRPr="00C51A8C">
        <w:rPr>
          <w:sz w:val="24"/>
          <w:szCs w:val="24"/>
        </w:rPr>
        <w:t xml:space="preserve"> does not,</w:t>
      </w:r>
      <w:r w:rsidR="00522845" w:rsidRPr="00C51A8C">
        <w:rPr>
          <w:sz w:val="24"/>
          <w:szCs w:val="24"/>
        </w:rPr>
        <w:t xml:space="preserve"> </w:t>
      </w:r>
      <w:r w:rsidRPr="00C51A8C">
        <w:rPr>
          <w:sz w:val="24"/>
          <w:szCs w:val="24"/>
        </w:rPr>
        <w:t>for any</w:t>
      </w:r>
      <w:r w:rsidR="00522845" w:rsidRPr="00C51A8C">
        <w:rPr>
          <w:sz w:val="24"/>
          <w:szCs w:val="24"/>
        </w:rPr>
        <w:t xml:space="preserve"> key stage, refer to sexual or reproductive health education</w:t>
      </w:r>
      <w:r w:rsidRPr="00C51A8C">
        <w:rPr>
          <w:sz w:val="24"/>
          <w:szCs w:val="24"/>
        </w:rPr>
        <w:t xml:space="preserve">. Instead, </w:t>
      </w:r>
      <w:r w:rsidR="00522845" w:rsidRPr="00C51A8C">
        <w:rPr>
          <w:sz w:val="24"/>
          <w:szCs w:val="24"/>
        </w:rPr>
        <w:t xml:space="preserve">its focus is </w:t>
      </w:r>
      <w:r w:rsidR="00522845" w:rsidRPr="00C51A8C">
        <w:rPr>
          <w:iCs/>
          <w:sz w:val="24"/>
          <w:szCs w:val="24"/>
        </w:rPr>
        <w:t>“personal development and mutual understanding” for key stages 1 and 2 (primary school children) and “learning for life and work” in key stages 3 &amp; 4</w:t>
      </w:r>
      <w:r w:rsidRPr="00C51A8C">
        <w:rPr>
          <w:iCs/>
          <w:sz w:val="24"/>
          <w:szCs w:val="24"/>
        </w:rPr>
        <w:t>,</w:t>
      </w:r>
      <w:r w:rsidR="00522845" w:rsidRPr="00C51A8C">
        <w:rPr>
          <w:iCs/>
          <w:sz w:val="24"/>
          <w:szCs w:val="24"/>
        </w:rPr>
        <w:t xml:space="preserve"> which includes “personal development”.</w:t>
      </w:r>
      <w:r w:rsidR="00522845" w:rsidRPr="00C51A8C">
        <w:rPr>
          <w:rStyle w:val="FootnoteReference"/>
          <w:iCs/>
          <w:sz w:val="24"/>
          <w:szCs w:val="24"/>
        </w:rPr>
        <w:footnoteReference w:id="14"/>
      </w:r>
      <w:r w:rsidR="00522845" w:rsidRPr="00C51A8C">
        <w:rPr>
          <w:iCs/>
          <w:sz w:val="24"/>
          <w:szCs w:val="24"/>
        </w:rPr>
        <w:t xml:space="preserve"> </w:t>
      </w:r>
      <w:r w:rsidR="00737BDE" w:rsidRPr="00C51A8C">
        <w:rPr>
          <w:iCs/>
          <w:sz w:val="24"/>
          <w:szCs w:val="24"/>
        </w:rPr>
        <w:t>Gu</w:t>
      </w:r>
      <w:r w:rsidR="00522845" w:rsidRPr="00C51A8C">
        <w:rPr>
          <w:iCs/>
          <w:sz w:val="24"/>
          <w:szCs w:val="24"/>
        </w:rPr>
        <w:t xml:space="preserve">idance has been introduced and a ‘relationship and sexuality hub’ </w:t>
      </w:r>
      <w:r w:rsidRPr="00C51A8C">
        <w:rPr>
          <w:iCs/>
          <w:sz w:val="24"/>
          <w:szCs w:val="24"/>
        </w:rPr>
        <w:t xml:space="preserve">has been </w:t>
      </w:r>
      <w:r w:rsidR="00522845" w:rsidRPr="00C51A8C">
        <w:rPr>
          <w:iCs/>
          <w:sz w:val="24"/>
          <w:szCs w:val="24"/>
        </w:rPr>
        <w:t xml:space="preserve">developed, </w:t>
      </w:r>
      <w:r w:rsidRPr="00C51A8C">
        <w:rPr>
          <w:iCs/>
          <w:sz w:val="24"/>
          <w:szCs w:val="24"/>
        </w:rPr>
        <w:t xml:space="preserve">to </w:t>
      </w:r>
      <w:r w:rsidR="00522845" w:rsidRPr="00C51A8C">
        <w:rPr>
          <w:iCs/>
          <w:sz w:val="24"/>
          <w:szCs w:val="24"/>
        </w:rPr>
        <w:t>provide resources for topics such as</w:t>
      </w:r>
      <w:r w:rsidRPr="00C51A8C">
        <w:rPr>
          <w:iCs/>
          <w:sz w:val="24"/>
          <w:szCs w:val="24"/>
        </w:rPr>
        <w:t>:</w:t>
      </w:r>
      <w:r w:rsidR="00522845" w:rsidRPr="00C51A8C">
        <w:rPr>
          <w:iCs/>
          <w:sz w:val="24"/>
          <w:szCs w:val="24"/>
        </w:rPr>
        <w:t xml:space="preserve"> consent</w:t>
      </w:r>
      <w:r w:rsidRPr="00C51A8C">
        <w:rPr>
          <w:iCs/>
          <w:sz w:val="24"/>
          <w:szCs w:val="24"/>
        </w:rPr>
        <w:t>;</w:t>
      </w:r>
      <w:r w:rsidR="00522845" w:rsidRPr="00C51A8C">
        <w:rPr>
          <w:iCs/>
          <w:sz w:val="24"/>
          <w:szCs w:val="24"/>
        </w:rPr>
        <w:t xml:space="preserve"> contraception</w:t>
      </w:r>
      <w:r w:rsidRPr="00C51A8C">
        <w:rPr>
          <w:iCs/>
          <w:sz w:val="24"/>
          <w:szCs w:val="24"/>
        </w:rPr>
        <w:t>;</w:t>
      </w:r>
      <w:r w:rsidR="00522845" w:rsidRPr="00C51A8C">
        <w:rPr>
          <w:iCs/>
          <w:sz w:val="24"/>
          <w:szCs w:val="24"/>
        </w:rPr>
        <w:t xml:space="preserve"> domestic violence and abuse</w:t>
      </w:r>
      <w:r w:rsidRPr="00C51A8C">
        <w:rPr>
          <w:iCs/>
          <w:sz w:val="24"/>
          <w:szCs w:val="24"/>
        </w:rPr>
        <w:t>;</w:t>
      </w:r>
      <w:r w:rsidR="00522845" w:rsidRPr="00C51A8C">
        <w:rPr>
          <w:iCs/>
          <w:sz w:val="24"/>
          <w:szCs w:val="24"/>
        </w:rPr>
        <w:t xml:space="preserve"> LGBTQ+</w:t>
      </w:r>
      <w:r w:rsidRPr="00C51A8C">
        <w:rPr>
          <w:iCs/>
          <w:sz w:val="24"/>
          <w:szCs w:val="24"/>
        </w:rPr>
        <w:t xml:space="preserve"> issues;</w:t>
      </w:r>
      <w:r w:rsidR="00522845" w:rsidRPr="00C51A8C">
        <w:rPr>
          <w:iCs/>
          <w:sz w:val="24"/>
          <w:szCs w:val="24"/>
        </w:rPr>
        <w:t xml:space="preserve"> </w:t>
      </w:r>
      <w:r w:rsidRPr="00C51A8C">
        <w:rPr>
          <w:iCs/>
          <w:sz w:val="24"/>
          <w:szCs w:val="24"/>
        </w:rPr>
        <w:t>special educational needs;</w:t>
      </w:r>
      <w:r w:rsidR="00522845" w:rsidRPr="00C51A8C">
        <w:rPr>
          <w:iCs/>
          <w:sz w:val="24"/>
          <w:szCs w:val="24"/>
        </w:rPr>
        <w:t xml:space="preserve"> and</w:t>
      </w:r>
      <w:r w:rsidRPr="00C51A8C">
        <w:rPr>
          <w:iCs/>
          <w:sz w:val="24"/>
          <w:szCs w:val="24"/>
        </w:rPr>
        <w:t>,</w:t>
      </w:r>
      <w:r w:rsidR="00522845" w:rsidRPr="00C51A8C">
        <w:rPr>
          <w:iCs/>
          <w:sz w:val="24"/>
          <w:szCs w:val="24"/>
        </w:rPr>
        <w:t xml:space="preserve"> social media</w:t>
      </w:r>
      <w:r w:rsidR="00737BDE" w:rsidRPr="00C51A8C">
        <w:rPr>
          <w:iCs/>
          <w:sz w:val="24"/>
          <w:szCs w:val="24"/>
        </w:rPr>
        <w:t xml:space="preserve">. However, decisions about whether and how to make provision </w:t>
      </w:r>
      <w:r w:rsidR="00522845" w:rsidRPr="00C51A8C">
        <w:rPr>
          <w:iCs/>
          <w:sz w:val="24"/>
          <w:szCs w:val="24"/>
        </w:rPr>
        <w:t>falls to individual school</w:t>
      </w:r>
      <w:r w:rsidR="00737BDE" w:rsidRPr="00C51A8C">
        <w:rPr>
          <w:iCs/>
          <w:sz w:val="24"/>
          <w:szCs w:val="24"/>
        </w:rPr>
        <w:t>s.</w:t>
      </w:r>
      <w:r w:rsidR="00522845" w:rsidRPr="00C51A8C">
        <w:rPr>
          <w:iCs/>
          <w:sz w:val="24"/>
          <w:szCs w:val="24"/>
        </w:rPr>
        <w:t xml:space="preserve"> </w:t>
      </w:r>
    </w:p>
    <w:p w14:paraId="1150B86E" w14:textId="77777777" w:rsidR="00522845" w:rsidRPr="00C51A8C" w:rsidRDefault="00522845" w:rsidP="00A17F70">
      <w:pPr>
        <w:jc w:val="both"/>
        <w:rPr>
          <w:sz w:val="24"/>
          <w:szCs w:val="24"/>
        </w:rPr>
      </w:pPr>
    </w:p>
    <w:p w14:paraId="2D7E1D39" w14:textId="71A522FD" w:rsidR="00DF6999" w:rsidRPr="00A17F70" w:rsidRDefault="00522845" w:rsidP="00A17F70">
      <w:pPr>
        <w:jc w:val="both"/>
        <w:rPr>
          <w:sz w:val="24"/>
        </w:rPr>
      </w:pPr>
      <w:r w:rsidRPr="00C51A8C">
        <w:rPr>
          <w:sz w:val="24"/>
          <w:szCs w:val="24"/>
        </w:rPr>
        <w:t>Focusing specifically on the UK, the UN</w:t>
      </w:r>
      <w:r w:rsidR="00052961">
        <w:rPr>
          <w:sz w:val="24"/>
          <w:szCs w:val="24"/>
        </w:rPr>
        <w:t xml:space="preserve"> </w:t>
      </w:r>
      <w:r w:rsidRPr="00C51A8C">
        <w:rPr>
          <w:sz w:val="24"/>
          <w:szCs w:val="24"/>
        </w:rPr>
        <w:t xml:space="preserve">CRC has </w:t>
      </w:r>
      <w:r w:rsidR="00737BDE" w:rsidRPr="00C51A8C">
        <w:rPr>
          <w:sz w:val="24"/>
          <w:szCs w:val="24"/>
        </w:rPr>
        <w:t>observed that</w:t>
      </w:r>
      <w:r w:rsidRPr="00C51A8C">
        <w:rPr>
          <w:sz w:val="24"/>
          <w:szCs w:val="24"/>
        </w:rPr>
        <w:t xml:space="preserve"> the rate of teenage pregnancy </w:t>
      </w:r>
      <w:r w:rsidR="00737BDE" w:rsidRPr="00C51A8C">
        <w:rPr>
          <w:sz w:val="24"/>
          <w:szCs w:val="24"/>
        </w:rPr>
        <w:t>is</w:t>
      </w:r>
      <w:r w:rsidRPr="00C51A8C">
        <w:rPr>
          <w:sz w:val="24"/>
          <w:szCs w:val="24"/>
        </w:rPr>
        <w:t xml:space="preserve"> higher than the average in the EU, in particular in deprived areas.</w:t>
      </w:r>
      <w:r w:rsidRPr="00C51A8C">
        <w:rPr>
          <w:rStyle w:val="FootnoteReference"/>
          <w:sz w:val="24"/>
          <w:szCs w:val="24"/>
        </w:rPr>
        <w:footnoteReference w:id="15"/>
      </w:r>
      <w:r w:rsidRPr="00C51A8C">
        <w:rPr>
          <w:sz w:val="24"/>
          <w:szCs w:val="24"/>
        </w:rPr>
        <w:t xml:space="preserve"> </w:t>
      </w:r>
      <w:r w:rsidR="00DF6999" w:rsidRPr="00C51A8C">
        <w:rPr>
          <w:sz w:val="24"/>
          <w:szCs w:val="24"/>
        </w:rPr>
        <w:t xml:space="preserve">The </w:t>
      </w:r>
      <w:r w:rsidR="00564030">
        <w:rPr>
          <w:sz w:val="24"/>
          <w:szCs w:val="24"/>
        </w:rPr>
        <w:t xml:space="preserve">UN </w:t>
      </w:r>
      <w:r w:rsidR="00DF6999" w:rsidRPr="00C51A8C">
        <w:rPr>
          <w:sz w:val="24"/>
          <w:szCs w:val="24"/>
        </w:rPr>
        <w:t>CEDAW Committee has highlighted that “NI youth are denied the education necessary to enjoy their sexual and reproductive health and rights”</w:t>
      </w:r>
      <w:r w:rsidR="00DF6999" w:rsidRPr="00C51A8C">
        <w:rPr>
          <w:rStyle w:val="FootnoteReference"/>
          <w:sz w:val="24"/>
          <w:szCs w:val="24"/>
        </w:rPr>
        <w:footnoteReference w:id="16"/>
      </w:r>
      <w:r w:rsidR="00DF6999" w:rsidRPr="00C51A8C">
        <w:rPr>
          <w:sz w:val="24"/>
          <w:szCs w:val="24"/>
        </w:rPr>
        <w:t xml:space="preserve"> and “that access to abortion services and contraceptives are not statutory requirements of the advisory curriculum”.</w:t>
      </w:r>
      <w:r w:rsidR="00DF6999" w:rsidRPr="00C51A8C">
        <w:rPr>
          <w:rStyle w:val="FootnoteReference"/>
          <w:sz w:val="24"/>
          <w:szCs w:val="24"/>
        </w:rPr>
        <w:footnoteReference w:id="17"/>
      </w:r>
      <w:r w:rsidR="00DF6999" w:rsidRPr="00C51A8C">
        <w:rPr>
          <w:sz w:val="24"/>
          <w:szCs w:val="24"/>
        </w:rPr>
        <w:t xml:space="preserve"> The Committee found that the State had failed to prioritise the prevention of unplanned pregnancy through the provision of quality sexuality education. Its lack of oversight on schools’ discretion to deliver the RSE curriculum to ensure that it is evidence based and includes contraceptive use, safe abortion and post-</w:t>
      </w:r>
      <w:r w:rsidR="00DF6999" w:rsidRPr="00C51A8C">
        <w:rPr>
          <w:sz w:val="24"/>
          <w:szCs w:val="24"/>
        </w:rPr>
        <w:lastRenderedPageBreak/>
        <w:t>abortion care was found to violate article 10(h) of CEDAW.</w:t>
      </w:r>
      <w:r w:rsidR="00DF6999" w:rsidRPr="00C51A8C">
        <w:rPr>
          <w:rStyle w:val="FootnoteReference"/>
          <w:sz w:val="24"/>
          <w:szCs w:val="24"/>
        </w:rPr>
        <w:footnoteReference w:id="18"/>
      </w:r>
      <w:r w:rsidR="00DF6999" w:rsidRPr="00C51A8C">
        <w:rPr>
          <w:sz w:val="24"/>
          <w:szCs w:val="24"/>
        </w:rPr>
        <w:t xml:space="preserve"> </w:t>
      </w:r>
    </w:p>
    <w:p w14:paraId="5A33D4E5" w14:textId="77777777" w:rsidR="00DF6999" w:rsidRPr="00C51A8C" w:rsidRDefault="00DF6999" w:rsidP="00A17F70">
      <w:pPr>
        <w:jc w:val="both"/>
        <w:rPr>
          <w:sz w:val="24"/>
          <w:szCs w:val="24"/>
        </w:rPr>
      </w:pPr>
    </w:p>
    <w:p w14:paraId="117B3015" w14:textId="13A4FB22" w:rsidR="00DF6999" w:rsidRPr="00A17F70" w:rsidRDefault="00DF6999" w:rsidP="00A17F70">
      <w:pPr>
        <w:jc w:val="both"/>
        <w:rPr>
          <w:i/>
          <w:sz w:val="24"/>
        </w:rPr>
      </w:pPr>
      <w:r w:rsidRPr="00C51A8C">
        <w:rPr>
          <w:sz w:val="24"/>
          <w:szCs w:val="24"/>
        </w:rPr>
        <w:t>Moreover, Sir John Gillen made specific reference to the need for comprehensive relationship and sexual education in his report following the Gillen Review. He recognised the role such education this plays in the prevention of sexual offences as well as in achieving justice in trials that take place.</w:t>
      </w:r>
      <w:r w:rsidRPr="00C51A8C">
        <w:rPr>
          <w:rStyle w:val="FootnoteReference"/>
          <w:sz w:val="24"/>
          <w:szCs w:val="24"/>
        </w:rPr>
        <w:footnoteReference w:id="19"/>
      </w:r>
      <w:r w:rsidRPr="00C51A8C">
        <w:rPr>
          <w:sz w:val="24"/>
          <w:szCs w:val="24"/>
        </w:rPr>
        <w:t xml:space="preserve"> He further recommended the Department for Education should </w:t>
      </w:r>
      <w:r w:rsidRPr="00C51A8C">
        <w:rPr>
          <w:iCs/>
          <w:sz w:val="24"/>
          <w:szCs w:val="24"/>
        </w:rPr>
        <w:t>“address the need to include in the school curriculum for disabled children, children with sensory disability and those who are members of marginalised communities’ sex education designed in a culturally sensitive manner on matters such as consent, personal space, boundaries, appropriate behaviour, relationships, fears of homophobia and transphobia, gender identity and sexuality.”</w:t>
      </w:r>
      <w:r w:rsidRPr="00C51A8C">
        <w:rPr>
          <w:rStyle w:val="FootnoteReference"/>
          <w:iCs/>
          <w:sz w:val="24"/>
          <w:szCs w:val="24"/>
        </w:rPr>
        <w:footnoteReference w:id="20"/>
      </w:r>
      <w:r w:rsidRPr="00A17F70">
        <w:rPr>
          <w:i/>
          <w:sz w:val="24"/>
        </w:rPr>
        <w:t xml:space="preserve"> </w:t>
      </w:r>
    </w:p>
    <w:p w14:paraId="6F5441D2" w14:textId="77777777" w:rsidR="00DF6999" w:rsidRPr="00A17F70" w:rsidRDefault="00DF6999" w:rsidP="00A17F70">
      <w:pPr>
        <w:jc w:val="both"/>
        <w:rPr>
          <w:sz w:val="24"/>
        </w:rPr>
      </w:pPr>
    </w:p>
    <w:p w14:paraId="0C84D397" w14:textId="60D289D3" w:rsidR="00737BDE" w:rsidRPr="00C51A8C" w:rsidRDefault="00522845" w:rsidP="00C51A8C">
      <w:pPr>
        <w:jc w:val="both"/>
        <w:rPr>
          <w:sz w:val="24"/>
          <w:szCs w:val="24"/>
        </w:rPr>
      </w:pPr>
      <w:r w:rsidRPr="00A17F70">
        <w:rPr>
          <w:sz w:val="24"/>
        </w:rPr>
        <w:t xml:space="preserve">The </w:t>
      </w:r>
      <w:r w:rsidR="0096588B" w:rsidRPr="00C51A8C">
        <w:rPr>
          <w:sz w:val="24"/>
          <w:szCs w:val="24"/>
        </w:rPr>
        <w:t>UN</w:t>
      </w:r>
      <w:r w:rsidR="00564030">
        <w:rPr>
          <w:sz w:val="24"/>
          <w:szCs w:val="24"/>
        </w:rPr>
        <w:t xml:space="preserve"> </w:t>
      </w:r>
      <w:r w:rsidR="0096588B" w:rsidRPr="00C51A8C">
        <w:rPr>
          <w:sz w:val="24"/>
          <w:szCs w:val="24"/>
        </w:rPr>
        <w:t>CRC Committee</w:t>
      </w:r>
      <w:r w:rsidRPr="00C51A8C">
        <w:rPr>
          <w:sz w:val="24"/>
          <w:szCs w:val="24"/>
        </w:rPr>
        <w:t xml:space="preserve"> has also raised concerns at the lack of mandatory </w:t>
      </w:r>
      <w:r w:rsidR="00737BDE" w:rsidRPr="00C51A8C">
        <w:rPr>
          <w:sz w:val="24"/>
          <w:szCs w:val="24"/>
        </w:rPr>
        <w:t xml:space="preserve">training on </w:t>
      </w:r>
      <w:r w:rsidRPr="00C51A8C">
        <w:rPr>
          <w:sz w:val="24"/>
          <w:szCs w:val="24"/>
        </w:rPr>
        <w:t>relationships and sexuality and the variance in quality</w:t>
      </w:r>
      <w:r w:rsidR="00737BDE" w:rsidRPr="00C51A8C">
        <w:rPr>
          <w:sz w:val="24"/>
          <w:szCs w:val="24"/>
        </w:rPr>
        <w:t>,</w:t>
      </w:r>
      <w:r w:rsidRPr="00C51A8C">
        <w:rPr>
          <w:sz w:val="24"/>
          <w:szCs w:val="24"/>
        </w:rPr>
        <w:t xml:space="preserve"> where it is provided.</w:t>
      </w:r>
      <w:r w:rsidRPr="00C51A8C">
        <w:rPr>
          <w:rStyle w:val="FootnoteReference"/>
          <w:sz w:val="24"/>
          <w:szCs w:val="24"/>
        </w:rPr>
        <w:footnoteReference w:id="21"/>
      </w:r>
      <w:r w:rsidRPr="00C51A8C">
        <w:rPr>
          <w:sz w:val="24"/>
          <w:szCs w:val="24"/>
        </w:rPr>
        <w:t xml:space="preserve"> It highlights that lesbian, gay, bisexual, transgender and intersex children do not have access to accurate information on their </w:t>
      </w:r>
      <w:r w:rsidR="00737BDE" w:rsidRPr="00C51A8C">
        <w:rPr>
          <w:sz w:val="24"/>
          <w:szCs w:val="24"/>
        </w:rPr>
        <w:t>own sexuality or gender identity.</w:t>
      </w:r>
      <w:r w:rsidRPr="00C51A8C">
        <w:rPr>
          <w:rStyle w:val="FootnoteReference"/>
          <w:sz w:val="24"/>
          <w:szCs w:val="24"/>
        </w:rPr>
        <w:footnoteReference w:id="22"/>
      </w:r>
      <w:r w:rsidRPr="00C51A8C">
        <w:rPr>
          <w:sz w:val="24"/>
          <w:szCs w:val="24"/>
        </w:rPr>
        <w:t xml:space="preserve"> </w:t>
      </w:r>
    </w:p>
    <w:p w14:paraId="0491F369" w14:textId="77777777" w:rsidR="00737BDE" w:rsidRPr="00C51A8C" w:rsidRDefault="00737BDE" w:rsidP="00C51A8C">
      <w:pPr>
        <w:jc w:val="both"/>
        <w:rPr>
          <w:sz w:val="24"/>
          <w:szCs w:val="24"/>
        </w:rPr>
      </w:pPr>
    </w:p>
    <w:p w14:paraId="695ED1E2" w14:textId="6F4D6A5D" w:rsidR="00737BDE" w:rsidRPr="00C51A8C" w:rsidRDefault="00DF6999" w:rsidP="00C51A8C">
      <w:pPr>
        <w:jc w:val="both"/>
        <w:rPr>
          <w:sz w:val="24"/>
          <w:szCs w:val="24"/>
        </w:rPr>
      </w:pPr>
      <w:r w:rsidRPr="00C51A8C">
        <w:rPr>
          <w:sz w:val="24"/>
          <w:szCs w:val="24"/>
        </w:rPr>
        <w:t>In its 2021 List of Issues Prior to Reporting, the Committee requested further information from the UK Government in respect of teenage pregnancy and explain measures taken to “ensure that mandatory sexual and reproductive health education includes material on sexual orientation and gender identity”.</w:t>
      </w:r>
      <w:r w:rsidRPr="00C51A8C">
        <w:rPr>
          <w:rStyle w:val="FootnoteReference"/>
          <w:sz w:val="24"/>
          <w:szCs w:val="24"/>
        </w:rPr>
        <w:footnoteReference w:id="23"/>
      </w:r>
      <w:r w:rsidRPr="00C51A8C">
        <w:rPr>
          <w:sz w:val="24"/>
          <w:szCs w:val="24"/>
        </w:rPr>
        <w:t xml:space="preserve"> </w:t>
      </w:r>
      <w:r w:rsidR="00737BDE" w:rsidRPr="00C51A8C">
        <w:rPr>
          <w:sz w:val="24"/>
          <w:szCs w:val="24"/>
        </w:rPr>
        <w:t xml:space="preserve">The </w:t>
      </w:r>
      <w:r w:rsidR="00522845" w:rsidRPr="00C51A8C">
        <w:rPr>
          <w:sz w:val="24"/>
          <w:szCs w:val="24"/>
        </w:rPr>
        <w:t>UN</w:t>
      </w:r>
      <w:r w:rsidR="00564030">
        <w:rPr>
          <w:sz w:val="24"/>
          <w:szCs w:val="24"/>
        </w:rPr>
        <w:t xml:space="preserve"> </w:t>
      </w:r>
      <w:r w:rsidR="00522845" w:rsidRPr="00C51A8C">
        <w:rPr>
          <w:sz w:val="24"/>
          <w:szCs w:val="24"/>
        </w:rPr>
        <w:t xml:space="preserve">CRC has also </w:t>
      </w:r>
      <w:r w:rsidR="00737BDE" w:rsidRPr="00C51A8C">
        <w:rPr>
          <w:sz w:val="24"/>
          <w:szCs w:val="24"/>
        </w:rPr>
        <w:t>highlighted</w:t>
      </w:r>
      <w:r w:rsidR="00522845" w:rsidRPr="00C51A8C">
        <w:rPr>
          <w:sz w:val="24"/>
          <w:szCs w:val="24"/>
        </w:rPr>
        <w:t xml:space="preserve"> the importance of finding “proper means and methods of providing information that is adequate and sensitive to the particularities and specific rights of adolescent girls and boys”.</w:t>
      </w:r>
      <w:r w:rsidR="00522845" w:rsidRPr="00C51A8C">
        <w:rPr>
          <w:rStyle w:val="FootnoteReference"/>
          <w:sz w:val="24"/>
          <w:szCs w:val="24"/>
        </w:rPr>
        <w:footnoteReference w:id="24"/>
      </w:r>
      <w:r w:rsidR="00522845" w:rsidRPr="00C51A8C">
        <w:rPr>
          <w:sz w:val="24"/>
          <w:szCs w:val="24"/>
        </w:rPr>
        <w:t xml:space="preserve"> </w:t>
      </w:r>
    </w:p>
    <w:p w14:paraId="18DE1783" w14:textId="77777777" w:rsidR="00737BDE" w:rsidRPr="00C51A8C" w:rsidRDefault="00737BDE" w:rsidP="00C51A8C">
      <w:pPr>
        <w:jc w:val="both"/>
        <w:rPr>
          <w:sz w:val="24"/>
          <w:szCs w:val="24"/>
        </w:rPr>
      </w:pPr>
    </w:p>
    <w:p w14:paraId="60C01FB6" w14:textId="54F55297" w:rsidR="00365522" w:rsidRPr="00C51A8C" w:rsidRDefault="00B14DE9" w:rsidP="00C51A8C">
      <w:pPr>
        <w:jc w:val="both"/>
        <w:rPr>
          <w:sz w:val="24"/>
          <w:szCs w:val="24"/>
        </w:rPr>
      </w:pPr>
      <w:r w:rsidRPr="00C51A8C">
        <w:rPr>
          <w:sz w:val="24"/>
          <w:szCs w:val="24"/>
        </w:rPr>
        <w:t>The UN</w:t>
      </w:r>
      <w:r w:rsidR="00564030">
        <w:rPr>
          <w:sz w:val="24"/>
          <w:szCs w:val="24"/>
        </w:rPr>
        <w:t xml:space="preserve"> </w:t>
      </w:r>
      <w:r w:rsidRPr="00C51A8C">
        <w:rPr>
          <w:sz w:val="24"/>
          <w:szCs w:val="24"/>
        </w:rPr>
        <w:t xml:space="preserve">CRC </w:t>
      </w:r>
      <w:r w:rsidR="00564030">
        <w:rPr>
          <w:sz w:val="24"/>
          <w:szCs w:val="24"/>
        </w:rPr>
        <w:t xml:space="preserve">Committee </w:t>
      </w:r>
      <w:r w:rsidRPr="00C51A8C">
        <w:rPr>
          <w:sz w:val="24"/>
          <w:szCs w:val="24"/>
        </w:rPr>
        <w:t xml:space="preserve">noted that bullying remains a serious and widespread problem particularly against </w:t>
      </w:r>
      <w:proofErr w:type="gramStart"/>
      <w:r w:rsidRPr="00C51A8C">
        <w:rPr>
          <w:sz w:val="24"/>
          <w:szCs w:val="24"/>
        </w:rPr>
        <w:t>a number of</w:t>
      </w:r>
      <w:proofErr w:type="gramEnd"/>
      <w:r w:rsidRPr="00C51A8C">
        <w:rPr>
          <w:sz w:val="24"/>
          <w:szCs w:val="24"/>
        </w:rPr>
        <w:t xml:space="preserve"> </w:t>
      </w:r>
      <w:r w:rsidR="00737BDE" w:rsidRPr="00C51A8C">
        <w:rPr>
          <w:sz w:val="24"/>
          <w:szCs w:val="24"/>
        </w:rPr>
        <w:t xml:space="preserve">vulnerable </w:t>
      </w:r>
      <w:r w:rsidRPr="00C51A8C">
        <w:rPr>
          <w:sz w:val="24"/>
          <w:szCs w:val="24"/>
        </w:rPr>
        <w:t>groups including LGBTQI</w:t>
      </w:r>
      <w:r w:rsidR="00052961">
        <w:rPr>
          <w:sz w:val="24"/>
          <w:szCs w:val="24"/>
        </w:rPr>
        <w:t>+</w:t>
      </w:r>
      <w:r w:rsidRPr="00C51A8C">
        <w:rPr>
          <w:sz w:val="24"/>
          <w:szCs w:val="24"/>
        </w:rPr>
        <w:t xml:space="preserve"> children and children with disabilities</w:t>
      </w:r>
      <w:r w:rsidR="00737BDE" w:rsidRPr="00C51A8C">
        <w:rPr>
          <w:sz w:val="24"/>
          <w:szCs w:val="24"/>
        </w:rPr>
        <w:t>.</w:t>
      </w:r>
      <w:r w:rsidRPr="00C51A8C">
        <w:rPr>
          <w:rStyle w:val="FootnoteReference"/>
          <w:sz w:val="24"/>
          <w:szCs w:val="24"/>
        </w:rPr>
        <w:footnoteReference w:id="25"/>
      </w:r>
      <w:r w:rsidRPr="00C51A8C">
        <w:rPr>
          <w:sz w:val="24"/>
          <w:szCs w:val="24"/>
        </w:rPr>
        <w:t xml:space="preserve"> </w:t>
      </w:r>
      <w:r w:rsidR="00737BDE" w:rsidRPr="00C51A8C">
        <w:rPr>
          <w:sz w:val="24"/>
          <w:szCs w:val="24"/>
        </w:rPr>
        <w:t xml:space="preserve">It also notes the lack of capacity </w:t>
      </w:r>
      <w:r w:rsidRPr="00C51A8C">
        <w:rPr>
          <w:sz w:val="24"/>
          <w:szCs w:val="24"/>
        </w:rPr>
        <w:t>of students and staff members to respect diversity at school.</w:t>
      </w:r>
      <w:r w:rsidRPr="00C51A8C">
        <w:rPr>
          <w:rStyle w:val="FootnoteReference"/>
          <w:sz w:val="24"/>
          <w:szCs w:val="24"/>
        </w:rPr>
        <w:footnoteReference w:id="26"/>
      </w:r>
      <w:r w:rsidRPr="00C51A8C">
        <w:rPr>
          <w:sz w:val="24"/>
          <w:szCs w:val="24"/>
        </w:rPr>
        <w:t xml:space="preserve"> </w:t>
      </w:r>
    </w:p>
    <w:p w14:paraId="1425C562" w14:textId="77777777" w:rsidR="00522845" w:rsidRPr="00C51A8C" w:rsidRDefault="00522845" w:rsidP="00A17F70">
      <w:pPr>
        <w:jc w:val="both"/>
        <w:rPr>
          <w:sz w:val="24"/>
          <w:szCs w:val="24"/>
        </w:rPr>
      </w:pPr>
    </w:p>
    <w:p w14:paraId="0811F43B" w14:textId="2A2F988B" w:rsidR="00522845" w:rsidRPr="00C51A8C" w:rsidRDefault="00522845" w:rsidP="00A17F70">
      <w:pPr>
        <w:pStyle w:val="BasicParagraph"/>
        <w:suppressAutoHyphens/>
        <w:spacing w:line="240" w:lineRule="auto"/>
        <w:jc w:val="both"/>
        <w:rPr>
          <w:rFonts w:ascii="Verdana" w:hAnsi="Verdana" w:cs="Arial"/>
          <w:iCs/>
        </w:rPr>
      </w:pPr>
      <w:r w:rsidRPr="00C51A8C">
        <w:rPr>
          <w:rFonts w:ascii="Verdana" w:hAnsi="Verdana" w:cs="Arial"/>
          <w:iCs/>
        </w:rPr>
        <w:t xml:space="preserve">The Expert Panel Reports, supporting </w:t>
      </w:r>
      <w:r w:rsidRPr="00C51A8C">
        <w:rPr>
          <w:rFonts w:ascii="Verdana" w:hAnsi="Verdana"/>
          <w:color w:val="auto"/>
        </w:rPr>
        <w:t xml:space="preserve">the development of </w:t>
      </w:r>
      <w:r w:rsidRPr="00C51A8C">
        <w:rPr>
          <w:rFonts w:ascii="Verdana" w:hAnsi="Verdana" w:cs="Arial"/>
          <w:iCs/>
          <w:color w:val="auto"/>
        </w:rPr>
        <w:t>the social inclusion strategies including both the Gender Equality Strategy and LGBTQI+ Strategy,</w:t>
      </w:r>
      <w:r w:rsidRPr="00C51A8C">
        <w:rPr>
          <w:rFonts w:ascii="Verdana" w:hAnsi="Verdana" w:cs="Arial"/>
          <w:iCs/>
        </w:rPr>
        <w:t xml:space="preserve"> </w:t>
      </w:r>
      <w:r w:rsidR="0023572C" w:rsidRPr="00C51A8C">
        <w:rPr>
          <w:rFonts w:ascii="Verdana" w:hAnsi="Verdana" w:cs="Arial"/>
          <w:iCs/>
        </w:rPr>
        <w:t xml:space="preserve">have </w:t>
      </w:r>
      <w:r w:rsidRPr="00C51A8C">
        <w:rPr>
          <w:rFonts w:ascii="Verdana" w:hAnsi="Verdana" w:cs="Arial"/>
          <w:iCs/>
        </w:rPr>
        <w:t xml:space="preserve">both made recommendations that inclusive relationships and </w:t>
      </w:r>
      <w:r w:rsidRPr="00C51A8C">
        <w:rPr>
          <w:rFonts w:ascii="Verdana" w:hAnsi="Verdana" w:cs="Arial"/>
          <w:iCs/>
        </w:rPr>
        <w:lastRenderedPageBreak/>
        <w:t>sexuality education should be taught in a comprehensive and standardised way across all schools and that should not be dependent on school ethos.</w:t>
      </w:r>
      <w:r w:rsidRPr="00A17F70">
        <w:rPr>
          <w:rStyle w:val="FootnoteReference"/>
          <w:rFonts w:ascii="Verdana" w:hAnsi="Verdana"/>
        </w:rPr>
        <w:footnoteReference w:id="27"/>
      </w:r>
    </w:p>
    <w:p w14:paraId="33D334AE" w14:textId="39E74470" w:rsidR="00522845" w:rsidRPr="00A17F70" w:rsidRDefault="00522845" w:rsidP="00A17F70">
      <w:pPr>
        <w:pStyle w:val="BasicParagraph"/>
        <w:suppressAutoHyphens/>
        <w:spacing w:line="240" w:lineRule="auto"/>
        <w:jc w:val="both"/>
      </w:pPr>
    </w:p>
    <w:sectPr w:rsidR="00522845" w:rsidRPr="00A17F70" w:rsidSect="00EF7FCE">
      <w:footerReference w:type="default" r:id="rId9"/>
      <w:pgSz w:w="11910" w:h="16840"/>
      <w:pgMar w:top="1340" w:right="1320" w:bottom="1280" w:left="1340" w:header="0"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5F03" w14:textId="77777777" w:rsidR="00F62AB1" w:rsidRDefault="00F62AB1" w:rsidP="00B57CBF">
      <w:r>
        <w:separator/>
      </w:r>
    </w:p>
  </w:endnote>
  <w:endnote w:type="continuationSeparator" w:id="0">
    <w:p w14:paraId="1E030503" w14:textId="77777777" w:rsidR="00F62AB1" w:rsidRDefault="00F62AB1" w:rsidP="00B57CBF">
      <w:r>
        <w:continuationSeparator/>
      </w:r>
    </w:p>
  </w:endnote>
  <w:endnote w:type="continuationNotice" w:id="1">
    <w:p w14:paraId="6821ACE8" w14:textId="77777777" w:rsidR="00F62AB1" w:rsidRDefault="00F62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D5C5" w14:textId="77777777" w:rsidR="007610BF" w:rsidRDefault="00F556D3">
    <w:pPr>
      <w:pStyle w:val="BodyText"/>
      <w:spacing w:line="14" w:lineRule="auto"/>
      <w:rPr>
        <w:sz w:val="20"/>
      </w:rPr>
    </w:pPr>
    <w:r>
      <w:rPr>
        <w:noProof/>
        <w:lang w:eastAsia="en-GB"/>
      </w:rPr>
      <mc:AlternateContent>
        <mc:Choice Requires="wps">
          <w:drawing>
            <wp:anchor distT="0" distB="0" distL="114300" distR="114300" simplePos="0" relativeHeight="251659264" behindDoc="1" locked="0" layoutInCell="1" allowOverlap="1" wp14:anchorId="2680163C" wp14:editId="1AE1D1E4">
              <wp:simplePos x="0" y="0"/>
              <wp:positionH relativeFrom="page">
                <wp:posOffset>6416040</wp:posOffset>
              </wp:positionH>
              <wp:positionV relativeFrom="page">
                <wp:posOffset>9860280</wp:posOffset>
              </wp:positionV>
              <wp:extent cx="284480" cy="21082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1488" w14:textId="523EB646" w:rsidR="007610BF" w:rsidRDefault="00F556D3">
                          <w:pPr>
                            <w:pStyle w:val="BodyText"/>
                            <w:spacing w:before="20"/>
                            <w:ind w:left="60"/>
                          </w:pPr>
                          <w:r>
                            <w:fldChar w:fldCharType="begin"/>
                          </w:r>
                          <w:r>
                            <w:instrText xml:space="preserve"> PAGE </w:instrText>
                          </w:r>
                          <w:r>
                            <w:fldChar w:fldCharType="separate"/>
                          </w:r>
                          <w:r w:rsidR="009E08D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0163C" id="_x0000_t202" coordsize="21600,21600" o:spt="202" path="m,l,21600r21600,l21600,xe">
              <v:stroke joinstyle="miter"/>
              <v:path gradientshapeok="t" o:connecttype="rect"/>
            </v:shapetype>
            <v:shape id="docshape1" o:spid="_x0000_s1026" type="#_x0000_t202" style="position:absolute;margin-left:505.2pt;margin-top:776.4pt;width:22.4pt;height:16.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0D1qwIAAKcFAAAOAAAAZHJzL2Uyb0RvYy54bWysVG1vmzAQ/j5p/8Hyd8rLSAqopGpDmCZ1&#10;L1K3H+BgE6yBzWwn0E377zubkiatJk3b+GCd7fNz99w93NX12LXowJTmUuQ4vAgwYqKSlItdjr98&#10;Lr0EI22IoKSVguX4gWl8vXr96mroMxbJRraUKQQgQmdDn+PGmD7zfV01rCP6QvZMwGUtVUcMbNXO&#10;p4oMgN61fhQES3+QivZKVkxrOC2mS7xy+HXNKvOxrjUzqM0x5Gbcqty6tau/uiLZTpG+4dVjGuQv&#10;sugIFxD0CFUQQ9Be8RdQHa+U1LI2F5XsfFnXvGKOA7AJg2ds7hvSM8cFiqP7Y5n0/4OtPhw+KcRp&#10;jiOMBOmgRVRW2gYObXGGXmfgc9+Dlxlv5QhNdkR1fyerrxoJuW6I2LEbpeTQMEIhOffSP3k64WgL&#10;sh3eSwpRyN5IBzTWqrOVg1ogQIcmPRwbw0aDKjiMkjhO4KaCqygMksg1zifZ/LhX2rxlskPWyLGC&#10;vjtwcrjTBmiA6+xiYwlZ8rZ1vW/F2QE4TicQGp7aO5uEa+WPNEg3ySaJvThabrw4KArvplzH3rIM&#10;LxfFm2K9LsKfNm4YZw2nlAkbZpZVGP9Z2x4FPgniKCwtW04tnE1Jq9123Sp0ICDr0n22WZD8iZt/&#10;noa7Bi7PKIVRHNxGqVcuk0svLuOFl14GiReE6W26DOI0LspzSndcsH+nhIYcp4toMWnpt9wC973k&#10;RrKOGxgcLe9ynBydSGYVuBHUtdYQ3k72SSls+k+lgIrNjXZ6tRKdxGrG7QgoVsRbSR9AuUqCskCE&#10;MO3AaKT6jtEAkyPH+tueKIZR+06A+u2YmQ01G9vZIKKCpzk2GE3m2kzjaN8rvmsAefq/hLyBP6Tm&#10;Tr1PWUDqdgPTwJF4nFx23JzundfTfF39AgAA//8DAFBLAwQUAAYACAAAACEApGWs7d8AAAAPAQAA&#10;DwAAAGRycy9kb3ducmV2LnhtbExPQU7DMBC8I/EHa5G4UbsVjUqIU1UITkiINBw4Osk2sRqvQ+y2&#10;4fdsTvQ2szOancm2k+vFGcdgPWlYLhQIpNo3lloNX+XbwwZEiIYa03tCDb8YYJvf3mQmbfyFCjzv&#10;Yys4hEJqNHQxDqmUoe7QmbDwAxJrBz86E5mOrWxGc+Fw18uVUol0xhJ/6MyALx3Wx/3Jadh9U/Fq&#10;fz6qz+JQ2LJ8UvSeHLW+v5t2zyAiTvHfDHN9rg45d6r8iZogeuZqqR7Zy2i9XvGK2aMYgqjm2yZR&#10;IPNMXu/I/wAAAP//AwBQSwECLQAUAAYACAAAACEAtoM4kv4AAADhAQAAEwAAAAAAAAAAAAAAAAAA&#10;AAAAW0NvbnRlbnRfVHlwZXNdLnhtbFBLAQItABQABgAIAAAAIQA4/SH/1gAAAJQBAAALAAAAAAAA&#10;AAAAAAAAAC8BAABfcmVscy8ucmVsc1BLAQItABQABgAIAAAAIQC5d0D1qwIAAKcFAAAOAAAAAAAA&#10;AAAAAAAAAC4CAABkcnMvZTJvRG9jLnhtbFBLAQItABQABgAIAAAAIQCkZazt3wAAAA8BAAAPAAAA&#10;AAAAAAAAAAAAAAUFAABkcnMvZG93bnJldi54bWxQSwUGAAAAAAQABADzAAAAEQYAAAAA&#10;" filled="f" stroked="f">
              <v:textbox inset="0,0,0,0">
                <w:txbxContent>
                  <w:p w14:paraId="1EB51488" w14:textId="523EB646" w:rsidR="007610BF" w:rsidRDefault="00F556D3">
                    <w:pPr>
                      <w:pStyle w:val="BodyText"/>
                      <w:spacing w:before="20"/>
                      <w:ind w:left="60"/>
                    </w:pPr>
                    <w:r>
                      <w:fldChar w:fldCharType="begin"/>
                    </w:r>
                    <w:r>
                      <w:instrText xml:space="preserve"> PAGE </w:instrText>
                    </w:r>
                    <w:r>
                      <w:fldChar w:fldCharType="separate"/>
                    </w:r>
                    <w:r w:rsidR="009E08DE">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00623" w14:textId="77777777" w:rsidR="00F62AB1" w:rsidRDefault="00F62AB1" w:rsidP="00B57CBF">
      <w:r>
        <w:separator/>
      </w:r>
    </w:p>
  </w:footnote>
  <w:footnote w:type="continuationSeparator" w:id="0">
    <w:p w14:paraId="14DAD4DB" w14:textId="77777777" w:rsidR="00F62AB1" w:rsidRDefault="00F62AB1" w:rsidP="00B57CBF">
      <w:r>
        <w:continuationSeparator/>
      </w:r>
    </w:p>
  </w:footnote>
  <w:footnote w:type="continuationNotice" w:id="1">
    <w:p w14:paraId="59395274" w14:textId="77777777" w:rsidR="00F62AB1" w:rsidRDefault="00F62AB1"/>
  </w:footnote>
  <w:footnote w:id="2">
    <w:p w14:paraId="412610DF" w14:textId="77777777" w:rsidR="00703522" w:rsidRPr="00B06729" w:rsidRDefault="00703522" w:rsidP="00C51A8C">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CEDAW/C/OP.8/GBR/1, ‘UN CEDAW Committee Inquiry Concerning the United Kingdom of Great Britain and Northern Ireland under Article 8 of the Optional Protocol to the UN CEDAW Report of the Committee’, 6 March 2018, at para 86(d).</w:t>
      </w:r>
    </w:p>
  </w:footnote>
  <w:footnote w:id="3">
    <w:p w14:paraId="643DE65A" w14:textId="77777777" w:rsidR="00522845" w:rsidRPr="00565102" w:rsidRDefault="00522845" w:rsidP="00A17F70">
      <w:pPr>
        <w:pStyle w:val="Heading3"/>
        <w:spacing w:before="0"/>
        <w:jc w:val="both"/>
        <w:rPr>
          <w:rFonts w:ascii="Verdana" w:eastAsia="Times New Roman" w:hAnsi="Verdana" w:cs="Times New Roman"/>
          <w:color w:val="77328A"/>
          <w:sz w:val="16"/>
          <w:szCs w:val="16"/>
        </w:rPr>
      </w:pPr>
      <w:r w:rsidRPr="00565102">
        <w:rPr>
          <w:rStyle w:val="FootnoteReference"/>
          <w:rFonts w:ascii="Verdana" w:hAnsi="Verdana"/>
          <w:color w:val="77328A"/>
          <w:sz w:val="16"/>
          <w:szCs w:val="16"/>
        </w:rPr>
        <w:footnoteRef/>
      </w:r>
      <w:r w:rsidRPr="00565102">
        <w:rPr>
          <w:rFonts w:ascii="Verdana" w:hAnsi="Verdana"/>
          <w:color w:val="77328A"/>
          <w:sz w:val="16"/>
          <w:szCs w:val="16"/>
        </w:rPr>
        <w:t xml:space="preserve"> </w:t>
      </w:r>
      <w:r w:rsidR="00B14DE9" w:rsidRPr="00565102">
        <w:rPr>
          <w:rFonts w:ascii="Verdana" w:hAnsi="Verdana"/>
          <w:color w:val="77328A"/>
          <w:sz w:val="16"/>
          <w:szCs w:val="16"/>
        </w:rPr>
        <w:t xml:space="preserve">CRC/GC/2003/41, ‘UN Committee on the Rights of the Child General Comment No.4: Adolescent health and development in the context of the Convention on the Rights of the Child, July 2003 </w:t>
      </w:r>
      <w:r w:rsidRPr="00565102">
        <w:rPr>
          <w:rFonts w:ascii="Verdana" w:hAnsi="Verdana"/>
          <w:color w:val="77328A"/>
          <w:sz w:val="16"/>
          <w:szCs w:val="16"/>
        </w:rPr>
        <w:t>at para 24.</w:t>
      </w:r>
    </w:p>
  </w:footnote>
  <w:footnote w:id="4">
    <w:p w14:paraId="35BAF252" w14:textId="77777777" w:rsidR="00522845" w:rsidRPr="00565102" w:rsidRDefault="00522845" w:rsidP="00A17F70">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CRC/C/GBR/CO/5, ‘Committee on the Rights of the Child Concluding observations on the fifth periodic report of the United Kingdom of Great Britain and Northern Ireland’, 12 July 2016 at para 65(b). </w:t>
      </w:r>
    </w:p>
  </w:footnote>
  <w:footnote w:id="5">
    <w:p w14:paraId="5FEF15A5" w14:textId="77777777" w:rsidR="00522845" w:rsidRPr="00565102" w:rsidRDefault="00522845" w:rsidP="00A17F70">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w:t>
      </w:r>
      <w:r w:rsidR="00B14DE9" w:rsidRPr="00565102">
        <w:rPr>
          <w:color w:val="77328A"/>
          <w:sz w:val="16"/>
          <w:szCs w:val="16"/>
        </w:rPr>
        <w:t xml:space="preserve">CRC/GC/2003/41, ‘UN Committee on the Rights of the Child General Comment No.4: Adolescent health and development in the context of the Convention on the Rights of the Child, July 2003 at paras </w:t>
      </w:r>
      <w:r w:rsidRPr="00565102">
        <w:rPr>
          <w:color w:val="77328A"/>
          <w:sz w:val="16"/>
          <w:szCs w:val="16"/>
        </w:rPr>
        <w:t>24, 27.</w:t>
      </w:r>
    </w:p>
  </w:footnote>
  <w:footnote w:id="6">
    <w:p w14:paraId="721E3D52" w14:textId="77777777" w:rsidR="00522845" w:rsidRPr="00565102" w:rsidRDefault="00522845" w:rsidP="00A17F70">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CRC/C/GBR/CO/5, ‘Committee on the Rights of the Child Concluding observations on the fifth periodic report of the United Kingdom of Great Britain and Northern Ireland’, 12 July 2016 at para 65(b).</w:t>
      </w:r>
    </w:p>
  </w:footnote>
  <w:footnote w:id="7">
    <w:p w14:paraId="0D235F97" w14:textId="77777777" w:rsidR="008622C7" w:rsidRPr="00565102" w:rsidRDefault="008622C7" w:rsidP="00A17F70">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CESCR, Article 12.</w:t>
      </w:r>
    </w:p>
  </w:footnote>
  <w:footnote w:id="8">
    <w:p w14:paraId="2116CD71" w14:textId="77777777" w:rsidR="008622C7" w:rsidRPr="00565102" w:rsidRDefault="008622C7" w:rsidP="00A17F70">
      <w:pPr>
        <w:pStyle w:val="Heading2"/>
        <w:spacing w:before="0"/>
        <w:jc w:val="both"/>
        <w:rPr>
          <w:rFonts w:ascii="Times New Roman" w:eastAsia="Times New Roman" w:hAnsi="Times New Roman" w:cs="Times New Roman"/>
          <w:color w:val="77328A"/>
          <w:sz w:val="16"/>
          <w:szCs w:val="16"/>
        </w:rPr>
      </w:pPr>
      <w:r w:rsidRPr="00565102">
        <w:rPr>
          <w:rStyle w:val="FootnoteReference"/>
          <w:rFonts w:ascii="Verdana" w:hAnsi="Verdana"/>
          <w:color w:val="77328A"/>
          <w:sz w:val="16"/>
          <w:szCs w:val="16"/>
        </w:rPr>
        <w:footnoteRef/>
      </w:r>
      <w:r w:rsidRPr="00565102">
        <w:rPr>
          <w:rFonts w:ascii="Verdana" w:hAnsi="Verdana"/>
          <w:color w:val="77328A"/>
          <w:sz w:val="16"/>
          <w:szCs w:val="16"/>
        </w:rPr>
        <w:t xml:space="preserve"> E/C.12/GC/22, ‘UN Committee on Economic, Social and Cultural Rights General Comment No.22 on the right to sexual and reproductive health (article 12 of the International Covenant on Economic, Social and Cultural Rights) 2 May 2016 at paras 9, 47. </w:t>
      </w:r>
    </w:p>
  </w:footnote>
  <w:footnote w:id="9">
    <w:p w14:paraId="02D43AA0" w14:textId="77777777" w:rsidR="008622C7" w:rsidRPr="00C51A8C" w:rsidRDefault="008622C7" w:rsidP="00A17F70">
      <w:pPr>
        <w:pStyle w:val="FootnoteText"/>
        <w:spacing w:line="240" w:lineRule="auto"/>
        <w:jc w:val="both"/>
        <w:rPr>
          <w:color w:val="7030A0"/>
          <w:sz w:val="16"/>
          <w:szCs w:val="16"/>
        </w:rPr>
      </w:pPr>
      <w:r w:rsidRPr="00565102">
        <w:rPr>
          <w:rStyle w:val="FootnoteReference"/>
          <w:color w:val="77328A"/>
          <w:sz w:val="16"/>
          <w:szCs w:val="16"/>
        </w:rPr>
        <w:footnoteRef/>
      </w:r>
      <w:r w:rsidRPr="00565102">
        <w:rPr>
          <w:color w:val="77328A"/>
          <w:sz w:val="16"/>
          <w:szCs w:val="16"/>
        </w:rPr>
        <w:t xml:space="preserve"> E/C.12/GC/22, ‘UN Committee on Economic, Social and Cultural Rights General Comment No.22 on the right to sexual and reproductive health (article 12 of the International Covenant on Economic, Social and Cultural Rights) 2 May 2016 at para 28.</w:t>
      </w:r>
    </w:p>
  </w:footnote>
  <w:footnote w:id="10">
    <w:p w14:paraId="22D9C60C" w14:textId="77777777" w:rsidR="008622C7" w:rsidRPr="00565102" w:rsidRDefault="008622C7" w:rsidP="00A17F70">
      <w:pPr>
        <w:pStyle w:val="FootnoteText"/>
        <w:spacing w:line="240" w:lineRule="auto"/>
        <w:jc w:val="both"/>
        <w:rPr>
          <w:color w:val="77328A"/>
          <w:sz w:val="16"/>
        </w:rPr>
      </w:pPr>
      <w:r w:rsidRPr="00565102">
        <w:rPr>
          <w:rStyle w:val="FootnoteReference"/>
          <w:color w:val="77328A"/>
          <w:sz w:val="16"/>
          <w:szCs w:val="16"/>
        </w:rPr>
        <w:footnoteRef/>
      </w:r>
      <w:r w:rsidRPr="00565102">
        <w:rPr>
          <w:color w:val="77328A"/>
          <w:sz w:val="16"/>
          <w:szCs w:val="16"/>
        </w:rPr>
        <w:t xml:space="preserve"> E/C.12/GC/22, ‘UN Committee on Economic, Social and Cultural Rights General Comment No.22 on the right to sexual and reproductive health (article 12 of the International Covenant on Economic, Social and Cultural Rights) 2 May 2016 at para 49(f).</w:t>
      </w:r>
    </w:p>
  </w:footnote>
  <w:footnote w:id="11">
    <w:p w14:paraId="178F7D80" w14:textId="7839607D" w:rsidR="00522845" w:rsidRPr="00565102" w:rsidRDefault="00522845" w:rsidP="00A17F70">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CRC/C/GBR/CO/5, ‘Committee on the Rights of the Child Concluding observations on the fifth periodic report of the United Kingdom of Great Britain and Northern Ireland’, 12 July 2016 at para 31(a). </w:t>
      </w:r>
    </w:p>
  </w:footnote>
  <w:footnote w:id="12">
    <w:p w14:paraId="76CE5863" w14:textId="77777777" w:rsidR="00352245" w:rsidRPr="00565102" w:rsidRDefault="00352245" w:rsidP="00A17F70">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UNCRPD, Article 23(1)(b)</w:t>
      </w:r>
    </w:p>
  </w:footnote>
  <w:footnote w:id="13">
    <w:p w14:paraId="6521B357" w14:textId="77777777" w:rsidR="00352245" w:rsidRPr="00565102" w:rsidRDefault="00352245" w:rsidP="00A17F70">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CRPD/C/GC/4, ‘</w:t>
      </w:r>
      <w:r w:rsidR="00365522" w:rsidRPr="00565102">
        <w:rPr>
          <w:color w:val="77328A"/>
          <w:sz w:val="16"/>
          <w:szCs w:val="16"/>
        </w:rPr>
        <w:t xml:space="preserve">UN CRPD Committee </w:t>
      </w:r>
      <w:r w:rsidRPr="00565102">
        <w:rPr>
          <w:color w:val="77328A"/>
          <w:sz w:val="16"/>
          <w:szCs w:val="16"/>
        </w:rPr>
        <w:t>General</w:t>
      </w:r>
      <w:r w:rsidR="00365522" w:rsidRPr="00565102">
        <w:rPr>
          <w:color w:val="77328A"/>
          <w:sz w:val="16"/>
          <w:szCs w:val="16"/>
        </w:rPr>
        <w:t xml:space="preserve"> Comment No. 4 (2016) on the right to inclusive education’, 26 November 2016</w:t>
      </w:r>
      <w:r w:rsidRPr="00565102">
        <w:rPr>
          <w:color w:val="77328A"/>
          <w:sz w:val="16"/>
          <w:szCs w:val="16"/>
        </w:rPr>
        <w:t xml:space="preserve"> </w:t>
      </w:r>
      <w:r w:rsidR="00365522" w:rsidRPr="00565102">
        <w:rPr>
          <w:color w:val="77328A"/>
          <w:sz w:val="16"/>
          <w:szCs w:val="16"/>
        </w:rPr>
        <w:t xml:space="preserve">at </w:t>
      </w:r>
      <w:r w:rsidRPr="00565102">
        <w:rPr>
          <w:color w:val="77328A"/>
          <w:sz w:val="16"/>
          <w:szCs w:val="16"/>
        </w:rPr>
        <w:t>para 54.</w:t>
      </w:r>
    </w:p>
  </w:footnote>
  <w:footnote w:id="14">
    <w:p w14:paraId="58EA07AA" w14:textId="77777777" w:rsidR="00522845" w:rsidRPr="00565102" w:rsidRDefault="00522845" w:rsidP="00A17F70">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w:t>
      </w:r>
      <w:r w:rsidRPr="00565102">
        <w:rPr>
          <w:iCs/>
          <w:color w:val="77328A"/>
          <w:sz w:val="16"/>
          <w:szCs w:val="16"/>
        </w:rPr>
        <w:t xml:space="preserve">The Education (Curriculum Minimum Content) Order (NI) 2007 – </w:t>
      </w:r>
      <w:r w:rsidR="00BD1596" w:rsidRPr="00565102">
        <w:rPr>
          <w:iCs/>
          <w:color w:val="77328A"/>
          <w:sz w:val="16"/>
          <w:szCs w:val="16"/>
        </w:rPr>
        <w:t>Schedule 2 part 1</w:t>
      </w:r>
    </w:p>
  </w:footnote>
  <w:footnote w:id="15">
    <w:p w14:paraId="2534F6A7" w14:textId="77777777" w:rsidR="00522845" w:rsidRPr="00C51A8C" w:rsidRDefault="00522845" w:rsidP="00C51A8C">
      <w:pPr>
        <w:pStyle w:val="FootnoteText"/>
        <w:spacing w:line="240" w:lineRule="auto"/>
        <w:jc w:val="both"/>
        <w:rPr>
          <w:color w:val="7030A0"/>
          <w:sz w:val="16"/>
          <w:szCs w:val="16"/>
        </w:rPr>
      </w:pPr>
      <w:r w:rsidRPr="00565102">
        <w:rPr>
          <w:rStyle w:val="FootnoteReference"/>
          <w:color w:val="77328A"/>
          <w:sz w:val="16"/>
          <w:szCs w:val="16"/>
        </w:rPr>
        <w:footnoteRef/>
      </w:r>
      <w:r w:rsidRPr="00565102">
        <w:rPr>
          <w:color w:val="77328A"/>
          <w:sz w:val="16"/>
          <w:szCs w:val="16"/>
        </w:rPr>
        <w:t xml:space="preserve"> CRC/C/GBR/CO/5, ‘Committee on the Rights of the Child Concluding observations on the fifth periodic report of the United Kingdom of Great Britain and Northern Ireland’, 12 July 2016 at para 64(a).</w:t>
      </w:r>
    </w:p>
  </w:footnote>
  <w:footnote w:id="16">
    <w:p w14:paraId="48172CA0" w14:textId="77777777" w:rsidR="00DF6999" w:rsidRPr="00565102" w:rsidRDefault="00DF6999" w:rsidP="00A17F70">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CEDAW/C/OP.8/GBR/1, ‘UN CEDAW Committee Inquiry Concerning the United Kingdom of Great Britain and Northern Ireland under Article 8 of the Optional Protocol to the UN CEDAW Report of the Committee’, 6 March 2018, at para 43.</w:t>
      </w:r>
    </w:p>
  </w:footnote>
  <w:footnote w:id="17">
    <w:p w14:paraId="3C17C998" w14:textId="77777777" w:rsidR="00DF6999" w:rsidRPr="00565102" w:rsidRDefault="00DF6999" w:rsidP="00A17F70">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CEDAW/C/OP.8/GBR/1, ‘UN CEDAW Committee Inquiry Concerning the United Kingdom of Great Britain and Northern Ireland under Article 8 of the Optional Protocol to the UN CEDAW Report of the Committee’, 6 March 2018, at para 44.</w:t>
      </w:r>
    </w:p>
  </w:footnote>
  <w:footnote w:id="18">
    <w:p w14:paraId="779DB364" w14:textId="77777777" w:rsidR="00DF6999" w:rsidRPr="00565102" w:rsidRDefault="00DF6999" w:rsidP="00A17F70">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CEDAW/C/OP.8/GBR/1, ‘UN CEDAW Committee Inquiry Concerning the United Kingdom of Great Britain and Northern Ireland under Article 8 of the Optional Protocol to the UN CEDAW Report of the Committee’, 6 March 2018, at para 76.</w:t>
      </w:r>
    </w:p>
  </w:footnote>
  <w:footnote w:id="19">
    <w:p w14:paraId="015BA232" w14:textId="4C379984" w:rsidR="00DF6999" w:rsidRPr="00565102" w:rsidRDefault="00DF6999" w:rsidP="00A17F70">
      <w:pPr>
        <w:jc w:val="both"/>
        <w:rPr>
          <w:color w:val="77328A"/>
          <w:sz w:val="16"/>
        </w:rPr>
      </w:pPr>
      <w:r w:rsidRPr="00565102">
        <w:rPr>
          <w:rStyle w:val="FootnoteReference"/>
          <w:color w:val="77328A"/>
          <w:sz w:val="16"/>
        </w:rPr>
        <w:footnoteRef/>
      </w:r>
      <w:r w:rsidRPr="00565102">
        <w:rPr>
          <w:color w:val="77328A"/>
          <w:sz w:val="16"/>
        </w:rPr>
        <w:t xml:space="preserve"> </w:t>
      </w:r>
      <w:r w:rsidRPr="00565102">
        <w:rPr>
          <w:color w:val="77328A"/>
          <w:sz w:val="16"/>
          <w:szCs w:val="16"/>
        </w:rPr>
        <w:t>Sir John Gillen, ‘Report into the law and procedures in serious sexual offences in Northern Ireland- Recommendations’ (</w:t>
      </w:r>
      <w:proofErr w:type="spellStart"/>
      <w:r w:rsidRPr="00565102">
        <w:rPr>
          <w:color w:val="77328A"/>
          <w:sz w:val="16"/>
          <w:szCs w:val="16"/>
        </w:rPr>
        <w:t>DoJ</w:t>
      </w:r>
      <w:proofErr w:type="spellEnd"/>
      <w:r w:rsidRPr="00565102">
        <w:rPr>
          <w:color w:val="77328A"/>
          <w:sz w:val="16"/>
          <w:szCs w:val="16"/>
        </w:rPr>
        <w:t>, 2019), at recommendation 4, p.1.</w:t>
      </w:r>
    </w:p>
  </w:footnote>
  <w:footnote w:id="20">
    <w:p w14:paraId="3369F610" w14:textId="77777777" w:rsidR="00DF6999" w:rsidRPr="00565102" w:rsidRDefault="00DF6999" w:rsidP="00A17F70">
      <w:pPr>
        <w:pStyle w:val="FootnoteText"/>
        <w:spacing w:line="240" w:lineRule="auto"/>
        <w:jc w:val="both"/>
        <w:rPr>
          <w:color w:val="77328A"/>
          <w:sz w:val="16"/>
          <w:szCs w:val="16"/>
        </w:rPr>
      </w:pPr>
      <w:r w:rsidRPr="00565102">
        <w:rPr>
          <w:rStyle w:val="FootnoteReference"/>
          <w:color w:val="77328A"/>
          <w:sz w:val="16"/>
        </w:rPr>
        <w:footnoteRef/>
      </w:r>
      <w:r w:rsidRPr="00565102">
        <w:rPr>
          <w:color w:val="77328A"/>
          <w:sz w:val="16"/>
        </w:rPr>
        <w:t xml:space="preserve"> </w:t>
      </w:r>
      <w:r w:rsidRPr="00565102">
        <w:rPr>
          <w:color w:val="77328A"/>
          <w:sz w:val="16"/>
          <w:szCs w:val="16"/>
        </w:rPr>
        <w:t>Sir John Gillen, ‘Report into the law and procedures in serious sexual offences in Northern Ireland- Recommendations’ (</w:t>
      </w:r>
      <w:proofErr w:type="spellStart"/>
      <w:r w:rsidRPr="00565102">
        <w:rPr>
          <w:color w:val="77328A"/>
          <w:sz w:val="16"/>
          <w:szCs w:val="16"/>
        </w:rPr>
        <w:t>DoJ</w:t>
      </w:r>
      <w:proofErr w:type="spellEnd"/>
      <w:r w:rsidRPr="00565102">
        <w:rPr>
          <w:color w:val="77328A"/>
          <w:sz w:val="16"/>
          <w:szCs w:val="16"/>
        </w:rPr>
        <w:t xml:space="preserve">, 2019), at p.450, para 181. </w:t>
      </w:r>
    </w:p>
  </w:footnote>
  <w:footnote w:id="21">
    <w:p w14:paraId="7BE71BBD" w14:textId="77777777" w:rsidR="00522845" w:rsidRPr="00565102" w:rsidRDefault="00522845" w:rsidP="00C51A8C">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CRC/C/GBR/CO/5, ‘Committee on the Rights of the Child Concluding observations on the fifth periodic report of the United Kingdom of Great Britain and Northern Ireland’, 12 July 2016 at para 64(b). </w:t>
      </w:r>
    </w:p>
  </w:footnote>
  <w:footnote w:id="22">
    <w:p w14:paraId="6C200EE7" w14:textId="1A9066E5" w:rsidR="00522845" w:rsidRPr="00565102" w:rsidRDefault="00522845" w:rsidP="00C51A8C">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w:t>
      </w:r>
      <w:r w:rsidR="006331CE">
        <w:rPr>
          <w:color w:val="77328A"/>
          <w:sz w:val="16"/>
          <w:szCs w:val="16"/>
        </w:rPr>
        <w:t>Ibid.</w:t>
      </w:r>
      <w:r w:rsidRPr="00565102">
        <w:rPr>
          <w:color w:val="77328A"/>
          <w:sz w:val="16"/>
          <w:szCs w:val="16"/>
        </w:rPr>
        <w:t xml:space="preserve"> </w:t>
      </w:r>
    </w:p>
  </w:footnote>
  <w:footnote w:id="23">
    <w:p w14:paraId="0FB9D467" w14:textId="77777777" w:rsidR="00DF6999" w:rsidRPr="00C51A8C" w:rsidRDefault="00DF6999" w:rsidP="00C51A8C">
      <w:pPr>
        <w:pStyle w:val="FootnoteText"/>
        <w:spacing w:line="240" w:lineRule="auto"/>
        <w:jc w:val="both"/>
        <w:rPr>
          <w:color w:val="7030A0"/>
          <w:sz w:val="16"/>
          <w:szCs w:val="16"/>
        </w:rPr>
      </w:pPr>
      <w:r w:rsidRPr="00565102">
        <w:rPr>
          <w:rStyle w:val="FootnoteReference"/>
          <w:color w:val="77328A"/>
          <w:sz w:val="16"/>
          <w:szCs w:val="16"/>
        </w:rPr>
        <w:footnoteRef/>
      </w:r>
      <w:r w:rsidRPr="00565102">
        <w:rPr>
          <w:color w:val="77328A"/>
          <w:sz w:val="16"/>
          <w:szCs w:val="16"/>
        </w:rPr>
        <w:t xml:space="preserve">  CRC/C/GBR/QPR/6-7, ‘UN Committee on the Rights of the Child,</w:t>
      </w:r>
      <w:r w:rsidRPr="00565102">
        <w:rPr>
          <w:color w:val="77328A"/>
          <w:sz w:val="16"/>
          <w:szCs w:val="16"/>
          <w:lang w:eastAsia="zh-CN"/>
        </w:rPr>
        <w:t xml:space="preserve"> List of issues prior to submission of the combined sixth and seventh reports of the United Kingdom of Great Britain and Northern Ireland’, </w:t>
      </w:r>
      <w:r w:rsidRPr="00565102">
        <w:rPr>
          <w:color w:val="77328A"/>
          <w:sz w:val="16"/>
          <w:szCs w:val="16"/>
        </w:rPr>
        <w:t>4 March 2021 at para 29(e).</w:t>
      </w:r>
    </w:p>
  </w:footnote>
  <w:footnote w:id="24">
    <w:p w14:paraId="24E8ADD4" w14:textId="77777777" w:rsidR="00522845" w:rsidRPr="00565102" w:rsidRDefault="00522845" w:rsidP="00C51A8C">
      <w:pPr>
        <w:pStyle w:val="FootnoteText"/>
        <w:spacing w:line="240" w:lineRule="auto"/>
        <w:jc w:val="both"/>
        <w:rPr>
          <w:color w:val="77328A"/>
          <w:sz w:val="16"/>
          <w:szCs w:val="16"/>
          <w:highlight w:val="yellow"/>
        </w:rPr>
      </w:pPr>
      <w:r w:rsidRPr="00565102">
        <w:rPr>
          <w:rStyle w:val="FootnoteReference"/>
          <w:color w:val="77328A"/>
          <w:sz w:val="16"/>
          <w:szCs w:val="16"/>
        </w:rPr>
        <w:footnoteRef/>
      </w:r>
      <w:r w:rsidR="00B14DE9" w:rsidRPr="00565102">
        <w:rPr>
          <w:color w:val="77328A"/>
          <w:sz w:val="16"/>
          <w:szCs w:val="16"/>
        </w:rPr>
        <w:t xml:space="preserve"> CRC/GC/2003/41, ‘UN Committee on the Rights of the Child General Comment No.4: Adolescent health and development in the context of the Convention on the Rights of the Child, July 2003 at para </w:t>
      </w:r>
      <w:r w:rsidRPr="00565102">
        <w:rPr>
          <w:color w:val="77328A"/>
          <w:sz w:val="16"/>
          <w:szCs w:val="16"/>
        </w:rPr>
        <w:t xml:space="preserve">24. </w:t>
      </w:r>
    </w:p>
  </w:footnote>
  <w:footnote w:id="25">
    <w:p w14:paraId="0D6165E0" w14:textId="77777777" w:rsidR="00B14DE9" w:rsidRPr="00565102" w:rsidRDefault="00B14DE9" w:rsidP="00C51A8C">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CRC/C/GBR/CO/5, ‘Committee on the Rights of the Child Concluding observations on the fifth periodic report of the United Kingdom of Great Britain and Northern Ireland’, 12 July 2016 at para 48(a).</w:t>
      </w:r>
    </w:p>
  </w:footnote>
  <w:footnote w:id="26">
    <w:p w14:paraId="6C8DFD44" w14:textId="736FE13B" w:rsidR="00B14DE9" w:rsidRPr="00565102" w:rsidRDefault="00B14DE9" w:rsidP="00C51A8C">
      <w:pPr>
        <w:pStyle w:val="FootnoteText"/>
        <w:spacing w:line="240" w:lineRule="auto"/>
        <w:jc w:val="both"/>
        <w:rPr>
          <w:color w:val="77328A"/>
          <w:sz w:val="16"/>
          <w:szCs w:val="16"/>
        </w:rPr>
      </w:pPr>
      <w:r w:rsidRPr="00565102">
        <w:rPr>
          <w:rStyle w:val="FootnoteReference"/>
          <w:color w:val="77328A"/>
          <w:sz w:val="16"/>
          <w:szCs w:val="16"/>
        </w:rPr>
        <w:footnoteRef/>
      </w:r>
      <w:r w:rsidRPr="00565102">
        <w:rPr>
          <w:color w:val="77328A"/>
          <w:sz w:val="16"/>
          <w:szCs w:val="16"/>
        </w:rPr>
        <w:t xml:space="preserve"> </w:t>
      </w:r>
      <w:r w:rsidR="006331CE">
        <w:rPr>
          <w:color w:val="77328A"/>
          <w:sz w:val="16"/>
          <w:szCs w:val="16"/>
        </w:rPr>
        <w:t>Ibid,</w:t>
      </w:r>
      <w:r w:rsidRPr="00565102">
        <w:rPr>
          <w:color w:val="77328A"/>
          <w:sz w:val="16"/>
          <w:szCs w:val="16"/>
        </w:rPr>
        <w:t xml:space="preserve"> at para 49(a).</w:t>
      </w:r>
    </w:p>
  </w:footnote>
  <w:footnote w:id="27">
    <w:p w14:paraId="3220AAC3" w14:textId="77777777" w:rsidR="00522845" w:rsidRPr="00C51A8C" w:rsidRDefault="00522845" w:rsidP="00A17F70">
      <w:pPr>
        <w:pStyle w:val="FootnoteText"/>
        <w:spacing w:line="240" w:lineRule="auto"/>
        <w:jc w:val="both"/>
        <w:rPr>
          <w:color w:val="7030A0"/>
          <w:sz w:val="16"/>
          <w:szCs w:val="16"/>
        </w:rPr>
      </w:pPr>
      <w:r w:rsidRPr="00565102">
        <w:rPr>
          <w:rStyle w:val="FootnoteReference"/>
          <w:color w:val="77328A"/>
          <w:sz w:val="16"/>
          <w:szCs w:val="16"/>
        </w:rPr>
        <w:footnoteRef/>
      </w:r>
      <w:r w:rsidRPr="00565102">
        <w:rPr>
          <w:color w:val="77328A"/>
          <w:sz w:val="16"/>
          <w:szCs w:val="16"/>
        </w:rPr>
        <w:t xml:space="preserve"> Department for Communities, 'Gender Equality Strategy Expert Advisory Panel Report', (</w:t>
      </w:r>
      <w:proofErr w:type="spellStart"/>
      <w:r w:rsidRPr="00565102">
        <w:rPr>
          <w:color w:val="77328A"/>
          <w:sz w:val="16"/>
          <w:szCs w:val="16"/>
        </w:rPr>
        <w:t>DfC</w:t>
      </w:r>
      <w:proofErr w:type="spellEnd"/>
      <w:r w:rsidRPr="00565102">
        <w:rPr>
          <w:color w:val="77328A"/>
          <w:sz w:val="16"/>
          <w:szCs w:val="16"/>
        </w:rPr>
        <w:t>, 2021) and Department for Communities, ' LGBTQI+ Strategy Expert Advisory Panel – Themes and Recommendations, (</w:t>
      </w:r>
      <w:proofErr w:type="spellStart"/>
      <w:r w:rsidRPr="00565102">
        <w:rPr>
          <w:color w:val="77328A"/>
          <w:sz w:val="16"/>
          <w:szCs w:val="16"/>
        </w:rPr>
        <w:t>DfC</w:t>
      </w:r>
      <w:proofErr w:type="spellEnd"/>
      <w:r w:rsidRPr="00565102">
        <w:rPr>
          <w:color w:val="77328A"/>
          <w:sz w:val="16"/>
          <w:szCs w:val="16"/>
        </w:rPr>
        <w:t>, 2021).</w:t>
      </w:r>
      <w:r w:rsidRPr="00565102">
        <w:rPr>
          <w:color w:val="FF000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799B"/>
    <w:multiLevelType w:val="hybridMultilevel"/>
    <w:tmpl w:val="E86AE234"/>
    <w:lvl w:ilvl="0" w:tplc="9C20F4CC">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81A71"/>
    <w:multiLevelType w:val="hybridMultilevel"/>
    <w:tmpl w:val="52B0C3BC"/>
    <w:lvl w:ilvl="0" w:tplc="B08A3302">
      <w:numFmt w:val="bullet"/>
      <w:lvlText w:val=""/>
      <w:lvlJc w:val="left"/>
      <w:pPr>
        <w:ind w:left="460" w:hanging="360"/>
      </w:pPr>
      <w:rPr>
        <w:rFonts w:ascii="Symbol" w:eastAsia="Verdana" w:hAnsi="Symbol" w:cs="Verdana"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35262357"/>
    <w:multiLevelType w:val="multilevel"/>
    <w:tmpl w:val="4E86F912"/>
    <w:lvl w:ilvl="0">
      <w:start w:val="1"/>
      <w:numFmt w:val="decimal"/>
      <w:lvlText w:val="%1.0"/>
      <w:lvlJc w:val="left"/>
      <w:pPr>
        <w:ind w:left="720" w:hanging="720"/>
      </w:pPr>
      <w:rPr>
        <w:rFonts w:hint="default"/>
      </w:rPr>
    </w:lvl>
    <w:lvl w:ilvl="1">
      <w:numFmt w:val="decimal"/>
      <w:lvlText w:val="%1.%2"/>
      <w:lvlJc w:val="left"/>
      <w:pPr>
        <w:ind w:left="720" w:hanging="720"/>
      </w:pPr>
      <w:rPr>
        <w:rFonts w:ascii="Verdana" w:hAnsi="Verdana" w:hint="default"/>
        <w:b w:val="0"/>
        <w:color w:val="auto"/>
        <w:sz w:val="24"/>
        <w:szCs w:val="24"/>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 w15:restartNumberingAfterBreak="0">
    <w:nsid w:val="397616F2"/>
    <w:multiLevelType w:val="hybridMultilevel"/>
    <w:tmpl w:val="12ACC19A"/>
    <w:lvl w:ilvl="0" w:tplc="B08A3302">
      <w:numFmt w:val="bullet"/>
      <w:lvlText w:val=""/>
      <w:lvlJc w:val="left"/>
      <w:pPr>
        <w:ind w:left="460" w:hanging="360"/>
      </w:pPr>
      <w:rPr>
        <w:rFonts w:ascii="Symbol" w:eastAsia="Verdana" w:hAnsi="Symbol"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5164E"/>
    <w:multiLevelType w:val="hybridMultilevel"/>
    <w:tmpl w:val="AA146E20"/>
    <w:lvl w:ilvl="0" w:tplc="1F2641FE">
      <w:start w:val="1"/>
      <w:numFmt w:val="decimal"/>
      <w:lvlText w:val="%1."/>
      <w:lvlJc w:val="left"/>
      <w:pPr>
        <w:ind w:left="496" w:hanging="396"/>
      </w:pPr>
      <w:rPr>
        <w:rFonts w:ascii="Verdana" w:eastAsia="Verdana" w:hAnsi="Verdana" w:cs="Verdana" w:hint="default"/>
        <w:b/>
        <w:bCs/>
        <w:i w:val="0"/>
        <w:iCs w:val="0"/>
        <w:spacing w:val="-1"/>
        <w:w w:val="100"/>
        <w:sz w:val="28"/>
        <w:szCs w:val="28"/>
        <w:lang w:val="en-GB" w:eastAsia="en-US" w:bidi="ar-SA"/>
      </w:rPr>
    </w:lvl>
    <w:lvl w:ilvl="1" w:tplc="5B44C3F6">
      <w:start w:val="1"/>
      <w:numFmt w:val="decimal"/>
      <w:lvlText w:val="%2."/>
      <w:lvlJc w:val="left"/>
      <w:pPr>
        <w:ind w:left="820" w:hanging="360"/>
      </w:pPr>
      <w:rPr>
        <w:rFonts w:ascii="Verdana" w:eastAsia="Verdana" w:hAnsi="Verdana" w:cs="Verdana"/>
        <w:b w:val="0"/>
        <w:bCs w:val="0"/>
        <w:i w:val="0"/>
        <w:iCs w:val="0"/>
        <w:w w:val="100"/>
        <w:sz w:val="24"/>
        <w:szCs w:val="24"/>
        <w:lang w:val="en-GB" w:eastAsia="en-US" w:bidi="ar-SA"/>
      </w:rPr>
    </w:lvl>
    <w:lvl w:ilvl="2" w:tplc="84E022D0">
      <w:numFmt w:val="bullet"/>
      <w:lvlText w:val="•"/>
      <w:lvlJc w:val="left"/>
      <w:pPr>
        <w:ind w:left="1756" w:hanging="360"/>
      </w:pPr>
      <w:rPr>
        <w:rFonts w:hint="default"/>
        <w:lang w:val="en-GB" w:eastAsia="en-US" w:bidi="ar-SA"/>
      </w:rPr>
    </w:lvl>
    <w:lvl w:ilvl="3" w:tplc="D01C5B12">
      <w:numFmt w:val="bullet"/>
      <w:lvlText w:val="•"/>
      <w:lvlJc w:val="left"/>
      <w:pPr>
        <w:ind w:left="2692" w:hanging="360"/>
      </w:pPr>
      <w:rPr>
        <w:rFonts w:hint="default"/>
        <w:lang w:val="en-GB" w:eastAsia="en-US" w:bidi="ar-SA"/>
      </w:rPr>
    </w:lvl>
    <w:lvl w:ilvl="4" w:tplc="1AFA45C0">
      <w:numFmt w:val="bullet"/>
      <w:lvlText w:val="•"/>
      <w:lvlJc w:val="left"/>
      <w:pPr>
        <w:ind w:left="3628" w:hanging="360"/>
      </w:pPr>
      <w:rPr>
        <w:rFonts w:hint="default"/>
        <w:lang w:val="en-GB" w:eastAsia="en-US" w:bidi="ar-SA"/>
      </w:rPr>
    </w:lvl>
    <w:lvl w:ilvl="5" w:tplc="4B30C45C">
      <w:numFmt w:val="bullet"/>
      <w:lvlText w:val="•"/>
      <w:lvlJc w:val="left"/>
      <w:pPr>
        <w:ind w:left="4565" w:hanging="360"/>
      </w:pPr>
      <w:rPr>
        <w:rFonts w:hint="default"/>
        <w:lang w:val="en-GB" w:eastAsia="en-US" w:bidi="ar-SA"/>
      </w:rPr>
    </w:lvl>
    <w:lvl w:ilvl="6" w:tplc="B7E0C002">
      <w:numFmt w:val="bullet"/>
      <w:lvlText w:val="•"/>
      <w:lvlJc w:val="left"/>
      <w:pPr>
        <w:ind w:left="5501" w:hanging="360"/>
      </w:pPr>
      <w:rPr>
        <w:rFonts w:hint="default"/>
        <w:lang w:val="en-GB" w:eastAsia="en-US" w:bidi="ar-SA"/>
      </w:rPr>
    </w:lvl>
    <w:lvl w:ilvl="7" w:tplc="8BE2BD86">
      <w:numFmt w:val="bullet"/>
      <w:lvlText w:val="•"/>
      <w:lvlJc w:val="left"/>
      <w:pPr>
        <w:ind w:left="6437" w:hanging="360"/>
      </w:pPr>
      <w:rPr>
        <w:rFonts w:hint="default"/>
        <w:lang w:val="en-GB" w:eastAsia="en-US" w:bidi="ar-SA"/>
      </w:rPr>
    </w:lvl>
    <w:lvl w:ilvl="8" w:tplc="372E62EA">
      <w:numFmt w:val="bullet"/>
      <w:lvlText w:val="•"/>
      <w:lvlJc w:val="left"/>
      <w:pPr>
        <w:ind w:left="7373" w:hanging="360"/>
      </w:pPr>
      <w:rPr>
        <w:rFonts w:hint="default"/>
        <w:lang w:val="en-GB" w:eastAsia="en-US" w:bidi="ar-SA"/>
      </w:rPr>
    </w:lvl>
  </w:abstractNum>
  <w:abstractNum w:abstractNumId="5" w15:restartNumberingAfterBreak="0">
    <w:nsid w:val="7D5F79DD"/>
    <w:multiLevelType w:val="hybridMultilevel"/>
    <w:tmpl w:val="DFF8E6C4"/>
    <w:lvl w:ilvl="0" w:tplc="B08A3302">
      <w:numFmt w:val="bullet"/>
      <w:lvlText w:val=""/>
      <w:lvlJc w:val="left"/>
      <w:pPr>
        <w:ind w:left="720" w:hanging="360"/>
      </w:pPr>
      <w:rPr>
        <w:rFonts w:ascii="Symbol" w:eastAsia="Verdana" w:hAnsi="Symbol"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04"/>
    <w:rsid w:val="0000314A"/>
    <w:rsid w:val="00005550"/>
    <w:rsid w:val="00052961"/>
    <w:rsid w:val="00066D55"/>
    <w:rsid w:val="000A6272"/>
    <w:rsid w:val="000B0099"/>
    <w:rsid w:val="000D0193"/>
    <w:rsid w:val="00143FA3"/>
    <w:rsid w:val="001519E8"/>
    <w:rsid w:val="001B00A9"/>
    <w:rsid w:val="0023572C"/>
    <w:rsid w:val="00236C6E"/>
    <w:rsid w:val="002373DE"/>
    <w:rsid w:val="00242D38"/>
    <w:rsid w:val="002514AC"/>
    <w:rsid w:val="002609DB"/>
    <w:rsid w:val="002D05DE"/>
    <w:rsid w:val="0030031A"/>
    <w:rsid w:val="00302DE4"/>
    <w:rsid w:val="003073FD"/>
    <w:rsid w:val="003430AB"/>
    <w:rsid w:val="00352245"/>
    <w:rsid w:val="00357C7B"/>
    <w:rsid w:val="00360EA6"/>
    <w:rsid w:val="00365522"/>
    <w:rsid w:val="0036681D"/>
    <w:rsid w:val="00375362"/>
    <w:rsid w:val="003B4DC5"/>
    <w:rsid w:val="003D77B9"/>
    <w:rsid w:val="00425298"/>
    <w:rsid w:val="00427481"/>
    <w:rsid w:val="004B6863"/>
    <w:rsid w:val="004F1CB2"/>
    <w:rsid w:val="0050621D"/>
    <w:rsid w:val="00514F5E"/>
    <w:rsid w:val="00522845"/>
    <w:rsid w:val="00535C90"/>
    <w:rsid w:val="005416EE"/>
    <w:rsid w:val="00564030"/>
    <w:rsid w:val="00565102"/>
    <w:rsid w:val="00571677"/>
    <w:rsid w:val="00581033"/>
    <w:rsid w:val="00594320"/>
    <w:rsid w:val="005A1CC0"/>
    <w:rsid w:val="005B7B0A"/>
    <w:rsid w:val="005D2334"/>
    <w:rsid w:val="005D545A"/>
    <w:rsid w:val="00620D04"/>
    <w:rsid w:val="006331CE"/>
    <w:rsid w:val="00634F49"/>
    <w:rsid w:val="006505F0"/>
    <w:rsid w:val="00656438"/>
    <w:rsid w:val="00697568"/>
    <w:rsid w:val="006A5C0F"/>
    <w:rsid w:val="006E0B6F"/>
    <w:rsid w:val="00703522"/>
    <w:rsid w:val="0070362E"/>
    <w:rsid w:val="00706F0E"/>
    <w:rsid w:val="00707D39"/>
    <w:rsid w:val="007111A6"/>
    <w:rsid w:val="00716707"/>
    <w:rsid w:val="007242E8"/>
    <w:rsid w:val="00737BDE"/>
    <w:rsid w:val="00745C74"/>
    <w:rsid w:val="007B1BFD"/>
    <w:rsid w:val="007C0AAE"/>
    <w:rsid w:val="008622C7"/>
    <w:rsid w:val="00882CB3"/>
    <w:rsid w:val="008847D5"/>
    <w:rsid w:val="008B4DD5"/>
    <w:rsid w:val="008D059F"/>
    <w:rsid w:val="008D3246"/>
    <w:rsid w:val="008F38ED"/>
    <w:rsid w:val="009061D9"/>
    <w:rsid w:val="00923A1C"/>
    <w:rsid w:val="00926D5A"/>
    <w:rsid w:val="009324F0"/>
    <w:rsid w:val="009441FF"/>
    <w:rsid w:val="009442DF"/>
    <w:rsid w:val="00945E5E"/>
    <w:rsid w:val="00950A85"/>
    <w:rsid w:val="009566D0"/>
    <w:rsid w:val="00963825"/>
    <w:rsid w:val="0096588B"/>
    <w:rsid w:val="009756E7"/>
    <w:rsid w:val="009908BC"/>
    <w:rsid w:val="009A6544"/>
    <w:rsid w:val="009B1ABE"/>
    <w:rsid w:val="009D466C"/>
    <w:rsid w:val="009E08DE"/>
    <w:rsid w:val="009E63A2"/>
    <w:rsid w:val="009F53C8"/>
    <w:rsid w:val="00A0564E"/>
    <w:rsid w:val="00A05A96"/>
    <w:rsid w:val="00A166F7"/>
    <w:rsid w:val="00A17F70"/>
    <w:rsid w:val="00A512EC"/>
    <w:rsid w:val="00A8794D"/>
    <w:rsid w:val="00A92432"/>
    <w:rsid w:val="00A9360F"/>
    <w:rsid w:val="00AC77A1"/>
    <w:rsid w:val="00B06729"/>
    <w:rsid w:val="00B14DE9"/>
    <w:rsid w:val="00B57CBF"/>
    <w:rsid w:val="00BA7FC0"/>
    <w:rsid w:val="00BB3B2A"/>
    <w:rsid w:val="00BD1596"/>
    <w:rsid w:val="00BE4DA5"/>
    <w:rsid w:val="00C2042D"/>
    <w:rsid w:val="00C26D8E"/>
    <w:rsid w:val="00C44DA9"/>
    <w:rsid w:val="00C51A8C"/>
    <w:rsid w:val="00C538DE"/>
    <w:rsid w:val="00C5576D"/>
    <w:rsid w:val="00C81FAE"/>
    <w:rsid w:val="00CA73AB"/>
    <w:rsid w:val="00CB47C4"/>
    <w:rsid w:val="00D058B1"/>
    <w:rsid w:val="00D2161D"/>
    <w:rsid w:val="00D232ED"/>
    <w:rsid w:val="00D356DB"/>
    <w:rsid w:val="00DD6C4F"/>
    <w:rsid w:val="00DF6999"/>
    <w:rsid w:val="00E033E3"/>
    <w:rsid w:val="00E049E4"/>
    <w:rsid w:val="00E15AA6"/>
    <w:rsid w:val="00E208CC"/>
    <w:rsid w:val="00E22E5D"/>
    <w:rsid w:val="00E32FCA"/>
    <w:rsid w:val="00E34B95"/>
    <w:rsid w:val="00E76CDE"/>
    <w:rsid w:val="00E95266"/>
    <w:rsid w:val="00EE6C3B"/>
    <w:rsid w:val="00EF7FCE"/>
    <w:rsid w:val="00F076B3"/>
    <w:rsid w:val="00F11442"/>
    <w:rsid w:val="00F37EB4"/>
    <w:rsid w:val="00F41AEF"/>
    <w:rsid w:val="00F556D3"/>
    <w:rsid w:val="00F62AB1"/>
    <w:rsid w:val="00F72A36"/>
    <w:rsid w:val="00F94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F416AF"/>
  <w15:chartTrackingRefBased/>
  <w15:docId w15:val="{559808D4-A016-4CD2-AD7A-F3C1FBEA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20D04"/>
    <w:pPr>
      <w:widowControl w:val="0"/>
      <w:autoSpaceDE w:val="0"/>
      <w:autoSpaceDN w:val="0"/>
      <w:spacing w:after="0" w:line="240" w:lineRule="auto"/>
    </w:pPr>
    <w:rPr>
      <w:rFonts w:ascii="Verdana" w:eastAsia="Verdana" w:hAnsi="Verdana" w:cs="Verdana"/>
    </w:rPr>
  </w:style>
  <w:style w:type="paragraph" w:styleId="Heading1">
    <w:name w:val="heading 1"/>
    <w:basedOn w:val="Normal"/>
    <w:link w:val="Heading1Char"/>
    <w:uiPriority w:val="1"/>
    <w:qFormat/>
    <w:rsid w:val="00620D04"/>
    <w:pPr>
      <w:ind w:left="496" w:hanging="397"/>
      <w:outlineLvl w:val="0"/>
    </w:pPr>
    <w:rPr>
      <w:b/>
      <w:bCs/>
      <w:sz w:val="28"/>
      <w:szCs w:val="28"/>
    </w:rPr>
  </w:style>
  <w:style w:type="paragraph" w:styleId="Heading2">
    <w:name w:val="heading 2"/>
    <w:basedOn w:val="Normal"/>
    <w:next w:val="Normal"/>
    <w:link w:val="Heading2Char"/>
    <w:uiPriority w:val="9"/>
    <w:unhideWhenUsed/>
    <w:qFormat/>
    <w:rsid w:val="009908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4DE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20D04"/>
    <w:rPr>
      <w:rFonts w:ascii="Verdana" w:eastAsia="Verdana" w:hAnsi="Verdana" w:cs="Verdana"/>
      <w:b/>
      <w:bCs/>
      <w:sz w:val="28"/>
      <w:szCs w:val="28"/>
    </w:rPr>
  </w:style>
  <w:style w:type="paragraph" w:styleId="BodyText">
    <w:name w:val="Body Text"/>
    <w:basedOn w:val="Normal"/>
    <w:link w:val="BodyTextChar"/>
    <w:uiPriority w:val="1"/>
    <w:qFormat/>
    <w:rsid w:val="00620D04"/>
    <w:rPr>
      <w:sz w:val="24"/>
      <w:szCs w:val="24"/>
    </w:rPr>
  </w:style>
  <w:style w:type="character" w:customStyle="1" w:styleId="BodyTextChar">
    <w:name w:val="Body Text Char"/>
    <w:basedOn w:val="DefaultParagraphFont"/>
    <w:link w:val="BodyText"/>
    <w:uiPriority w:val="1"/>
    <w:rsid w:val="00620D04"/>
    <w:rPr>
      <w:rFonts w:ascii="Verdana" w:eastAsia="Verdana" w:hAnsi="Verdana" w:cs="Verdana"/>
      <w:sz w:val="24"/>
      <w:szCs w:val="24"/>
    </w:rPr>
  </w:style>
  <w:style w:type="paragraph" w:styleId="Title">
    <w:name w:val="Title"/>
    <w:basedOn w:val="Normal"/>
    <w:link w:val="TitleChar"/>
    <w:uiPriority w:val="1"/>
    <w:qFormat/>
    <w:rsid w:val="00620D04"/>
    <w:pPr>
      <w:spacing w:before="225"/>
      <w:ind w:left="2817" w:hanging="1952"/>
    </w:pPr>
    <w:rPr>
      <w:b/>
      <w:bCs/>
      <w:sz w:val="32"/>
      <w:szCs w:val="32"/>
    </w:rPr>
  </w:style>
  <w:style w:type="character" w:customStyle="1" w:styleId="TitleChar">
    <w:name w:val="Title Char"/>
    <w:basedOn w:val="DefaultParagraphFont"/>
    <w:link w:val="Title"/>
    <w:uiPriority w:val="1"/>
    <w:rsid w:val="00620D04"/>
    <w:rPr>
      <w:rFonts w:ascii="Verdana" w:eastAsia="Verdana" w:hAnsi="Verdana" w:cs="Verdana"/>
      <w:b/>
      <w:bCs/>
      <w:sz w:val="32"/>
      <w:szCs w:val="32"/>
    </w:rPr>
  </w:style>
  <w:style w:type="paragraph" w:styleId="ListParagraph">
    <w:name w:val="List Paragraph"/>
    <w:basedOn w:val="Normal"/>
    <w:uiPriority w:val="34"/>
    <w:qFormat/>
    <w:rsid w:val="00620D04"/>
    <w:pPr>
      <w:ind w:left="820" w:hanging="360"/>
      <w:jc w:val="both"/>
    </w:pPr>
  </w:style>
  <w:style w:type="paragraph" w:customStyle="1" w:styleId="TableParagraph">
    <w:name w:val="Table Paragraph"/>
    <w:basedOn w:val="Normal"/>
    <w:uiPriority w:val="1"/>
    <w:qFormat/>
    <w:rsid w:val="00620D04"/>
  </w:style>
  <w:style w:type="paragraph" w:styleId="Header">
    <w:name w:val="header"/>
    <w:basedOn w:val="Normal"/>
    <w:link w:val="HeaderChar"/>
    <w:uiPriority w:val="99"/>
    <w:unhideWhenUsed/>
    <w:rsid w:val="00B57CBF"/>
    <w:pPr>
      <w:tabs>
        <w:tab w:val="center" w:pos="4513"/>
        <w:tab w:val="right" w:pos="9026"/>
      </w:tabs>
    </w:pPr>
  </w:style>
  <w:style w:type="character" w:customStyle="1" w:styleId="HeaderChar">
    <w:name w:val="Header Char"/>
    <w:basedOn w:val="DefaultParagraphFont"/>
    <w:link w:val="Header"/>
    <w:uiPriority w:val="99"/>
    <w:rsid w:val="00B57CBF"/>
    <w:rPr>
      <w:rFonts w:ascii="Verdana" w:eastAsia="Verdana" w:hAnsi="Verdana" w:cs="Verdana"/>
    </w:rPr>
  </w:style>
  <w:style w:type="paragraph" w:styleId="Footer">
    <w:name w:val="footer"/>
    <w:basedOn w:val="Normal"/>
    <w:link w:val="FooterChar"/>
    <w:uiPriority w:val="99"/>
    <w:unhideWhenUsed/>
    <w:rsid w:val="00B57CBF"/>
    <w:pPr>
      <w:tabs>
        <w:tab w:val="center" w:pos="4513"/>
        <w:tab w:val="right" w:pos="9026"/>
      </w:tabs>
    </w:pPr>
  </w:style>
  <w:style w:type="character" w:customStyle="1" w:styleId="FooterChar">
    <w:name w:val="Footer Char"/>
    <w:basedOn w:val="DefaultParagraphFont"/>
    <w:link w:val="Footer"/>
    <w:uiPriority w:val="99"/>
    <w:rsid w:val="00B57CBF"/>
    <w:rPr>
      <w:rFonts w:ascii="Verdana" w:eastAsia="Verdana" w:hAnsi="Verdana" w:cs="Verdana"/>
    </w:rPr>
  </w:style>
  <w:style w:type="paragraph" w:customStyle="1" w:styleId="BasicParagraph">
    <w:name w:val="[Basic Paragraph]"/>
    <w:basedOn w:val="Normal"/>
    <w:uiPriority w:val="99"/>
    <w:rsid w:val="003430AB"/>
    <w:pPr>
      <w:adjustRightInd w:val="0"/>
      <w:spacing w:line="288" w:lineRule="auto"/>
      <w:textAlignment w:val="center"/>
    </w:pPr>
    <w:rPr>
      <w:rFonts w:ascii="MinionPro-Regular" w:eastAsiaTheme="minorEastAsia" w:hAnsi="MinionPro-Regular" w:cs="MinionPro-Regular"/>
      <w:color w:val="000000"/>
      <w:sz w:val="24"/>
      <w:szCs w:val="24"/>
    </w:rPr>
  </w:style>
  <w:style w:type="paragraph" w:styleId="FootnoteText">
    <w:name w:val="footnote text"/>
    <w:basedOn w:val="Normal"/>
    <w:link w:val="FootnoteTextChar"/>
    <w:uiPriority w:val="99"/>
    <w:unhideWhenUsed/>
    <w:rsid w:val="003430AB"/>
    <w:pPr>
      <w:widowControl/>
      <w:autoSpaceDE/>
      <w:autoSpaceDN/>
      <w:spacing w:line="288" w:lineRule="auto"/>
    </w:pPr>
    <w:rPr>
      <w:rFonts w:eastAsiaTheme="minorEastAsia" w:cstheme="minorBidi"/>
      <w:sz w:val="24"/>
      <w:szCs w:val="24"/>
    </w:rPr>
  </w:style>
  <w:style w:type="character" w:customStyle="1" w:styleId="FootnoteTextChar">
    <w:name w:val="Footnote Text Char"/>
    <w:basedOn w:val="DefaultParagraphFont"/>
    <w:link w:val="FootnoteText"/>
    <w:uiPriority w:val="99"/>
    <w:rsid w:val="003430AB"/>
    <w:rPr>
      <w:rFonts w:ascii="Verdana" w:eastAsiaTheme="minorEastAsia" w:hAnsi="Verdana"/>
      <w:sz w:val="24"/>
      <w:szCs w:val="24"/>
    </w:rPr>
  </w:style>
  <w:style w:type="character" w:styleId="FootnoteReference">
    <w:name w:val="footnote reference"/>
    <w:basedOn w:val="DefaultParagraphFont"/>
    <w:uiPriority w:val="99"/>
    <w:unhideWhenUsed/>
    <w:rsid w:val="003430AB"/>
    <w:rPr>
      <w:vertAlign w:val="superscript"/>
    </w:rPr>
  </w:style>
  <w:style w:type="paragraph" w:styleId="Quote">
    <w:name w:val="Quote"/>
    <w:basedOn w:val="Normal"/>
    <w:next w:val="Normal"/>
    <w:link w:val="QuoteChar"/>
    <w:uiPriority w:val="29"/>
    <w:qFormat/>
    <w:rsid w:val="003430AB"/>
    <w:pPr>
      <w:widowControl/>
      <w:autoSpaceDE/>
      <w:autoSpaceDN/>
      <w:spacing w:line="288" w:lineRule="auto"/>
      <w:ind w:left="862" w:right="862"/>
    </w:pPr>
    <w:rPr>
      <w:rFonts w:eastAsiaTheme="minorEastAsia" w:cstheme="minorBidi"/>
      <w:iCs/>
      <w:sz w:val="24"/>
      <w:szCs w:val="24"/>
    </w:rPr>
  </w:style>
  <w:style w:type="character" w:customStyle="1" w:styleId="QuoteChar">
    <w:name w:val="Quote Char"/>
    <w:basedOn w:val="DefaultParagraphFont"/>
    <w:link w:val="Quote"/>
    <w:uiPriority w:val="29"/>
    <w:rsid w:val="003430AB"/>
    <w:rPr>
      <w:rFonts w:ascii="Verdana" w:eastAsiaTheme="minorEastAsia" w:hAnsi="Verdana"/>
      <w:iCs/>
      <w:sz w:val="24"/>
      <w:szCs w:val="24"/>
    </w:rPr>
  </w:style>
  <w:style w:type="character" w:customStyle="1" w:styleId="Heading2Char">
    <w:name w:val="Heading 2 Char"/>
    <w:basedOn w:val="DefaultParagraphFont"/>
    <w:link w:val="Heading2"/>
    <w:uiPriority w:val="9"/>
    <w:rsid w:val="009908B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908BC"/>
    <w:rPr>
      <w:color w:val="0563C1" w:themeColor="hyperlink"/>
      <w:u w:val="single"/>
    </w:rPr>
  </w:style>
  <w:style w:type="character" w:styleId="CommentReference">
    <w:name w:val="annotation reference"/>
    <w:basedOn w:val="DefaultParagraphFont"/>
    <w:uiPriority w:val="99"/>
    <w:semiHidden/>
    <w:unhideWhenUsed/>
    <w:rsid w:val="00945E5E"/>
    <w:rPr>
      <w:sz w:val="16"/>
      <w:szCs w:val="16"/>
    </w:rPr>
  </w:style>
  <w:style w:type="paragraph" w:styleId="CommentText">
    <w:name w:val="annotation text"/>
    <w:basedOn w:val="Normal"/>
    <w:link w:val="CommentTextChar"/>
    <w:uiPriority w:val="99"/>
    <w:semiHidden/>
    <w:unhideWhenUsed/>
    <w:rsid w:val="00945E5E"/>
    <w:rPr>
      <w:sz w:val="20"/>
      <w:szCs w:val="20"/>
    </w:rPr>
  </w:style>
  <w:style w:type="character" w:customStyle="1" w:styleId="CommentTextChar">
    <w:name w:val="Comment Text Char"/>
    <w:basedOn w:val="DefaultParagraphFont"/>
    <w:link w:val="CommentText"/>
    <w:uiPriority w:val="99"/>
    <w:semiHidden/>
    <w:rsid w:val="00945E5E"/>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945E5E"/>
    <w:rPr>
      <w:b/>
      <w:bCs/>
    </w:rPr>
  </w:style>
  <w:style w:type="character" w:customStyle="1" w:styleId="CommentSubjectChar">
    <w:name w:val="Comment Subject Char"/>
    <w:basedOn w:val="CommentTextChar"/>
    <w:link w:val="CommentSubject"/>
    <w:uiPriority w:val="99"/>
    <w:semiHidden/>
    <w:rsid w:val="00945E5E"/>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945E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E5E"/>
    <w:rPr>
      <w:rFonts w:ascii="Segoe UI" w:eastAsia="Verdana" w:hAnsi="Segoe UI" w:cs="Segoe UI"/>
      <w:sz w:val="18"/>
      <w:szCs w:val="18"/>
    </w:rPr>
  </w:style>
  <w:style w:type="paragraph" w:styleId="Revision">
    <w:name w:val="Revision"/>
    <w:hidden/>
    <w:uiPriority w:val="99"/>
    <w:semiHidden/>
    <w:rsid w:val="00E208CC"/>
    <w:pPr>
      <w:spacing w:after="0" w:line="240" w:lineRule="auto"/>
    </w:pPr>
    <w:rPr>
      <w:rFonts w:ascii="Verdana" w:eastAsia="Verdana" w:hAnsi="Verdana" w:cs="Verdana"/>
    </w:rPr>
  </w:style>
  <w:style w:type="character" w:customStyle="1" w:styleId="Heading3Char">
    <w:name w:val="Heading 3 Char"/>
    <w:basedOn w:val="DefaultParagraphFont"/>
    <w:link w:val="Heading3"/>
    <w:uiPriority w:val="9"/>
    <w:rsid w:val="00B14DE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25715">
      <w:bodyDiv w:val="1"/>
      <w:marLeft w:val="0"/>
      <w:marRight w:val="0"/>
      <w:marTop w:val="0"/>
      <w:marBottom w:val="0"/>
      <w:divBdr>
        <w:top w:val="none" w:sz="0" w:space="0" w:color="auto"/>
        <w:left w:val="none" w:sz="0" w:space="0" w:color="auto"/>
        <w:bottom w:val="none" w:sz="0" w:space="0" w:color="auto"/>
        <w:right w:val="none" w:sz="0" w:space="0" w:color="auto"/>
      </w:divBdr>
    </w:div>
    <w:div w:id="1516000640">
      <w:bodyDiv w:val="1"/>
      <w:marLeft w:val="0"/>
      <w:marRight w:val="0"/>
      <w:marTop w:val="0"/>
      <w:marBottom w:val="0"/>
      <w:divBdr>
        <w:top w:val="none" w:sz="0" w:space="0" w:color="auto"/>
        <w:left w:val="none" w:sz="0" w:space="0" w:color="auto"/>
        <w:bottom w:val="none" w:sz="0" w:space="0" w:color="auto"/>
        <w:right w:val="none" w:sz="0" w:space="0" w:color="auto"/>
      </w:divBdr>
    </w:div>
    <w:div w:id="1816992904">
      <w:bodyDiv w:val="1"/>
      <w:marLeft w:val="0"/>
      <w:marRight w:val="0"/>
      <w:marTop w:val="0"/>
      <w:marBottom w:val="0"/>
      <w:divBdr>
        <w:top w:val="none" w:sz="0" w:space="0" w:color="auto"/>
        <w:left w:val="none" w:sz="0" w:space="0" w:color="auto"/>
        <w:bottom w:val="none" w:sz="0" w:space="0" w:color="auto"/>
        <w:right w:val="none" w:sz="0" w:space="0" w:color="auto"/>
      </w:divBdr>
    </w:div>
    <w:div w:id="18869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763EE-F928-4548-A054-13D6C723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Banks</dc:creator>
  <cp:keywords/>
  <dc:description/>
  <cp:lastModifiedBy>Jason McKeown</cp:lastModifiedBy>
  <cp:revision>2</cp:revision>
  <dcterms:created xsi:type="dcterms:W3CDTF">2022-03-24T14:58:00Z</dcterms:created>
  <dcterms:modified xsi:type="dcterms:W3CDTF">2022-03-24T14:58:00Z</dcterms:modified>
</cp:coreProperties>
</file>