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5430" w14:textId="77777777" w:rsidR="00F31387" w:rsidRDefault="00F31387" w:rsidP="00E171D7">
      <w:pPr>
        <w:pStyle w:val="BasicParagraph"/>
        <w:suppressAutoHyphens/>
        <w:spacing w:line="276" w:lineRule="auto"/>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3F0DE4CA" wp14:editId="130EE836">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28AC71FB" w14:textId="77777777" w:rsidR="003B7D0E" w:rsidRPr="00EA12CE" w:rsidRDefault="003B7D0E" w:rsidP="00E171D7">
      <w:pPr>
        <w:pStyle w:val="BasicParagraph"/>
        <w:suppressAutoHyphens/>
        <w:spacing w:line="276" w:lineRule="auto"/>
        <w:jc w:val="center"/>
        <w:rPr>
          <w:rFonts w:ascii="Verdana" w:hAnsi="Verdana" w:cs="Arial"/>
          <w:b/>
          <w:bCs/>
          <w:color w:val="734791"/>
          <w:sz w:val="36"/>
          <w:szCs w:val="36"/>
        </w:rPr>
      </w:pPr>
    </w:p>
    <w:p w14:paraId="7A9D7B07" w14:textId="77777777" w:rsidR="00A96B63" w:rsidRDefault="00A96B63" w:rsidP="00E171D7">
      <w:pPr>
        <w:pStyle w:val="BasicParagraph"/>
        <w:suppressAutoHyphens/>
        <w:spacing w:line="276" w:lineRule="auto"/>
        <w:jc w:val="center"/>
        <w:rPr>
          <w:rFonts w:ascii="Verdana" w:hAnsi="Verdana" w:cs="Arial"/>
          <w:b/>
          <w:bCs/>
          <w:color w:val="77328A"/>
          <w:sz w:val="36"/>
          <w:szCs w:val="36"/>
        </w:rPr>
      </w:pPr>
    </w:p>
    <w:p w14:paraId="0685BB60" w14:textId="77777777" w:rsidR="00A96B63" w:rsidRDefault="00A96B63" w:rsidP="00E171D7">
      <w:pPr>
        <w:pStyle w:val="BasicParagraph"/>
        <w:suppressAutoHyphens/>
        <w:spacing w:line="276" w:lineRule="auto"/>
        <w:jc w:val="center"/>
        <w:rPr>
          <w:rFonts w:ascii="Verdana" w:hAnsi="Verdana" w:cs="Arial"/>
          <w:b/>
          <w:bCs/>
          <w:color w:val="77328A"/>
          <w:sz w:val="36"/>
          <w:szCs w:val="36"/>
        </w:rPr>
      </w:pPr>
    </w:p>
    <w:p w14:paraId="4439032B" w14:textId="77777777" w:rsidR="00724D75" w:rsidRPr="00724D75" w:rsidRDefault="00A96B63" w:rsidP="00724D75">
      <w:pPr>
        <w:pStyle w:val="BasicParagraph"/>
        <w:suppressAutoHyphens/>
        <w:spacing w:line="276" w:lineRule="auto"/>
        <w:jc w:val="center"/>
        <w:rPr>
          <w:rFonts w:ascii="Verdana" w:hAnsi="Verdana" w:cs="Arial"/>
          <w:b/>
          <w:bCs/>
          <w:color w:val="77328A"/>
          <w:sz w:val="36"/>
          <w:szCs w:val="36"/>
        </w:rPr>
      </w:pPr>
      <w:r>
        <w:rPr>
          <w:rFonts w:ascii="Verdana" w:hAnsi="Verdana" w:cs="Arial"/>
          <w:b/>
          <w:bCs/>
          <w:color w:val="77328A"/>
          <w:sz w:val="36"/>
          <w:szCs w:val="36"/>
        </w:rPr>
        <w:t xml:space="preserve">Briefing Paper: </w:t>
      </w:r>
      <w:r w:rsidR="00FE237F">
        <w:rPr>
          <w:rFonts w:ascii="Verdana" w:hAnsi="Verdana" w:cs="Arial"/>
          <w:b/>
          <w:bCs/>
          <w:color w:val="77328A"/>
          <w:sz w:val="36"/>
          <w:szCs w:val="36"/>
        </w:rPr>
        <w:t>Department of Justice Consultation on</w:t>
      </w:r>
      <w:r w:rsidR="00FE237F" w:rsidRPr="00FE237F">
        <w:rPr>
          <w:rFonts w:ascii="Verdana" w:hAnsi="Verdana" w:cs="Arial"/>
          <w:b/>
          <w:bCs/>
          <w:color w:val="77328A"/>
          <w:sz w:val="36"/>
          <w:szCs w:val="36"/>
        </w:rPr>
        <w:t xml:space="preserve"> </w:t>
      </w:r>
      <w:r w:rsidR="00724D75" w:rsidRPr="00724D75">
        <w:rPr>
          <w:rFonts w:ascii="Verdana" w:hAnsi="Verdana" w:cs="Arial"/>
          <w:b/>
          <w:bCs/>
          <w:color w:val="77328A"/>
          <w:sz w:val="36"/>
          <w:szCs w:val="36"/>
        </w:rPr>
        <w:t xml:space="preserve">Audio and Video links </w:t>
      </w:r>
    </w:p>
    <w:p w14:paraId="5A3B6A7A" w14:textId="77777777" w:rsidR="00724D75" w:rsidRPr="00724D75" w:rsidRDefault="00724D75" w:rsidP="00724D75">
      <w:pPr>
        <w:pStyle w:val="BasicParagraph"/>
        <w:suppressAutoHyphens/>
        <w:spacing w:line="276" w:lineRule="auto"/>
        <w:jc w:val="center"/>
        <w:rPr>
          <w:rFonts w:ascii="Verdana" w:hAnsi="Verdana" w:cs="Arial"/>
          <w:b/>
          <w:bCs/>
          <w:color w:val="77328A"/>
          <w:sz w:val="36"/>
          <w:szCs w:val="36"/>
        </w:rPr>
      </w:pPr>
      <w:r w:rsidRPr="00724D75">
        <w:rPr>
          <w:rFonts w:ascii="Verdana" w:hAnsi="Verdana" w:cs="Arial"/>
          <w:b/>
          <w:bCs/>
          <w:color w:val="77328A"/>
          <w:sz w:val="36"/>
          <w:szCs w:val="36"/>
        </w:rPr>
        <w:t xml:space="preserve">(Live Links) </w:t>
      </w:r>
    </w:p>
    <w:p w14:paraId="3470ACB4" w14:textId="77777777" w:rsidR="00724D75" w:rsidRPr="00724D75" w:rsidRDefault="00724D75" w:rsidP="00724D75">
      <w:pPr>
        <w:pStyle w:val="BasicParagraph"/>
        <w:suppressAutoHyphens/>
        <w:spacing w:line="276" w:lineRule="auto"/>
        <w:jc w:val="center"/>
        <w:rPr>
          <w:rFonts w:ascii="Verdana" w:hAnsi="Verdana" w:cs="Arial"/>
          <w:b/>
          <w:bCs/>
          <w:color w:val="77328A"/>
          <w:sz w:val="36"/>
          <w:szCs w:val="36"/>
        </w:rPr>
      </w:pPr>
      <w:r w:rsidRPr="00724D75">
        <w:rPr>
          <w:rFonts w:ascii="Verdana" w:hAnsi="Verdana" w:cs="Arial"/>
          <w:b/>
          <w:bCs/>
          <w:color w:val="77328A"/>
          <w:sz w:val="36"/>
          <w:szCs w:val="36"/>
        </w:rPr>
        <w:t xml:space="preserve">for </w:t>
      </w:r>
    </w:p>
    <w:p w14:paraId="619E3BD2" w14:textId="77777777" w:rsidR="00724D75" w:rsidRPr="00724D75" w:rsidRDefault="00724D75" w:rsidP="00724D75">
      <w:pPr>
        <w:pStyle w:val="BasicParagraph"/>
        <w:suppressAutoHyphens/>
        <w:spacing w:line="276" w:lineRule="auto"/>
        <w:jc w:val="center"/>
        <w:rPr>
          <w:rFonts w:ascii="Verdana" w:hAnsi="Verdana" w:cs="Arial"/>
          <w:b/>
          <w:bCs/>
          <w:color w:val="77328A"/>
          <w:sz w:val="36"/>
          <w:szCs w:val="36"/>
        </w:rPr>
      </w:pPr>
      <w:r w:rsidRPr="00724D75">
        <w:rPr>
          <w:rFonts w:ascii="Verdana" w:hAnsi="Verdana" w:cs="Arial"/>
          <w:b/>
          <w:bCs/>
          <w:color w:val="77328A"/>
          <w:sz w:val="36"/>
          <w:szCs w:val="36"/>
        </w:rPr>
        <w:t xml:space="preserve">Northern Ireland Court and </w:t>
      </w:r>
    </w:p>
    <w:p w14:paraId="537200DB" w14:textId="0E69DD9B" w:rsidR="0096459E" w:rsidRPr="003B7D0E" w:rsidRDefault="00724D75" w:rsidP="00724D75">
      <w:pPr>
        <w:pStyle w:val="BasicParagraph"/>
        <w:suppressAutoHyphens/>
        <w:spacing w:line="276" w:lineRule="auto"/>
        <w:jc w:val="center"/>
        <w:rPr>
          <w:rFonts w:ascii="Verdana" w:hAnsi="Verdana" w:cs="Arial"/>
          <w:b/>
          <w:color w:val="77328A"/>
          <w:sz w:val="36"/>
          <w:szCs w:val="36"/>
        </w:rPr>
      </w:pPr>
      <w:r w:rsidRPr="00724D75">
        <w:rPr>
          <w:rFonts w:ascii="Verdana" w:hAnsi="Verdana" w:cs="Arial"/>
          <w:b/>
          <w:bCs/>
          <w:color w:val="77328A"/>
          <w:sz w:val="36"/>
          <w:szCs w:val="36"/>
        </w:rPr>
        <w:t>Tribunal Hearings</w:t>
      </w:r>
    </w:p>
    <w:p w14:paraId="5797A720" w14:textId="77777777" w:rsidR="00F31387" w:rsidRPr="00331C61" w:rsidRDefault="00F31387" w:rsidP="00E171D7">
      <w:pPr>
        <w:pStyle w:val="Default"/>
        <w:spacing w:line="276" w:lineRule="auto"/>
        <w:jc w:val="center"/>
        <w:rPr>
          <w:rFonts w:cs="Arial"/>
          <w:color w:val="232120"/>
          <w:sz w:val="36"/>
          <w:szCs w:val="36"/>
        </w:rPr>
      </w:pPr>
    </w:p>
    <w:p w14:paraId="6FF36118" w14:textId="77777777" w:rsidR="00A96B63" w:rsidRDefault="00A96B63" w:rsidP="00E171D7">
      <w:pPr>
        <w:spacing w:line="276" w:lineRule="auto"/>
        <w:jc w:val="center"/>
        <w:rPr>
          <w:rFonts w:cs="Arial"/>
          <w:b/>
          <w:color w:val="232120"/>
          <w:sz w:val="30"/>
          <w:szCs w:val="30"/>
        </w:rPr>
      </w:pPr>
    </w:p>
    <w:p w14:paraId="66E0DA31" w14:textId="77777777" w:rsidR="00A96B63" w:rsidRDefault="00A96B63" w:rsidP="00E171D7">
      <w:pPr>
        <w:spacing w:line="276" w:lineRule="auto"/>
        <w:jc w:val="center"/>
        <w:rPr>
          <w:rFonts w:cs="Arial"/>
          <w:b/>
          <w:color w:val="232120"/>
          <w:sz w:val="30"/>
          <w:szCs w:val="30"/>
        </w:rPr>
      </w:pPr>
    </w:p>
    <w:p w14:paraId="5B1F6909" w14:textId="77777777" w:rsidR="00A96B63" w:rsidRDefault="00A96B63" w:rsidP="00E171D7">
      <w:pPr>
        <w:spacing w:line="276" w:lineRule="auto"/>
        <w:jc w:val="center"/>
        <w:rPr>
          <w:rFonts w:cs="Arial"/>
          <w:b/>
          <w:color w:val="232120"/>
          <w:sz w:val="30"/>
          <w:szCs w:val="30"/>
        </w:rPr>
      </w:pPr>
    </w:p>
    <w:p w14:paraId="5F0D52F0" w14:textId="77777777" w:rsidR="00A96B63" w:rsidRDefault="00A96B63" w:rsidP="00E171D7">
      <w:pPr>
        <w:spacing w:line="276" w:lineRule="auto"/>
        <w:jc w:val="center"/>
        <w:rPr>
          <w:rFonts w:cs="Arial"/>
          <w:b/>
          <w:color w:val="232120"/>
          <w:sz w:val="30"/>
          <w:szCs w:val="30"/>
        </w:rPr>
      </w:pPr>
    </w:p>
    <w:p w14:paraId="1D33A4C5" w14:textId="77777777" w:rsidR="00A96B63" w:rsidRDefault="00A96B63" w:rsidP="00E171D7">
      <w:pPr>
        <w:spacing w:line="276" w:lineRule="auto"/>
        <w:jc w:val="center"/>
        <w:rPr>
          <w:rFonts w:cs="Arial"/>
          <w:b/>
          <w:color w:val="232120"/>
          <w:sz w:val="30"/>
          <w:szCs w:val="30"/>
        </w:rPr>
      </w:pPr>
    </w:p>
    <w:p w14:paraId="6144DC67" w14:textId="2049E769" w:rsidR="008159E8" w:rsidRPr="00331C61" w:rsidRDefault="00BC5AE4" w:rsidP="00E171D7">
      <w:pPr>
        <w:spacing w:line="276" w:lineRule="auto"/>
        <w:jc w:val="center"/>
        <w:rPr>
          <w:rFonts w:cs="Arial"/>
          <w:b/>
          <w:color w:val="232120"/>
          <w:sz w:val="30"/>
          <w:szCs w:val="30"/>
        </w:rPr>
      </w:pPr>
      <w:r>
        <w:rPr>
          <w:rFonts w:cs="Arial"/>
          <w:b/>
          <w:color w:val="232120"/>
          <w:sz w:val="30"/>
          <w:szCs w:val="30"/>
        </w:rPr>
        <w:t>September 2022</w:t>
      </w:r>
    </w:p>
    <w:p w14:paraId="29C83628" w14:textId="77777777" w:rsidR="00046705" w:rsidRPr="00331C61" w:rsidRDefault="00046705" w:rsidP="00E171D7">
      <w:pPr>
        <w:spacing w:line="276" w:lineRule="auto"/>
        <w:jc w:val="center"/>
        <w:rPr>
          <w:rFonts w:cs="Arial"/>
          <w:b/>
          <w:color w:val="232120"/>
          <w:sz w:val="28"/>
          <w:szCs w:val="28"/>
        </w:rPr>
      </w:pPr>
    </w:p>
    <w:p w14:paraId="00D2751A" w14:textId="77777777" w:rsidR="00046705" w:rsidRPr="00331C61" w:rsidRDefault="00046705" w:rsidP="00E171D7">
      <w:pPr>
        <w:spacing w:line="276" w:lineRule="auto"/>
        <w:jc w:val="center"/>
        <w:rPr>
          <w:rFonts w:cs="Arial"/>
          <w:b/>
          <w:color w:val="232120"/>
          <w:sz w:val="28"/>
          <w:szCs w:val="28"/>
        </w:rPr>
      </w:pPr>
    </w:p>
    <w:p w14:paraId="24E30E62" w14:textId="77777777" w:rsidR="00EA12CE" w:rsidRPr="00331C61" w:rsidRDefault="00EA12CE" w:rsidP="00E171D7">
      <w:pPr>
        <w:pStyle w:val="Default"/>
        <w:spacing w:line="276" w:lineRule="auto"/>
        <w:jc w:val="center"/>
        <w:rPr>
          <w:rFonts w:cs="Arial"/>
          <w:b/>
          <w:color w:val="232120"/>
          <w:sz w:val="28"/>
          <w:szCs w:val="28"/>
          <w:lang w:val="en-GB"/>
        </w:rPr>
      </w:pPr>
    </w:p>
    <w:p w14:paraId="35AB9853" w14:textId="77777777" w:rsidR="003B7D0E" w:rsidRPr="00331C61" w:rsidRDefault="003B7D0E" w:rsidP="00E171D7">
      <w:pPr>
        <w:pStyle w:val="Default"/>
        <w:spacing w:line="276" w:lineRule="auto"/>
        <w:jc w:val="center"/>
        <w:rPr>
          <w:rFonts w:cs="Arial"/>
          <w:b/>
          <w:color w:val="232120"/>
          <w:sz w:val="36"/>
          <w:szCs w:val="36"/>
        </w:rPr>
      </w:pPr>
    </w:p>
    <w:sdt>
      <w:sdtPr>
        <w:rPr>
          <w:rFonts w:ascii="Verdana" w:eastAsiaTheme="minorEastAsia" w:hAnsi="Verdana" w:cstheme="minorBidi"/>
          <w:color w:val="auto"/>
          <w:sz w:val="24"/>
          <w:szCs w:val="24"/>
          <w:lang w:val="en-GB"/>
        </w:rPr>
        <w:id w:val="1199127081"/>
        <w:docPartObj>
          <w:docPartGallery w:val="Table of Contents"/>
          <w:docPartUnique/>
        </w:docPartObj>
      </w:sdtPr>
      <w:sdtEndPr>
        <w:rPr>
          <w:b/>
          <w:bCs/>
          <w:noProof/>
        </w:rPr>
      </w:sdtEndPr>
      <w:sdtContent>
        <w:p w14:paraId="7E8A7221" w14:textId="4558A30A" w:rsidR="00E723D3" w:rsidRPr="00E723D3" w:rsidRDefault="00E723D3" w:rsidP="00E171D7">
          <w:pPr>
            <w:pStyle w:val="TOCHeading"/>
            <w:spacing w:line="276" w:lineRule="auto"/>
            <w:rPr>
              <w:rFonts w:ascii="Verdana" w:hAnsi="Verdana"/>
              <w:b/>
              <w:color w:val="7030A0"/>
              <w:sz w:val="30"/>
              <w:szCs w:val="30"/>
            </w:rPr>
          </w:pPr>
          <w:r w:rsidRPr="00E723D3">
            <w:rPr>
              <w:rFonts w:ascii="Verdana" w:hAnsi="Verdana"/>
              <w:b/>
              <w:color w:val="7030A0"/>
              <w:sz w:val="30"/>
              <w:szCs w:val="30"/>
            </w:rPr>
            <w:t>Table of Contents</w:t>
          </w:r>
        </w:p>
        <w:p w14:paraId="74739411" w14:textId="77777777" w:rsidR="00E723D3" w:rsidRPr="00E723D3" w:rsidRDefault="00E723D3" w:rsidP="00E171D7">
          <w:pPr>
            <w:spacing w:line="276" w:lineRule="auto"/>
            <w:rPr>
              <w:lang w:val="en-US"/>
            </w:rPr>
          </w:pPr>
        </w:p>
        <w:p w14:paraId="610C143A" w14:textId="6AAF9087" w:rsidR="000C0A9B" w:rsidRDefault="00E723D3">
          <w:pPr>
            <w:pStyle w:val="TOC1"/>
            <w:rPr>
              <w:rFonts w:asciiTheme="minorHAnsi" w:hAnsiTheme="minorHAnsi"/>
              <w:b w:val="0"/>
              <w:sz w:val="22"/>
              <w:szCs w:val="22"/>
              <w:lang w:eastAsia="en-GB"/>
            </w:rPr>
          </w:pPr>
          <w:r>
            <w:fldChar w:fldCharType="begin"/>
          </w:r>
          <w:r>
            <w:instrText xml:space="preserve"> TOC \o "1-3" \h \z \u </w:instrText>
          </w:r>
          <w:r>
            <w:fldChar w:fldCharType="separate"/>
          </w:r>
          <w:hyperlink w:anchor="_Toc114068783" w:history="1">
            <w:r w:rsidR="000C0A9B" w:rsidRPr="00FC113A">
              <w:rPr>
                <w:rStyle w:val="Hyperlink"/>
              </w:rPr>
              <w:t>Summary of Recommendations</w:t>
            </w:r>
            <w:r w:rsidR="000C0A9B">
              <w:rPr>
                <w:webHidden/>
              </w:rPr>
              <w:tab/>
            </w:r>
            <w:r w:rsidR="000C0A9B">
              <w:rPr>
                <w:webHidden/>
              </w:rPr>
              <w:fldChar w:fldCharType="begin"/>
            </w:r>
            <w:r w:rsidR="000C0A9B">
              <w:rPr>
                <w:webHidden/>
              </w:rPr>
              <w:instrText xml:space="preserve"> PAGEREF _Toc114068783 \h </w:instrText>
            </w:r>
            <w:r w:rsidR="000C0A9B">
              <w:rPr>
                <w:webHidden/>
              </w:rPr>
            </w:r>
            <w:r w:rsidR="000C0A9B">
              <w:rPr>
                <w:webHidden/>
              </w:rPr>
              <w:fldChar w:fldCharType="separate"/>
            </w:r>
            <w:r w:rsidR="0084029A">
              <w:rPr>
                <w:webHidden/>
              </w:rPr>
              <w:t>3</w:t>
            </w:r>
            <w:r w:rsidR="000C0A9B">
              <w:rPr>
                <w:webHidden/>
              </w:rPr>
              <w:fldChar w:fldCharType="end"/>
            </w:r>
          </w:hyperlink>
        </w:p>
        <w:p w14:paraId="2770F0C7" w14:textId="3871B65B" w:rsidR="000C0A9B" w:rsidRDefault="004670C6">
          <w:pPr>
            <w:pStyle w:val="TOC1"/>
            <w:rPr>
              <w:rFonts w:asciiTheme="minorHAnsi" w:hAnsiTheme="minorHAnsi"/>
              <w:b w:val="0"/>
              <w:sz w:val="22"/>
              <w:szCs w:val="22"/>
              <w:lang w:eastAsia="en-GB"/>
            </w:rPr>
          </w:pPr>
          <w:hyperlink w:anchor="_Toc114068784" w:history="1">
            <w:r w:rsidR="000C0A9B" w:rsidRPr="00FC113A">
              <w:rPr>
                <w:rStyle w:val="Hyperlink"/>
              </w:rPr>
              <w:t>1.0</w:t>
            </w:r>
            <w:r w:rsidR="000C0A9B">
              <w:rPr>
                <w:rFonts w:asciiTheme="minorHAnsi" w:hAnsiTheme="minorHAnsi"/>
                <w:b w:val="0"/>
                <w:sz w:val="22"/>
                <w:szCs w:val="22"/>
                <w:lang w:eastAsia="en-GB"/>
              </w:rPr>
              <w:tab/>
            </w:r>
            <w:r w:rsidR="000C0A9B" w:rsidRPr="00FC113A">
              <w:rPr>
                <w:rStyle w:val="Hyperlink"/>
              </w:rPr>
              <w:t>Introduction</w:t>
            </w:r>
            <w:r w:rsidR="000C0A9B">
              <w:rPr>
                <w:webHidden/>
              </w:rPr>
              <w:tab/>
            </w:r>
            <w:r w:rsidR="000C0A9B">
              <w:rPr>
                <w:webHidden/>
              </w:rPr>
              <w:fldChar w:fldCharType="begin"/>
            </w:r>
            <w:r w:rsidR="000C0A9B">
              <w:rPr>
                <w:webHidden/>
              </w:rPr>
              <w:instrText xml:space="preserve"> PAGEREF _Toc114068784 \h </w:instrText>
            </w:r>
            <w:r w:rsidR="000C0A9B">
              <w:rPr>
                <w:webHidden/>
              </w:rPr>
            </w:r>
            <w:r w:rsidR="000C0A9B">
              <w:rPr>
                <w:webHidden/>
              </w:rPr>
              <w:fldChar w:fldCharType="separate"/>
            </w:r>
            <w:r w:rsidR="0084029A">
              <w:rPr>
                <w:webHidden/>
              </w:rPr>
              <w:t>4</w:t>
            </w:r>
            <w:r w:rsidR="000C0A9B">
              <w:rPr>
                <w:webHidden/>
              </w:rPr>
              <w:fldChar w:fldCharType="end"/>
            </w:r>
          </w:hyperlink>
        </w:p>
        <w:p w14:paraId="32D1D7DD" w14:textId="70DC3B39" w:rsidR="000C0A9B" w:rsidRDefault="004670C6">
          <w:pPr>
            <w:pStyle w:val="TOC1"/>
            <w:rPr>
              <w:rFonts w:asciiTheme="minorHAnsi" w:hAnsiTheme="minorHAnsi"/>
              <w:b w:val="0"/>
              <w:sz w:val="22"/>
              <w:szCs w:val="22"/>
              <w:lang w:eastAsia="en-GB"/>
            </w:rPr>
          </w:pPr>
          <w:hyperlink w:anchor="_Toc114068785" w:history="1">
            <w:r w:rsidR="000C0A9B" w:rsidRPr="00FC113A">
              <w:rPr>
                <w:rStyle w:val="Hyperlink"/>
              </w:rPr>
              <w:t>2.0</w:t>
            </w:r>
            <w:r w:rsidR="000C0A9B">
              <w:rPr>
                <w:rFonts w:asciiTheme="minorHAnsi" w:hAnsiTheme="minorHAnsi"/>
                <w:b w:val="0"/>
                <w:sz w:val="22"/>
                <w:szCs w:val="22"/>
                <w:lang w:eastAsia="en-GB"/>
              </w:rPr>
              <w:tab/>
            </w:r>
            <w:r w:rsidR="000C0A9B" w:rsidRPr="00FC113A">
              <w:rPr>
                <w:rStyle w:val="Hyperlink"/>
              </w:rPr>
              <w:t>Protocol Article 2</w:t>
            </w:r>
            <w:r w:rsidR="000C0A9B">
              <w:rPr>
                <w:webHidden/>
              </w:rPr>
              <w:tab/>
            </w:r>
            <w:r w:rsidR="000C0A9B">
              <w:rPr>
                <w:webHidden/>
              </w:rPr>
              <w:fldChar w:fldCharType="begin"/>
            </w:r>
            <w:r w:rsidR="000C0A9B">
              <w:rPr>
                <w:webHidden/>
              </w:rPr>
              <w:instrText xml:space="preserve"> PAGEREF _Toc114068785 \h </w:instrText>
            </w:r>
            <w:r w:rsidR="000C0A9B">
              <w:rPr>
                <w:webHidden/>
              </w:rPr>
            </w:r>
            <w:r w:rsidR="000C0A9B">
              <w:rPr>
                <w:webHidden/>
              </w:rPr>
              <w:fldChar w:fldCharType="separate"/>
            </w:r>
            <w:r w:rsidR="0084029A">
              <w:rPr>
                <w:webHidden/>
              </w:rPr>
              <w:t>5</w:t>
            </w:r>
            <w:r w:rsidR="000C0A9B">
              <w:rPr>
                <w:webHidden/>
              </w:rPr>
              <w:fldChar w:fldCharType="end"/>
            </w:r>
          </w:hyperlink>
        </w:p>
        <w:p w14:paraId="3752FD65" w14:textId="5DECB1E8" w:rsidR="000C0A9B" w:rsidRDefault="004670C6">
          <w:pPr>
            <w:pStyle w:val="TOC1"/>
            <w:rPr>
              <w:rFonts w:asciiTheme="minorHAnsi" w:hAnsiTheme="minorHAnsi"/>
              <w:b w:val="0"/>
              <w:sz w:val="22"/>
              <w:szCs w:val="22"/>
              <w:lang w:eastAsia="en-GB"/>
            </w:rPr>
          </w:pPr>
          <w:hyperlink w:anchor="_Toc114068786" w:history="1">
            <w:r w:rsidR="000C0A9B" w:rsidRPr="00FC113A">
              <w:rPr>
                <w:rStyle w:val="Hyperlink"/>
              </w:rPr>
              <w:t>3.0</w:t>
            </w:r>
            <w:r w:rsidR="000C0A9B">
              <w:rPr>
                <w:rFonts w:asciiTheme="minorHAnsi" w:hAnsiTheme="minorHAnsi"/>
                <w:b w:val="0"/>
                <w:sz w:val="22"/>
                <w:szCs w:val="22"/>
                <w:lang w:eastAsia="en-GB"/>
              </w:rPr>
              <w:tab/>
            </w:r>
            <w:r w:rsidR="000C0A9B" w:rsidRPr="00FC113A">
              <w:rPr>
                <w:rStyle w:val="Hyperlink"/>
              </w:rPr>
              <w:t>Use of ‘Live Link’ Technology</w:t>
            </w:r>
            <w:r w:rsidR="000C0A9B">
              <w:rPr>
                <w:webHidden/>
              </w:rPr>
              <w:tab/>
            </w:r>
            <w:r w:rsidR="000C0A9B">
              <w:rPr>
                <w:webHidden/>
              </w:rPr>
              <w:fldChar w:fldCharType="begin"/>
            </w:r>
            <w:r w:rsidR="000C0A9B">
              <w:rPr>
                <w:webHidden/>
              </w:rPr>
              <w:instrText xml:space="preserve"> PAGEREF _Toc114068786 \h </w:instrText>
            </w:r>
            <w:r w:rsidR="000C0A9B">
              <w:rPr>
                <w:webHidden/>
              </w:rPr>
            </w:r>
            <w:r w:rsidR="000C0A9B">
              <w:rPr>
                <w:webHidden/>
              </w:rPr>
              <w:fldChar w:fldCharType="separate"/>
            </w:r>
            <w:r w:rsidR="0084029A">
              <w:rPr>
                <w:webHidden/>
              </w:rPr>
              <w:t>7</w:t>
            </w:r>
            <w:r w:rsidR="000C0A9B">
              <w:rPr>
                <w:webHidden/>
              </w:rPr>
              <w:fldChar w:fldCharType="end"/>
            </w:r>
          </w:hyperlink>
        </w:p>
        <w:p w14:paraId="05CFE9CE" w14:textId="1CC84E3C" w:rsidR="000C0A9B" w:rsidRDefault="004670C6">
          <w:pPr>
            <w:pStyle w:val="TOC1"/>
            <w:rPr>
              <w:rFonts w:asciiTheme="minorHAnsi" w:hAnsiTheme="minorHAnsi"/>
              <w:b w:val="0"/>
              <w:sz w:val="22"/>
              <w:szCs w:val="22"/>
              <w:lang w:eastAsia="en-GB"/>
            </w:rPr>
          </w:pPr>
          <w:hyperlink w:anchor="_Toc114068787" w:history="1">
            <w:r w:rsidR="000C0A9B" w:rsidRPr="00FC113A">
              <w:rPr>
                <w:rStyle w:val="Hyperlink"/>
              </w:rPr>
              <w:t>4.0</w:t>
            </w:r>
            <w:r w:rsidR="000C0A9B">
              <w:rPr>
                <w:rFonts w:asciiTheme="minorHAnsi" w:hAnsiTheme="minorHAnsi"/>
                <w:b w:val="0"/>
                <w:sz w:val="22"/>
                <w:szCs w:val="22"/>
                <w:lang w:eastAsia="en-GB"/>
              </w:rPr>
              <w:tab/>
            </w:r>
            <w:r w:rsidR="000C0A9B" w:rsidRPr="00FC113A">
              <w:rPr>
                <w:rStyle w:val="Hyperlink"/>
              </w:rPr>
              <w:t>Vulnerable Court Users</w:t>
            </w:r>
            <w:r w:rsidR="000C0A9B">
              <w:rPr>
                <w:webHidden/>
              </w:rPr>
              <w:tab/>
            </w:r>
            <w:r w:rsidR="000C0A9B">
              <w:rPr>
                <w:webHidden/>
              </w:rPr>
              <w:fldChar w:fldCharType="begin"/>
            </w:r>
            <w:r w:rsidR="000C0A9B">
              <w:rPr>
                <w:webHidden/>
              </w:rPr>
              <w:instrText xml:space="preserve"> PAGEREF _Toc114068787 \h </w:instrText>
            </w:r>
            <w:r w:rsidR="000C0A9B">
              <w:rPr>
                <w:webHidden/>
              </w:rPr>
            </w:r>
            <w:r w:rsidR="000C0A9B">
              <w:rPr>
                <w:webHidden/>
              </w:rPr>
              <w:fldChar w:fldCharType="separate"/>
            </w:r>
            <w:r w:rsidR="0084029A">
              <w:rPr>
                <w:webHidden/>
              </w:rPr>
              <w:t>10</w:t>
            </w:r>
            <w:r w:rsidR="000C0A9B">
              <w:rPr>
                <w:webHidden/>
              </w:rPr>
              <w:fldChar w:fldCharType="end"/>
            </w:r>
          </w:hyperlink>
        </w:p>
        <w:p w14:paraId="14493CB6" w14:textId="40AA534F" w:rsidR="000C0A9B" w:rsidRPr="0084029A" w:rsidRDefault="004670C6">
          <w:pPr>
            <w:pStyle w:val="TOC2"/>
            <w:tabs>
              <w:tab w:val="right" w:leader="dot" w:pos="9848"/>
            </w:tabs>
            <w:rPr>
              <w:rFonts w:asciiTheme="minorHAnsi" w:hAnsiTheme="minorHAnsi"/>
              <w:b/>
              <w:bCs/>
              <w:noProof/>
              <w:sz w:val="22"/>
              <w:szCs w:val="22"/>
              <w:lang w:eastAsia="en-GB"/>
            </w:rPr>
          </w:pPr>
          <w:hyperlink w:anchor="_Toc114068788" w:history="1">
            <w:r w:rsidR="0084029A">
              <w:rPr>
                <w:rStyle w:val="Hyperlink"/>
                <w:b/>
                <w:bCs/>
                <w:noProof/>
              </w:rPr>
              <w:t>Disabled People</w:t>
            </w:r>
            <w:r w:rsidR="000C0A9B" w:rsidRPr="0084029A">
              <w:rPr>
                <w:b/>
                <w:bCs/>
                <w:noProof/>
                <w:webHidden/>
              </w:rPr>
              <w:tab/>
            </w:r>
            <w:r w:rsidR="0084029A">
              <w:rPr>
                <w:b/>
                <w:bCs/>
                <w:noProof/>
                <w:webHidden/>
              </w:rPr>
              <w:t>10</w:t>
            </w:r>
          </w:hyperlink>
        </w:p>
        <w:p w14:paraId="58AAC06C" w14:textId="36F99DB1" w:rsidR="000C0A9B" w:rsidRPr="0084029A" w:rsidRDefault="004670C6">
          <w:pPr>
            <w:pStyle w:val="TOC2"/>
            <w:tabs>
              <w:tab w:val="right" w:leader="dot" w:pos="9848"/>
            </w:tabs>
            <w:rPr>
              <w:rFonts w:asciiTheme="minorHAnsi" w:hAnsiTheme="minorHAnsi"/>
              <w:b/>
              <w:bCs/>
              <w:noProof/>
              <w:sz w:val="22"/>
              <w:szCs w:val="22"/>
              <w:lang w:eastAsia="en-GB"/>
            </w:rPr>
          </w:pPr>
          <w:hyperlink w:anchor="_Toc114068789" w:history="1">
            <w:r w:rsidR="000C0A9B" w:rsidRPr="0084029A">
              <w:rPr>
                <w:rStyle w:val="Hyperlink"/>
                <w:b/>
                <w:bCs/>
                <w:noProof/>
              </w:rPr>
              <w:t>Persons for whom English is not a first language</w:t>
            </w:r>
            <w:r w:rsidR="000C0A9B" w:rsidRPr="0084029A">
              <w:rPr>
                <w:b/>
                <w:bCs/>
                <w:noProof/>
                <w:webHidden/>
              </w:rPr>
              <w:tab/>
            </w:r>
            <w:r w:rsidR="000C0A9B" w:rsidRPr="0084029A">
              <w:rPr>
                <w:b/>
                <w:bCs/>
                <w:noProof/>
                <w:webHidden/>
              </w:rPr>
              <w:fldChar w:fldCharType="begin"/>
            </w:r>
            <w:r w:rsidR="000C0A9B" w:rsidRPr="0084029A">
              <w:rPr>
                <w:b/>
                <w:bCs/>
                <w:noProof/>
                <w:webHidden/>
              </w:rPr>
              <w:instrText xml:space="preserve"> PAGEREF _Toc114068789 \h </w:instrText>
            </w:r>
            <w:r w:rsidR="000C0A9B" w:rsidRPr="0084029A">
              <w:rPr>
                <w:b/>
                <w:bCs/>
                <w:noProof/>
                <w:webHidden/>
              </w:rPr>
            </w:r>
            <w:r w:rsidR="000C0A9B" w:rsidRPr="0084029A">
              <w:rPr>
                <w:b/>
                <w:bCs/>
                <w:noProof/>
                <w:webHidden/>
              </w:rPr>
              <w:fldChar w:fldCharType="separate"/>
            </w:r>
            <w:r w:rsidR="0084029A" w:rsidRPr="0084029A">
              <w:rPr>
                <w:b/>
                <w:bCs/>
                <w:noProof/>
                <w:webHidden/>
              </w:rPr>
              <w:t>13</w:t>
            </w:r>
            <w:r w:rsidR="000C0A9B" w:rsidRPr="0084029A">
              <w:rPr>
                <w:b/>
                <w:bCs/>
                <w:noProof/>
                <w:webHidden/>
              </w:rPr>
              <w:fldChar w:fldCharType="end"/>
            </w:r>
          </w:hyperlink>
        </w:p>
        <w:p w14:paraId="20495E4A" w14:textId="29A4D2D1" w:rsidR="00E723D3" w:rsidRDefault="00E723D3" w:rsidP="00E171D7">
          <w:pPr>
            <w:spacing w:line="276" w:lineRule="auto"/>
          </w:pPr>
          <w:r>
            <w:rPr>
              <w:b/>
              <w:bCs/>
              <w:noProof/>
            </w:rPr>
            <w:fldChar w:fldCharType="end"/>
          </w:r>
        </w:p>
      </w:sdtContent>
    </w:sdt>
    <w:p w14:paraId="12FF7B83" w14:textId="7CE1AE86" w:rsidR="00E723D3" w:rsidRDefault="00E723D3" w:rsidP="00E171D7">
      <w:pPr>
        <w:spacing w:line="276" w:lineRule="auto"/>
        <w:rPr>
          <w:rFonts w:cs="Arial"/>
          <w:b/>
          <w:color w:val="232120"/>
        </w:rPr>
      </w:pPr>
      <w:r>
        <w:rPr>
          <w:rFonts w:cs="Arial"/>
          <w:b/>
          <w:color w:val="232120"/>
        </w:rPr>
        <w:br w:type="page"/>
      </w:r>
    </w:p>
    <w:p w14:paraId="2F74B509" w14:textId="4D572A0C" w:rsidR="00521B48" w:rsidRDefault="00521B48" w:rsidP="001E7F99">
      <w:pPr>
        <w:pStyle w:val="Heading1"/>
      </w:pPr>
      <w:bookmarkStart w:id="0" w:name="_Toc114068783"/>
      <w:r>
        <w:lastRenderedPageBreak/>
        <w:t>Summary of Recommendations</w:t>
      </w:r>
      <w:bookmarkEnd w:id="0"/>
    </w:p>
    <w:tbl>
      <w:tblPr>
        <w:tblStyle w:val="TableGrid"/>
        <w:tblW w:w="0" w:type="auto"/>
        <w:tblLook w:val="04A0" w:firstRow="1" w:lastRow="0" w:firstColumn="1" w:lastColumn="0" w:noHBand="0" w:noVBand="1"/>
      </w:tblPr>
      <w:tblGrid>
        <w:gridCol w:w="9848"/>
      </w:tblGrid>
      <w:tr w:rsidR="00521B48" w14:paraId="3E47892D" w14:textId="77777777" w:rsidTr="00521B48">
        <w:tc>
          <w:tcPr>
            <w:tcW w:w="9848" w:type="dxa"/>
          </w:tcPr>
          <w:p w14:paraId="22AA7472" w14:textId="303E5943" w:rsidR="00521B48" w:rsidRPr="00D86B80" w:rsidRDefault="00521B48" w:rsidP="00861FB5">
            <w:pPr>
              <w:spacing w:line="360" w:lineRule="auto"/>
              <w:jc w:val="both"/>
              <w:rPr>
                <w:b/>
              </w:rPr>
            </w:pPr>
            <w:r w:rsidRPr="00D86B80">
              <w:rPr>
                <w:b/>
              </w:rPr>
              <w:t>The Northern Ireland Human Rights Commission (NIHRC)</w:t>
            </w:r>
            <w:r w:rsidR="001E7F99" w:rsidRPr="00D86B80">
              <w:rPr>
                <w:b/>
              </w:rPr>
              <w:t xml:space="preserve"> recommends that</w:t>
            </w:r>
            <w:r w:rsidRPr="00D86B80">
              <w:rPr>
                <w:b/>
              </w:rPr>
              <w:t>:</w:t>
            </w:r>
          </w:p>
          <w:p w14:paraId="4DFFDF3E" w14:textId="77777777" w:rsidR="00420DE6" w:rsidRPr="00D86B80" w:rsidRDefault="00420DE6" w:rsidP="00420DE6">
            <w:pPr>
              <w:spacing w:line="360" w:lineRule="auto"/>
              <w:jc w:val="both"/>
              <w:rPr>
                <w:b/>
              </w:rPr>
            </w:pPr>
          </w:p>
          <w:p w14:paraId="1051B9C0" w14:textId="06B8718F" w:rsidR="00420DE6" w:rsidRDefault="000B596F" w:rsidP="00D86B80">
            <w:pPr>
              <w:spacing w:line="360" w:lineRule="auto"/>
              <w:ind w:left="720" w:hanging="720"/>
              <w:jc w:val="both"/>
              <w:rPr>
                <w:b/>
              </w:rPr>
            </w:pPr>
            <w:r>
              <w:rPr>
                <w:b/>
              </w:rPr>
              <w:t>3</w:t>
            </w:r>
            <w:r w:rsidR="00420DE6" w:rsidRPr="00D86B80">
              <w:rPr>
                <w:b/>
              </w:rPr>
              <w:t xml:space="preserve">.10 </w:t>
            </w:r>
            <w:r w:rsidR="00430770" w:rsidRPr="00D86B80">
              <w:rPr>
                <w:b/>
              </w:rPr>
              <w:t>any future legislative provi</w:t>
            </w:r>
            <w:r w:rsidR="00A30B8F" w:rsidRPr="00D86B80">
              <w:rPr>
                <w:b/>
              </w:rPr>
              <w:t>sion</w:t>
            </w:r>
            <w:r w:rsidR="00430770" w:rsidRPr="00D86B80">
              <w:rPr>
                <w:b/>
              </w:rPr>
              <w:t xml:space="preserve"> for the use of live links should provide for live links to be utilised only when a court or tribunal consider</w:t>
            </w:r>
            <w:r>
              <w:rPr>
                <w:b/>
              </w:rPr>
              <w:t>s</w:t>
            </w:r>
            <w:r w:rsidR="00430770" w:rsidRPr="00D86B80">
              <w:rPr>
                <w:b/>
              </w:rPr>
              <w:t xml:space="preserve"> the use of a live link to be ‘in the interests of justice’. In determining if the use of a live link is in the interests of justice</w:t>
            </w:r>
            <w:r w:rsidR="00D82C17">
              <w:rPr>
                <w:b/>
              </w:rPr>
              <w:t>,</w:t>
            </w:r>
            <w:r w:rsidR="00430770" w:rsidRPr="00D86B80">
              <w:rPr>
                <w:b/>
              </w:rPr>
              <w:t xml:space="preserve"> a court or tribunal should pay due regard to Article 6 </w:t>
            </w:r>
            <w:r>
              <w:rPr>
                <w:b/>
              </w:rPr>
              <w:t xml:space="preserve">of the ECHR </w:t>
            </w:r>
            <w:r w:rsidR="00430770" w:rsidRPr="00D86B80">
              <w:rPr>
                <w:b/>
              </w:rPr>
              <w:t>and to relevant jurisprudence of the ECtHR</w:t>
            </w:r>
            <w:r w:rsidR="00420DE6" w:rsidRPr="00D86B80">
              <w:rPr>
                <w:b/>
              </w:rPr>
              <w:t>.</w:t>
            </w:r>
          </w:p>
          <w:p w14:paraId="74553125" w14:textId="77777777" w:rsidR="00420DE6" w:rsidRPr="00D86B80" w:rsidRDefault="00420DE6" w:rsidP="000B596F">
            <w:pPr>
              <w:spacing w:line="360" w:lineRule="auto"/>
              <w:jc w:val="both"/>
              <w:rPr>
                <w:b/>
              </w:rPr>
            </w:pPr>
          </w:p>
          <w:p w14:paraId="64B97516" w14:textId="33D0D43A" w:rsidR="00430770" w:rsidRDefault="00EF1D5E" w:rsidP="00D86B80">
            <w:pPr>
              <w:spacing w:line="360" w:lineRule="auto"/>
              <w:ind w:left="720" w:hanging="720"/>
              <w:jc w:val="both"/>
              <w:rPr>
                <w:b/>
              </w:rPr>
            </w:pPr>
            <w:r w:rsidRPr="00D86B80">
              <w:rPr>
                <w:b/>
              </w:rPr>
              <w:t>4</w:t>
            </w:r>
            <w:r w:rsidR="00420DE6" w:rsidRPr="00D86B80">
              <w:rPr>
                <w:b/>
              </w:rPr>
              <w:t xml:space="preserve">.6 </w:t>
            </w:r>
            <w:r w:rsidR="00D86B80" w:rsidRPr="00D86B80">
              <w:rPr>
                <w:b/>
              </w:rPr>
              <w:t xml:space="preserve">  </w:t>
            </w:r>
            <w:r w:rsidR="00430770" w:rsidRPr="00D86B80">
              <w:rPr>
                <w:b/>
              </w:rPr>
              <w:t xml:space="preserve">the Department </w:t>
            </w:r>
            <w:r w:rsidR="009250D8">
              <w:rPr>
                <w:b/>
              </w:rPr>
              <w:t>conducts</w:t>
            </w:r>
            <w:r w:rsidR="00430770" w:rsidRPr="00D86B80">
              <w:rPr>
                <w:b/>
              </w:rPr>
              <w:t xml:space="preserve"> or commission</w:t>
            </w:r>
            <w:r w:rsidR="009250D8">
              <w:rPr>
                <w:b/>
              </w:rPr>
              <w:t>s</w:t>
            </w:r>
            <w:r w:rsidR="00430770" w:rsidRPr="00D86B80">
              <w:rPr>
                <w:b/>
              </w:rPr>
              <w:t xml:space="preserve"> research to determine if the use of live links has had adverse consequences on the ability court users with disabilities </w:t>
            </w:r>
            <w:r w:rsidR="00D94259" w:rsidRPr="00D86B80">
              <w:rPr>
                <w:b/>
              </w:rPr>
              <w:t>to participate in and understand the proceedings.</w:t>
            </w:r>
            <w:r w:rsidR="00430770" w:rsidRPr="00D86B80">
              <w:rPr>
                <w:b/>
              </w:rPr>
              <w:t xml:space="preserve"> This research should specifically examine whether there has been any hindrance to court users with disabilities consulting with their legal representatives</w:t>
            </w:r>
          </w:p>
          <w:p w14:paraId="74D0750A" w14:textId="209AB49E" w:rsidR="00D0395B" w:rsidRDefault="00D0395B" w:rsidP="00D86B80">
            <w:pPr>
              <w:spacing w:line="360" w:lineRule="auto"/>
              <w:ind w:left="720" w:hanging="720"/>
              <w:jc w:val="both"/>
              <w:rPr>
                <w:b/>
              </w:rPr>
            </w:pPr>
          </w:p>
          <w:p w14:paraId="632A8F9B" w14:textId="43AC1F73" w:rsidR="00D0395B" w:rsidRPr="00A10FDB" w:rsidRDefault="00D0395B" w:rsidP="00A10FDB">
            <w:pPr>
              <w:pStyle w:val="ListParagraph"/>
              <w:numPr>
                <w:ilvl w:val="1"/>
                <w:numId w:val="30"/>
              </w:numPr>
              <w:spacing w:beforeLines="24" w:before="57" w:afterLines="24" w:after="57" w:line="360" w:lineRule="auto"/>
              <w:jc w:val="both"/>
              <w:rPr>
                <w:rFonts w:cstheme="minorHAnsi"/>
                <w:b/>
                <w:bCs/>
                <w:color w:val="000000" w:themeColor="text1"/>
              </w:rPr>
            </w:pPr>
            <w:r w:rsidRPr="00A10FDB">
              <w:rPr>
                <w:rFonts w:cstheme="minorHAnsi"/>
                <w:b/>
                <w:bCs/>
                <w:color w:val="000000" w:themeColor="text1"/>
              </w:rPr>
              <w:t xml:space="preserve">in the development of live links legislation and policy, the Department carefully considers the provisions of the EU Victims’ Directive </w:t>
            </w:r>
            <w:r w:rsidRPr="00A10FDB">
              <w:rPr>
                <w:b/>
                <w:bCs/>
                <w:color w:val="000000" w:themeColor="text1"/>
              </w:rPr>
              <w:t xml:space="preserve">relating to victims who are disabled, to ensure they </w:t>
            </w:r>
            <w:proofErr w:type="gramStart"/>
            <w:r w:rsidRPr="00A10FDB">
              <w:rPr>
                <w:b/>
                <w:bCs/>
                <w:color w:val="000000" w:themeColor="text1"/>
              </w:rPr>
              <w:t xml:space="preserve">are </w:t>
            </w:r>
            <w:r w:rsidRPr="00A10FDB">
              <w:rPr>
                <w:rFonts w:cstheme="minorHAnsi"/>
                <w:b/>
                <w:bCs/>
                <w:color w:val="000000" w:themeColor="text1"/>
              </w:rPr>
              <w:t>able to</w:t>
            </w:r>
            <w:proofErr w:type="gramEnd"/>
            <w:r w:rsidRPr="00A10FDB">
              <w:rPr>
                <w:rFonts w:cstheme="minorHAnsi"/>
                <w:b/>
                <w:bCs/>
                <w:color w:val="000000" w:themeColor="text1"/>
              </w:rPr>
              <w:t xml:space="preserve"> actively participate in court hearings </w:t>
            </w:r>
            <w:r w:rsidRPr="00A10FDB">
              <w:rPr>
                <w:b/>
                <w:bCs/>
                <w:color w:val="000000" w:themeColor="text1"/>
              </w:rPr>
              <w:t>on an equal basis with others</w:t>
            </w:r>
            <w:r w:rsidRPr="00A10FDB">
              <w:rPr>
                <w:rFonts w:cstheme="minorHAnsi"/>
                <w:b/>
                <w:bCs/>
                <w:color w:val="000000" w:themeColor="text1"/>
              </w:rPr>
              <w:t>.</w:t>
            </w:r>
          </w:p>
          <w:p w14:paraId="480E27C1" w14:textId="77777777" w:rsidR="00D86B80" w:rsidRPr="00D86B80" w:rsidRDefault="00D86B80" w:rsidP="00A10FDB">
            <w:pPr>
              <w:spacing w:line="360" w:lineRule="auto"/>
              <w:jc w:val="both"/>
              <w:rPr>
                <w:b/>
              </w:rPr>
            </w:pPr>
          </w:p>
          <w:p w14:paraId="045207FD" w14:textId="52CB9FDB" w:rsidR="00EF1D5E" w:rsidRDefault="00EF1D5E" w:rsidP="00D86B80">
            <w:pPr>
              <w:spacing w:line="360" w:lineRule="auto"/>
              <w:ind w:left="720" w:hanging="720"/>
              <w:jc w:val="both"/>
              <w:rPr>
                <w:b/>
              </w:rPr>
            </w:pPr>
            <w:r w:rsidRPr="00D86B80">
              <w:rPr>
                <w:b/>
              </w:rPr>
              <w:t>4.1</w:t>
            </w:r>
            <w:r w:rsidR="00C1298E">
              <w:rPr>
                <w:b/>
              </w:rPr>
              <w:t>1</w:t>
            </w:r>
            <w:r w:rsidR="00D86B80" w:rsidRPr="00D86B80">
              <w:rPr>
                <w:b/>
              </w:rPr>
              <w:t xml:space="preserve"> the Department </w:t>
            </w:r>
            <w:r w:rsidR="007D5D9F">
              <w:rPr>
                <w:b/>
              </w:rPr>
              <w:t>conducts</w:t>
            </w:r>
            <w:r w:rsidR="007D5D9F" w:rsidRPr="00D86B80">
              <w:rPr>
                <w:b/>
              </w:rPr>
              <w:t xml:space="preserve"> or commission</w:t>
            </w:r>
            <w:r w:rsidR="007D5D9F">
              <w:rPr>
                <w:b/>
              </w:rPr>
              <w:t>s</w:t>
            </w:r>
            <w:r w:rsidR="007D5D9F" w:rsidRPr="00D86B80">
              <w:rPr>
                <w:b/>
              </w:rPr>
              <w:t xml:space="preserve"> </w:t>
            </w:r>
            <w:r w:rsidR="00D86B80" w:rsidRPr="00D86B80">
              <w:rPr>
                <w:b/>
              </w:rPr>
              <w:t xml:space="preserve">research to determine if the use of live links has had adverse consequences on the ability court users </w:t>
            </w:r>
            <w:r w:rsidR="00F700A3">
              <w:rPr>
                <w:b/>
              </w:rPr>
              <w:t>for whom</w:t>
            </w:r>
            <w:r w:rsidR="00F700A3" w:rsidRPr="00D86B80">
              <w:rPr>
                <w:b/>
              </w:rPr>
              <w:t xml:space="preserve"> </w:t>
            </w:r>
            <w:r w:rsidR="00D86B80" w:rsidRPr="00D86B80">
              <w:rPr>
                <w:b/>
              </w:rPr>
              <w:t xml:space="preserve">English </w:t>
            </w:r>
            <w:r w:rsidR="00F700A3">
              <w:rPr>
                <w:b/>
              </w:rPr>
              <w:t xml:space="preserve">is not a first </w:t>
            </w:r>
            <w:r w:rsidR="00D86B80" w:rsidRPr="00D86B80">
              <w:rPr>
                <w:b/>
              </w:rPr>
              <w:t xml:space="preserve">language to participate in and understand the proceedings. This research should specifically examine whether there has been any hindrance to court users </w:t>
            </w:r>
            <w:r w:rsidR="0018683E">
              <w:rPr>
                <w:b/>
              </w:rPr>
              <w:t xml:space="preserve">without English as a first </w:t>
            </w:r>
            <w:r w:rsidR="00D86B80" w:rsidRPr="00D86B80">
              <w:rPr>
                <w:b/>
              </w:rPr>
              <w:t>language consulting with their legal representatives</w:t>
            </w:r>
          </w:p>
          <w:p w14:paraId="1D440DD5" w14:textId="77777777" w:rsidR="007555E6" w:rsidRPr="003701FB" w:rsidRDefault="007555E6" w:rsidP="007555E6">
            <w:pPr>
              <w:pStyle w:val="ListParagraph"/>
              <w:ind w:hanging="720"/>
              <w:rPr>
                <w:rFonts w:cstheme="minorHAnsi"/>
                <w:color w:val="000000" w:themeColor="text1"/>
              </w:rPr>
            </w:pPr>
          </w:p>
          <w:p w14:paraId="56D3553B" w14:textId="482C553E" w:rsidR="007555E6" w:rsidRPr="00C1298E" w:rsidRDefault="007555E6" w:rsidP="00C1298E">
            <w:pPr>
              <w:pStyle w:val="ListParagraph"/>
              <w:numPr>
                <w:ilvl w:val="1"/>
                <w:numId w:val="32"/>
              </w:numPr>
              <w:spacing w:beforeLines="24" w:before="57" w:afterLines="24" w:after="57" w:line="360" w:lineRule="auto"/>
              <w:jc w:val="both"/>
              <w:rPr>
                <w:rFonts w:cstheme="minorHAnsi"/>
                <w:b/>
                <w:bCs/>
                <w:color w:val="000000" w:themeColor="text1"/>
              </w:rPr>
            </w:pPr>
            <w:r w:rsidRPr="00C1298E">
              <w:rPr>
                <w:rFonts w:cstheme="minorHAnsi"/>
                <w:b/>
                <w:bCs/>
                <w:color w:val="000000" w:themeColor="text1"/>
              </w:rPr>
              <w:t>the Department carefully consider</w:t>
            </w:r>
            <w:r w:rsidR="00392510" w:rsidRPr="00C1298E">
              <w:rPr>
                <w:rFonts w:cstheme="minorHAnsi"/>
                <w:b/>
                <w:bCs/>
                <w:color w:val="000000" w:themeColor="text1"/>
              </w:rPr>
              <w:t>s</w:t>
            </w:r>
            <w:r w:rsidRPr="00C1298E">
              <w:rPr>
                <w:rFonts w:cstheme="minorHAnsi"/>
                <w:b/>
                <w:bCs/>
                <w:color w:val="000000" w:themeColor="text1"/>
              </w:rPr>
              <w:t xml:space="preserve"> the provisions of the EU Victims’ Directive and the EU Directive on Interpretation and Translation in Criminal Proceedings </w:t>
            </w:r>
            <w:r w:rsidRPr="00C1298E">
              <w:rPr>
                <w:b/>
                <w:bCs/>
                <w:color w:val="000000" w:themeColor="text1"/>
              </w:rPr>
              <w:t xml:space="preserve">in relation to vulnerable court users, particularly those for whom English is not a first language, </w:t>
            </w:r>
            <w:r w:rsidRPr="00C1298E">
              <w:rPr>
                <w:rFonts w:cstheme="minorHAnsi"/>
                <w:b/>
                <w:bCs/>
                <w:color w:val="000000" w:themeColor="text1"/>
              </w:rPr>
              <w:t>in the development of live links legislation and policy.</w:t>
            </w:r>
          </w:p>
          <w:p w14:paraId="5B29C2BD" w14:textId="77777777" w:rsidR="00420DE6" w:rsidRPr="00D86B80" w:rsidRDefault="00420DE6" w:rsidP="00A10FDB">
            <w:pPr>
              <w:spacing w:line="360" w:lineRule="auto"/>
              <w:jc w:val="both"/>
              <w:rPr>
                <w:b/>
              </w:rPr>
            </w:pPr>
          </w:p>
          <w:p w14:paraId="69C4CF09" w14:textId="611E501C" w:rsidR="00521B48" w:rsidRPr="00D86B80" w:rsidRDefault="004E6FBF" w:rsidP="00BA0A20">
            <w:pPr>
              <w:spacing w:line="360" w:lineRule="auto"/>
              <w:ind w:left="720" w:hanging="720"/>
              <w:jc w:val="both"/>
              <w:rPr>
                <w:b/>
              </w:rPr>
            </w:pPr>
            <w:r>
              <w:rPr>
                <w:b/>
              </w:rPr>
              <w:t>4.</w:t>
            </w:r>
            <w:r w:rsidR="00BC2459">
              <w:rPr>
                <w:b/>
              </w:rPr>
              <w:t>1</w:t>
            </w:r>
            <w:r w:rsidR="003F63C3">
              <w:rPr>
                <w:b/>
              </w:rPr>
              <w:t>6</w:t>
            </w:r>
            <w:r w:rsidR="00420DE6" w:rsidRPr="00D86B80">
              <w:rPr>
                <w:b/>
              </w:rPr>
              <w:t xml:space="preserve"> </w:t>
            </w:r>
            <w:r w:rsidR="006A7467" w:rsidRPr="00D86B80">
              <w:rPr>
                <w:b/>
              </w:rPr>
              <w:t>the Department conduct</w:t>
            </w:r>
            <w:r w:rsidR="00071FEE">
              <w:rPr>
                <w:b/>
              </w:rPr>
              <w:t>s</w:t>
            </w:r>
            <w:r w:rsidR="00AA6898">
              <w:rPr>
                <w:b/>
              </w:rPr>
              <w:t xml:space="preserve"> or commissions</w:t>
            </w:r>
            <w:r w:rsidR="006A7467" w:rsidRPr="00D86B80">
              <w:rPr>
                <w:b/>
              </w:rPr>
              <w:t xml:space="preserve"> research to assure itself that existing arrangements for informing a court </w:t>
            </w:r>
            <w:r w:rsidR="00071FEE">
              <w:rPr>
                <w:b/>
              </w:rPr>
              <w:t>or</w:t>
            </w:r>
            <w:r w:rsidR="00071FEE" w:rsidRPr="00D86B80">
              <w:rPr>
                <w:b/>
              </w:rPr>
              <w:t xml:space="preserve"> </w:t>
            </w:r>
            <w:r w:rsidR="006A7467" w:rsidRPr="00D86B80">
              <w:rPr>
                <w:b/>
              </w:rPr>
              <w:t xml:space="preserve">Tribunal of the circumstances of court users are sufficiently robust to ensure decisions relating to the use of live links are appropriately informed of the circumstances of all court users. </w:t>
            </w:r>
          </w:p>
        </w:tc>
      </w:tr>
    </w:tbl>
    <w:p w14:paraId="348A713F" w14:textId="77777777" w:rsidR="00AD7FF5" w:rsidRDefault="00AD7FF5" w:rsidP="00A10FDB">
      <w:pPr>
        <w:pStyle w:val="Heading1"/>
        <w:spacing w:before="24" w:afterLines="24" w:after="57" w:line="360" w:lineRule="auto"/>
        <w:jc w:val="both"/>
      </w:pPr>
      <w:bookmarkStart w:id="1" w:name="_Toc114068784"/>
    </w:p>
    <w:p w14:paraId="6E321A2B" w14:textId="46C95338" w:rsidR="00E1298F" w:rsidRPr="00D24ED0" w:rsidRDefault="00E1298F" w:rsidP="00BA73F5">
      <w:pPr>
        <w:pStyle w:val="Heading1"/>
        <w:numPr>
          <w:ilvl w:val="0"/>
          <w:numId w:val="16"/>
        </w:numPr>
        <w:spacing w:before="24" w:afterLines="24" w:after="57" w:line="360" w:lineRule="auto"/>
        <w:jc w:val="both"/>
      </w:pPr>
      <w:r w:rsidRPr="00D24ED0">
        <w:t>Introduction</w:t>
      </w:r>
      <w:bookmarkEnd w:id="1"/>
    </w:p>
    <w:p w14:paraId="29ECCDBC" w14:textId="3A4DCED9" w:rsidR="008F6F9D" w:rsidRPr="006231F1" w:rsidRDefault="008F6F9D" w:rsidP="003E37ED">
      <w:pPr>
        <w:pStyle w:val="ListParagraph"/>
        <w:numPr>
          <w:ilvl w:val="1"/>
          <w:numId w:val="16"/>
        </w:numPr>
        <w:spacing w:before="24" w:afterLines="120" w:after="288" w:line="360" w:lineRule="auto"/>
        <w:ind w:left="720"/>
        <w:jc w:val="both"/>
        <w:rPr>
          <w:color w:val="000000" w:themeColor="text1"/>
        </w:rPr>
      </w:pPr>
      <w:r w:rsidRPr="006231F1">
        <w:rPr>
          <w:color w:val="000000" w:themeColor="text1"/>
        </w:rPr>
        <w:t xml:space="preserve">The Northern Ireland Human Rights Commission (the NIHRC), pursuant to Section 69(1) the Northern Ireland Act 1998, reviews the adequacy and effectiveness of law and practice relating to the protection of human rights. </w:t>
      </w:r>
      <w:r w:rsidR="00AE5470" w:rsidRPr="006231F1">
        <w:rPr>
          <w:color w:val="000000" w:themeColor="text1"/>
        </w:rPr>
        <w:t>The NIHRC is also mandated, under section 78</w:t>
      </w:r>
      <w:proofErr w:type="gramStart"/>
      <w:r w:rsidR="00AE5470" w:rsidRPr="006231F1">
        <w:rPr>
          <w:color w:val="000000" w:themeColor="text1"/>
        </w:rPr>
        <w:t>A(</w:t>
      </w:r>
      <w:proofErr w:type="gramEnd"/>
      <w:r w:rsidR="00AE5470" w:rsidRPr="006231F1">
        <w:rPr>
          <w:color w:val="000000" w:themeColor="text1"/>
        </w:rPr>
        <w:t xml:space="preserve">1) to monitor the implementation of Article 2(1) of the Protocol on Ireland/NI of the UK-EU Withdrawal Agreement (Protocol Article 2). </w:t>
      </w:r>
      <w:r w:rsidRPr="006231F1">
        <w:rPr>
          <w:color w:val="000000" w:themeColor="text1"/>
        </w:rPr>
        <w:t xml:space="preserve">In accordance with these functions the NIHRC provides this submission to the Department of Justice’s consultation on Audio and Video links (Live Links) for Northern Ireland Court and Tribunal Hearings. </w:t>
      </w:r>
    </w:p>
    <w:p w14:paraId="0F30D4A3" w14:textId="77777777" w:rsidR="008F6F9D" w:rsidRPr="006231F1" w:rsidRDefault="008F6F9D" w:rsidP="003E37ED">
      <w:pPr>
        <w:pStyle w:val="ListParagraph"/>
        <w:spacing w:before="24" w:afterLines="120" w:after="288" w:line="360" w:lineRule="auto"/>
        <w:ind w:hanging="720"/>
        <w:jc w:val="both"/>
        <w:rPr>
          <w:color w:val="000000" w:themeColor="text1"/>
        </w:rPr>
      </w:pPr>
    </w:p>
    <w:p w14:paraId="034AE39F" w14:textId="06CF0F80" w:rsidR="008205B4" w:rsidRPr="006231F1" w:rsidRDefault="008205B4" w:rsidP="003E37ED">
      <w:pPr>
        <w:pStyle w:val="ListParagraph"/>
        <w:numPr>
          <w:ilvl w:val="1"/>
          <w:numId w:val="16"/>
        </w:numPr>
        <w:spacing w:before="24" w:afterLines="120" w:after="288" w:line="360" w:lineRule="auto"/>
        <w:ind w:left="720"/>
        <w:jc w:val="both"/>
        <w:rPr>
          <w:color w:val="000000" w:themeColor="text1"/>
        </w:rPr>
      </w:pPr>
      <w:r w:rsidRPr="006231F1">
        <w:rPr>
          <w:color w:val="000000" w:themeColor="text1"/>
        </w:rPr>
        <w:t>The NIHRC bases its advice on the full range of internationally accepted human rights standards, including the European Convention on Human Rights</w:t>
      </w:r>
      <w:r w:rsidR="005C54F1">
        <w:rPr>
          <w:color w:val="000000" w:themeColor="text1"/>
        </w:rPr>
        <w:t xml:space="preserve"> (ECHR)</w:t>
      </w:r>
      <w:r w:rsidRPr="006231F1">
        <w:rPr>
          <w:color w:val="000000" w:themeColor="text1"/>
        </w:rPr>
        <w:t>, as incorporated by the Human Rights Act 1998 and the treaty obligations of the Council of Europe (</w:t>
      </w:r>
      <w:proofErr w:type="spellStart"/>
      <w:r w:rsidRPr="006231F1">
        <w:rPr>
          <w:color w:val="000000" w:themeColor="text1"/>
        </w:rPr>
        <w:t>CoE</w:t>
      </w:r>
      <w:proofErr w:type="spellEnd"/>
      <w:r w:rsidRPr="006231F1">
        <w:rPr>
          <w:color w:val="000000" w:themeColor="text1"/>
        </w:rPr>
        <w:t xml:space="preserve">) and United Nations (UN) systems. In addition to these treaty standards, there exists a body of ‘soft law’ developed by the human rights bodies of the </w:t>
      </w:r>
      <w:proofErr w:type="spellStart"/>
      <w:r w:rsidRPr="006231F1">
        <w:rPr>
          <w:color w:val="000000" w:themeColor="text1"/>
        </w:rPr>
        <w:t>CoE</w:t>
      </w:r>
      <w:proofErr w:type="spellEnd"/>
      <w:r w:rsidRPr="006231F1">
        <w:rPr>
          <w:color w:val="000000" w:themeColor="text1"/>
        </w:rPr>
        <w:t xml:space="preserve"> and UN. These declarations and principles are non-</w:t>
      </w:r>
      <w:proofErr w:type="gramStart"/>
      <w:r w:rsidRPr="006231F1">
        <w:rPr>
          <w:color w:val="000000" w:themeColor="text1"/>
        </w:rPr>
        <w:t>binding, but</w:t>
      </w:r>
      <w:proofErr w:type="gramEnd"/>
      <w:r w:rsidRPr="006231F1">
        <w:rPr>
          <w:color w:val="000000" w:themeColor="text1"/>
        </w:rPr>
        <w:t xml:space="preserve"> provide further guidance in respect of specific areas. </w:t>
      </w:r>
    </w:p>
    <w:p w14:paraId="7D85034F" w14:textId="77777777" w:rsidR="00AE5470" w:rsidRPr="006231F1" w:rsidRDefault="00AE5470" w:rsidP="00DA79A9">
      <w:pPr>
        <w:pStyle w:val="ListParagraph"/>
        <w:rPr>
          <w:color w:val="000000" w:themeColor="text1"/>
        </w:rPr>
      </w:pPr>
    </w:p>
    <w:p w14:paraId="5CA693E8" w14:textId="29DE2D22" w:rsidR="00AE5470" w:rsidRPr="006231F1" w:rsidRDefault="00AE5470" w:rsidP="007777E5">
      <w:pPr>
        <w:pStyle w:val="ListParagraph"/>
        <w:numPr>
          <w:ilvl w:val="1"/>
          <w:numId w:val="16"/>
        </w:numPr>
        <w:spacing w:before="24" w:afterLines="120" w:after="288" w:line="360" w:lineRule="auto"/>
        <w:ind w:left="720"/>
        <w:jc w:val="both"/>
        <w:rPr>
          <w:color w:val="000000" w:themeColor="text1"/>
        </w:rPr>
      </w:pPr>
      <w:r w:rsidRPr="006231F1">
        <w:rPr>
          <w:color w:val="000000" w:themeColor="text1"/>
        </w:rPr>
        <w:t xml:space="preserve">The NIHRC further advises on the UK Government’s commitment in Protocol Article 2 to ensure there is no diminution of rights, safeguards and equality of opportunity in the relevant section of the Belfast (Good Friday) Agreement as a result of the UK’s withdrawal from the EU. This is given effect in UK law by section 7A of the EU (Withdrawal) Act 2018. In addition, section 6 of the NI Act 1998 prohibits the NI Assembly from making any law which is incompatible with Protocol Article 2. Section 24 of the 1998 Act also requires all acts of NI Ministers and NI Departments to be compatible with Protocol Article 2.  </w:t>
      </w:r>
    </w:p>
    <w:p w14:paraId="1E3FF981" w14:textId="77777777" w:rsidR="008F6F9D" w:rsidRDefault="008F6F9D" w:rsidP="00BA73F5">
      <w:pPr>
        <w:pStyle w:val="ListParagraph"/>
        <w:spacing w:before="24" w:afterLines="24" w:after="57" w:line="360" w:lineRule="auto"/>
        <w:ind w:hanging="720"/>
        <w:jc w:val="both"/>
      </w:pPr>
    </w:p>
    <w:p w14:paraId="3A97D762" w14:textId="69C140CF" w:rsidR="00DA79A9" w:rsidRDefault="00DA79A9" w:rsidP="00BA73F5">
      <w:pPr>
        <w:pStyle w:val="Heading1"/>
        <w:numPr>
          <w:ilvl w:val="0"/>
          <w:numId w:val="19"/>
        </w:numPr>
        <w:spacing w:before="24" w:afterLines="24" w:after="57" w:line="360" w:lineRule="auto"/>
        <w:jc w:val="both"/>
      </w:pPr>
      <w:bookmarkStart w:id="2" w:name="_Toc114068785"/>
      <w:r>
        <w:t>Protocol Article 2</w:t>
      </w:r>
      <w:bookmarkEnd w:id="2"/>
      <w:r>
        <w:t xml:space="preserve"> </w:t>
      </w:r>
    </w:p>
    <w:p w14:paraId="531BA211" w14:textId="4065FFC2" w:rsidR="003E5F2A" w:rsidRPr="006231F1" w:rsidRDefault="003E5F2A" w:rsidP="00663300">
      <w:pPr>
        <w:pStyle w:val="ListParagraph"/>
        <w:numPr>
          <w:ilvl w:val="1"/>
          <w:numId w:val="19"/>
        </w:numPr>
        <w:spacing w:beforeLines="24" w:before="57" w:afterLines="24" w:after="57" w:line="360" w:lineRule="auto"/>
        <w:ind w:left="720"/>
        <w:jc w:val="both"/>
        <w:rPr>
          <w:rFonts w:cstheme="minorHAnsi"/>
          <w:color w:val="000000" w:themeColor="text1"/>
        </w:rPr>
      </w:pPr>
      <w:r w:rsidRPr="006231F1">
        <w:rPr>
          <w:rFonts w:cstheme="minorHAnsi"/>
          <w:color w:val="000000" w:themeColor="text1"/>
        </w:rPr>
        <w:t xml:space="preserve">Protocol Article 2 requires the UK Government and the NI Executive to ensure that no diminution of rights, safeguards and equality of opportunities contained in the relevant part of the Belfast (Good Friday) Agreement 1998 occurs as a result of the UK’s withdrawal from the EU. This includes an obligation to “keep pace” with any changes made by </w:t>
      </w:r>
      <w:r w:rsidR="009E6D4F">
        <w:rPr>
          <w:rFonts w:cstheme="minorHAnsi"/>
          <w:color w:val="000000" w:themeColor="text1"/>
        </w:rPr>
        <w:t xml:space="preserve">the </w:t>
      </w:r>
      <w:r w:rsidRPr="006231F1">
        <w:rPr>
          <w:rFonts w:cstheme="minorHAnsi"/>
          <w:color w:val="000000" w:themeColor="text1"/>
        </w:rPr>
        <w:t>EU to the six Annex 1 Equality Directives which improve on the minimum levels of protection available, on or after 1 January 2021.</w:t>
      </w:r>
      <w:r w:rsidRPr="006231F1">
        <w:rPr>
          <w:color w:val="000000" w:themeColor="text1"/>
          <w:vertAlign w:val="superscript"/>
        </w:rPr>
        <w:footnoteReference w:id="2"/>
      </w:r>
    </w:p>
    <w:p w14:paraId="6625464C" w14:textId="77777777" w:rsidR="003E5F2A" w:rsidRPr="006231F1" w:rsidRDefault="003E5F2A" w:rsidP="00663300">
      <w:pPr>
        <w:spacing w:beforeLines="24" w:before="57" w:afterLines="24" w:after="57" w:line="360" w:lineRule="auto"/>
        <w:ind w:hanging="720"/>
        <w:jc w:val="both"/>
        <w:rPr>
          <w:rFonts w:cstheme="minorHAnsi"/>
          <w:color w:val="000000" w:themeColor="text1"/>
        </w:rPr>
      </w:pPr>
    </w:p>
    <w:p w14:paraId="3F06C440" w14:textId="1715FF0E" w:rsidR="003E5F2A" w:rsidRPr="006231F1" w:rsidRDefault="003E5F2A" w:rsidP="00247DEB">
      <w:pPr>
        <w:pStyle w:val="ListParagraph"/>
        <w:numPr>
          <w:ilvl w:val="1"/>
          <w:numId w:val="19"/>
        </w:numPr>
        <w:spacing w:beforeLines="24" w:before="57" w:afterLines="24" w:after="57" w:line="360" w:lineRule="auto"/>
        <w:ind w:left="720"/>
        <w:jc w:val="both"/>
        <w:rPr>
          <w:color w:val="000000" w:themeColor="text1"/>
        </w:rPr>
      </w:pPr>
      <w:r w:rsidRPr="006231F1">
        <w:rPr>
          <w:rFonts w:cstheme="minorHAnsi"/>
          <w:color w:val="000000" w:themeColor="text1"/>
        </w:rPr>
        <w:t xml:space="preserve">For other EU obligations which underpin the rights, safeguards and equality of opportunity in Protocol Article 2, the UK Government commitment to ensure ‘no diminution’ is measured by the relevant EU standards on 31 December 2020. </w:t>
      </w:r>
      <w:r w:rsidRPr="006231F1">
        <w:rPr>
          <w:color w:val="000000" w:themeColor="text1"/>
        </w:rPr>
        <w:t xml:space="preserve">Further, where required by the UK-EU Withdrawal </w:t>
      </w:r>
      <w:r w:rsidRPr="006231F1">
        <w:rPr>
          <w:color w:val="000000" w:themeColor="text1"/>
        </w:rPr>
        <w:lastRenderedPageBreak/>
        <w:t xml:space="preserve">Agreement, including the Protocol and Article 2, the EU Charter of Fundamental Rights continues to have relevance in NI.  </w:t>
      </w:r>
    </w:p>
    <w:p w14:paraId="01A3A1A5" w14:textId="77777777" w:rsidR="003E5F2A" w:rsidRPr="006231F1" w:rsidRDefault="003E5F2A" w:rsidP="00663300">
      <w:pPr>
        <w:pStyle w:val="ListParagraph"/>
        <w:spacing w:beforeLines="24" w:before="57" w:afterLines="24" w:after="57" w:line="360" w:lineRule="auto"/>
        <w:ind w:left="0"/>
        <w:jc w:val="both"/>
        <w:rPr>
          <w:rFonts w:cstheme="minorHAnsi"/>
          <w:color w:val="000000" w:themeColor="text1"/>
        </w:rPr>
      </w:pPr>
    </w:p>
    <w:p w14:paraId="74256C26" w14:textId="41E682E5" w:rsidR="00BD32BC" w:rsidRDefault="003E5F2A" w:rsidP="009D5898">
      <w:pPr>
        <w:pStyle w:val="ListParagraph"/>
        <w:numPr>
          <w:ilvl w:val="1"/>
          <w:numId w:val="19"/>
        </w:numPr>
        <w:spacing w:beforeLines="24" w:before="57" w:afterLines="24" w:after="57" w:line="360" w:lineRule="auto"/>
        <w:ind w:left="720"/>
        <w:jc w:val="both"/>
        <w:rPr>
          <w:rFonts w:cstheme="minorHAnsi"/>
          <w:color w:val="000000" w:themeColor="text1"/>
        </w:rPr>
      </w:pPr>
      <w:r w:rsidRPr="006231F1">
        <w:rPr>
          <w:rFonts w:cstheme="minorHAnsi"/>
          <w:color w:val="000000" w:themeColor="text1"/>
        </w:rPr>
        <w:t xml:space="preserve">The parties to the Belfast (Good Friday) Agreement affirmed their commitment to </w:t>
      </w:r>
      <w:r w:rsidRPr="006231F1">
        <w:rPr>
          <w:color w:val="000000" w:themeColor="text1"/>
        </w:rPr>
        <w:t>a non-exhaustive list of rights including the “right to equality of opportunity in all social and economic activity, regardless of class, creed, disability, gender or ethnicity”</w:t>
      </w:r>
      <w:r w:rsidRPr="006231F1">
        <w:rPr>
          <w:rFonts w:cstheme="minorHAnsi"/>
          <w:color w:val="000000" w:themeColor="text1"/>
        </w:rPr>
        <w:t xml:space="preserve">. </w:t>
      </w:r>
      <w:r w:rsidR="00832E55" w:rsidRPr="006231F1">
        <w:rPr>
          <w:rFonts w:cstheme="minorHAnsi"/>
          <w:color w:val="000000" w:themeColor="text1"/>
        </w:rPr>
        <w:t>T</w:t>
      </w:r>
      <w:r w:rsidR="00B45D1F" w:rsidRPr="006231F1">
        <w:rPr>
          <w:rFonts w:cstheme="minorHAnsi"/>
          <w:color w:val="000000" w:themeColor="text1"/>
        </w:rPr>
        <w:t xml:space="preserve">he </w:t>
      </w:r>
      <w:r w:rsidRPr="006231F1">
        <w:rPr>
          <w:rFonts w:cstheme="minorHAnsi"/>
          <w:color w:val="000000" w:themeColor="text1"/>
        </w:rPr>
        <w:t xml:space="preserve">chapter </w:t>
      </w:r>
      <w:r w:rsidR="00B45D1F" w:rsidRPr="006231F1">
        <w:rPr>
          <w:rFonts w:cstheme="minorHAnsi"/>
          <w:color w:val="000000" w:themeColor="text1"/>
        </w:rPr>
        <w:t xml:space="preserve">also </w:t>
      </w:r>
      <w:r w:rsidRPr="006231F1">
        <w:rPr>
          <w:rFonts w:cstheme="minorHAnsi"/>
          <w:color w:val="000000" w:themeColor="text1"/>
        </w:rPr>
        <w:t>recognises “the right of victims to remember as well as to contribute to a changed society”.</w:t>
      </w:r>
      <w:r w:rsidRPr="006231F1">
        <w:rPr>
          <w:color w:val="000000" w:themeColor="text1"/>
          <w:vertAlign w:val="superscript"/>
        </w:rPr>
        <w:footnoteReference w:id="3"/>
      </w:r>
      <w:r w:rsidRPr="006231F1">
        <w:rPr>
          <w:rFonts w:cstheme="minorHAnsi"/>
          <w:color w:val="000000" w:themeColor="text1"/>
        </w:rPr>
        <w:t xml:space="preserve"> The UK Government has recognised </w:t>
      </w:r>
      <w:r w:rsidRPr="006231F1">
        <w:rPr>
          <w:color w:val="000000" w:themeColor="text1"/>
        </w:rPr>
        <w:t>that this includes, but is not limited to,</w:t>
      </w:r>
      <w:r w:rsidRPr="006231F1">
        <w:rPr>
          <w:rFonts w:cstheme="minorHAnsi"/>
          <w:color w:val="000000" w:themeColor="text1"/>
        </w:rPr>
        <w:t xml:space="preserve"> the EU Victims’ Directive.</w:t>
      </w:r>
      <w:r w:rsidRPr="006231F1">
        <w:rPr>
          <w:color w:val="000000" w:themeColor="text1"/>
          <w:vertAlign w:val="superscript"/>
        </w:rPr>
        <w:footnoteReference w:id="4"/>
      </w:r>
      <w:r w:rsidRPr="006231F1">
        <w:rPr>
          <w:rFonts w:cstheme="minorHAnsi"/>
          <w:color w:val="000000" w:themeColor="text1"/>
        </w:rPr>
        <w:t xml:space="preserve"> </w:t>
      </w:r>
    </w:p>
    <w:p w14:paraId="5AB2F20D" w14:textId="77777777" w:rsidR="00BD32BC" w:rsidRPr="00D50852" w:rsidRDefault="00BD32BC" w:rsidP="00D50852">
      <w:pPr>
        <w:pStyle w:val="ListParagraph"/>
        <w:rPr>
          <w:rFonts w:cstheme="minorHAnsi"/>
          <w:color w:val="000000" w:themeColor="text1"/>
        </w:rPr>
      </w:pPr>
    </w:p>
    <w:p w14:paraId="64138C1C" w14:textId="63862CBA" w:rsidR="002922ED" w:rsidRPr="002922ED" w:rsidRDefault="002922ED" w:rsidP="007D643F">
      <w:pPr>
        <w:pStyle w:val="ListParagraph"/>
        <w:numPr>
          <w:ilvl w:val="1"/>
          <w:numId w:val="19"/>
        </w:numPr>
        <w:spacing w:beforeLines="24" w:before="57" w:afterLines="24" w:after="57" w:line="360" w:lineRule="auto"/>
        <w:ind w:left="720"/>
        <w:jc w:val="both"/>
        <w:rPr>
          <w:rFonts w:cstheme="minorHAnsi"/>
          <w:color w:val="000000" w:themeColor="text1"/>
        </w:rPr>
      </w:pPr>
      <w:r w:rsidRPr="006231F1" w:rsidDel="00BD32BC">
        <w:rPr>
          <w:color w:val="000000" w:themeColor="text1"/>
        </w:rPr>
        <w:t>In addition to the listed rights, safeguards and equality of opportunity protections, the Belfast (Good Friday) Agreement also commits the UK Government to the incorporation of the ECHR. Thus, the non-diminution commitment in Protocol Article 2 encompasses the full range of rights set out in the ECHR, to the extent that they are underpinned by EU legal obligations in force on or before 31 December 2020.</w:t>
      </w:r>
    </w:p>
    <w:p w14:paraId="5CF2F4BF" w14:textId="77777777" w:rsidR="002922ED" w:rsidRPr="00D50852" w:rsidRDefault="002922ED" w:rsidP="00D50852">
      <w:pPr>
        <w:pStyle w:val="ListParagraph"/>
        <w:rPr>
          <w:color w:val="000000" w:themeColor="text1"/>
        </w:rPr>
      </w:pPr>
    </w:p>
    <w:p w14:paraId="7D7CFAF9" w14:textId="1D6C4730" w:rsidR="003E5F2A" w:rsidRPr="002A2462" w:rsidRDefault="007D643F" w:rsidP="00D50852">
      <w:pPr>
        <w:pStyle w:val="ListParagraph"/>
        <w:numPr>
          <w:ilvl w:val="1"/>
          <w:numId w:val="19"/>
        </w:numPr>
        <w:spacing w:beforeLines="24" w:before="57" w:afterLines="24" w:after="57" w:line="360" w:lineRule="auto"/>
        <w:ind w:left="720"/>
        <w:jc w:val="both"/>
        <w:rPr>
          <w:rFonts w:cstheme="minorHAnsi"/>
          <w:color w:val="000000" w:themeColor="text1"/>
        </w:rPr>
      </w:pPr>
      <w:r w:rsidRPr="00D50852">
        <w:rPr>
          <w:rFonts w:cstheme="minorHAnsi"/>
          <w:color w:val="000000" w:themeColor="text1"/>
        </w:rPr>
        <w:t xml:space="preserve">Article 6(3)(e) </w:t>
      </w:r>
      <w:r w:rsidR="00D50852" w:rsidRPr="00D50852">
        <w:rPr>
          <w:rFonts w:cstheme="minorHAnsi"/>
          <w:color w:val="000000" w:themeColor="text1"/>
        </w:rPr>
        <w:t xml:space="preserve">of the </w:t>
      </w:r>
      <w:r w:rsidRPr="00D50852">
        <w:rPr>
          <w:rFonts w:cstheme="minorHAnsi"/>
          <w:color w:val="000000" w:themeColor="text1"/>
        </w:rPr>
        <w:t xml:space="preserve">ECHR states that everyone charged with a criminal offence has the right “to have the free assistance of an interpreter if he cannot understand or speak the language used in court”. </w:t>
      </w:r>
      <w:r w:rsidR="00F56E94" w:rsidRPr="00D50852">
        <w:rPr>
          <w:rFonts w:cstheme="minorHAnsi"/>
          <w:color w:val="000000" w:themeColor="text1"/>
        </w:rPr>
        <w:t>The EU Directive on Interpretation and Translation in Criminal Proceedings establishes minimum protections for suspected or accused persons who do not speak or understand the language of the criminal proceedings.</w:t>
      </w:r>
      <w:r w:rsidR="00F56E94" w:rsidRPr="00F56E94">
        <w:rPr>
          <w:rFonts w:cstheme="minorHAnsi"/>
          <w:color w:val="000000" w:themeColor="text1"/>
          <w:vertAlign w:val="superscript"/>
        </w:rPr>
        <w:footnoteReference w:id="5"/>
      </w:r>
      <w:r w:rsidR="00F56E94" w:rsidRPr="00D50852">
        <w:rPr>
          <w:rFonts w:cstheme="minorHAnsi"/>
          <w:color w:val="000000" w:themeColor="text1"/>
        </w:rPr>
        <w:t xml:space="preserve"> This Directive facilitates the application of Article 6 </w:t>
      </w:r>
      <w:r w:rsidR="00A73CB1" w:rsidRPr="00D50852">
        <w:rPr>
          <w:rFonts w:cstheme="minorHAnsi"/>
          <w:color w:val="000000" w:themeColor="text1"/>
        </w:rPr>
        <w:t xml:space="preserve">ECHR </w:t>
      </w:r>
      <w:r w:rsidR="00F56E94" w:rsidRPr="00D50852">
        <w:rPr>
          <w:rFonts w:cstheme="minorHAnsi"/>
          <w:color w:val="000000" w:themeColor="text1"/>
        </w:rPr>
        <w:t>and aims “to ensure the right of suspected or accused persons to interpretation and translation in criminal proceedings with a view to ensuring their right to a fair</w:t>
      </w:r>
      <w:r w:rsidR="009D0044" w:rsidRPr="00D50852">
        <w:rPr>
          <w:rFonts w:cstheme="minorHAnsi"/>
          <w:color w:val="000000" w:themeColor="text1"/>
        </w:rPr>
        <w:t xml:space="preserve"> </w:t>
      </w:r>
      <w:r w:rsidR="00F56E94" w:rsidRPr="00D50852">
        <w:rPr>
          <w:rFonts w:cstheme="minorHAnsi"/>
          <w:color w:val="000000" w:themeColor="text1"/>
        </w:rPr>
        <w:t>trial”.</w:t>
      </w:r>
      <w:r w:rsidR="00F56E94" w:rsidRPr="00F56E94">
        <w:rPr>
          <w:rFonts w:cstheme="minorHAnsi"/>
          <w:color w:val="000000" w:themeColor="text1"/>
          <w:vertAlign w:val="superscript"/>
        </w:rPr>
        <w:footnoteReference w:id="6"/>
      </w:r>
      <w:r w:rsidR="009D5898" w:rsidRPr="00D50852">
        <w:rPr>
          <w:rFonts w:cstheme="minorHAnsi"/>
          <w:color w:val="000000" w:themeColor="text1"/>
        </w:rPr>
        <w:t xml:space="preserve"> </w:t>
      </w:r>
      <w:r w:rsidR="00A1531A" w:rsidRPr="00D50852">
        <w:rPr>
          <w:rFonts w:cstheme="minorHAnsi"/>
          <w:color w:val="000000" w:themeColor="text1"/>
        </w:rPr>
        <w:t xml:space="preserve">As the UK </w:t>
      </w:r>
      <w:r w:rsidR="00A1531A" w:rsidRPr="00D50852">
        <w:rPr>
          <w:rFonts w:cstheme="minorHAnsi"/>
          <w:color w:val="000000" w:themeColor="text1"/>
        </w:rPr>
        <w:lastRenderedPageBreak/>
        <w:t xml:space="preserve">had opted into the </w:t>
      </w:r>
      <w:r w:rsidR="006E7B61" w:rsidRPr="00D50852">
        <w:rPr>
          <w:rFonts w:cstheme="minorHAnsi"/>
          <w:color w:val="000000" w:themeColor="text1"/>
        </w:rPr>
        <w:t>EU Directive on Interpretation and Translation in Criminal Proceeding</w:t>
      </w:r>
      <w:r w:rsidR="00A1531A" w:rsidRPr="00D50852">
        <w:rPr>
          <w:rFonts w:cstheme="minorHAnsi"/>
          <w:color w:val="000000" w:themeColor="text1"/>
        </w:rPr>
        <w:t>,</w:t>
      </w:r>
      <w:r w:rsidR="002A2462" w:rsidRPr="00F56E94">
        <w:rPr>
          <w:rFonts w:cstheme="minorHAnsi"/>
          <w:color w:val="000000" w:themeColor="text1"/>
          <w:vertAlign w:val="superscript"/>
        </w:rPr>
        <w:footnoteReference w:id="7"/>
      </w:r>
      <w:r w:rsidR="00A1531A" w:rsidRPr="00D50852">
        <w:rPr>
          <w:rFonts w:cstheme="minorHAnsi"/>
          <w:color w:val="000000" w:themeColor="text1"/>
        </w:rPr>
        <w:t xml:space="preserve"> it </w:t>
      </w:r>
      <w:r w:rsidR="006E7B61" w:rsidRPr="00D50852">
        <w:rPr>
          <w:rFonts w:cstheme="minorHAnsi"/>
          <w:color w:val="000000" w:themeColor="text1"/>
        </w:rPr>
        <w:t>was binding on the</w:t>
      </w:r>
      <w:r w:rsidR="009D5898" w:rsidRPr="00D50852">
        <w:rPr>
          <w:rFonts w:cstheme="minorHAnsi"/>
          <w:color w:val="000000" w:themeColor="text1"/>
        </w:rPr>
        <w:t xml:space="preserve"> </w:t>
      </w:r>
      <w:r w:rsidR="001E35CC" w:rsidRPr="00D50852">
        <w:rPr>
          <w:rFonts w:cstheme="minorHAnsi"/>
          <w:color w:val="000000" w:themeColor="text1"/>
        </w:rPr>
        <w:t xml:space="preserve">UK </w:t>
      </w:r>
      <w:r w:rsidR="0028752F" w:rsidRPr="00D50852">
        <w:rPr>
          <w:rFonts w:cstheme="minorHAnsi"/>
          <w:color w:val="000000" w:themeColor="text1"/>
        </w:rPr>
        <w:t>on 31</w:t>
      </w:r>
      <w:r w:rsidR="00C20886" w:rsidRPr="00D50852">
        <w:rPr>
          <w:rFonts w:cstheme="minorHAnsi"/>
          <w:color w:val="000000" w:themeColor="text1"/>
        </w:rPr>
        <w:t xml:space="preserve"> December</w:t>
      </w:r>
      <w:r w:rsidR="0028752F" w:rsidRPr="00D50852">
        <w:rPr>
          <w:rFonts w:cstheme="minorHAnsi"/>
          <w:color w:val="000000" w:themeColor="text1"/>
        </w:rPr>
        <w:t xml:space="preserve"> 2020</w:t>
      </w:r>
      <w:r w:rsidR="00A1531A" w:rsidRPr="00D50852">
        <w:rPr>
          <w:rFonts w:cstheme="minorHAnsi"/>
          <w:color w:val="000000" w:themeColor="text1"/>
        </w:rPr>
        <w:t xml:space="preserve"> and </w:t>
      </w:r>
      <w:r w:rsidR="00812F66" w:rsidRPr="00D50852">
        <w:rPr>
          <w:rFonts w:cstheme="minorHAnsi"/>
          <w:color w:val="000000" w:themeColor="text1"/>
        </w:rPr>
        <w:t>the NIHRC considers</w:t>
      </w:r>
      <w:r w:rsidR="00BC72AE" w:rsidRPr="00D50852">
        <w:rPr>
          <w:rFonts w:cstheme="minorHAnsi"/>
          <w:color w:val="000000" w:themeColor="text1"/>
        </w:rPr>
        <w:t xml:space="preserve"> </w:t>
      </w:r>
      <w:r w:rsidR="00A1531A" w:rsidRPr="00D50852">
        <w:rPr>
          <w:rFonts w:cstheme="minorHAnsi"/>
          <w:color w:val="000000" w:themeColor="text1"/>
        </w:rPr>
        <w:t xml:space="preserve">this Directive as falling </w:t>
      </w:r>
      <w:r w:rsidR="00BC72AE" w:rsidRPr="00D50852">
        <w:rPr>
          <w:rFonts w:cstheme="minorHAnsi"/>
          <w:color w:val="000000" w:themeColor="text1"/>
        </w:rPr>
        <w:t xml:space="preserve">within the scope of Protocol Article 2. </w:t>
      </w:r>
      <w:r w:rsidR="00870B2C" w:rsidRPr="00D50852">
        <w:rPr>
          <w:rFonts w:cstheme="minorHAnsi"/>
          <w:color w:val="000000" w:themeColor="text1"/>
        </w:rPr>
        <w:t xml:space="preserve"> </w:t>
      </w:r>
    </w:p>
    <w:p w14:paraId="7C84D91C" w14:textId="77777777" w:rsidR="00DA79A9" w:rsidRPr="00DA79A9" w:rsidRDefault="00DA79A9" w:rsidP="002F23E0"/>
    <w:p w14:paraId="07A792FE" w14:textId="153F5B22" w:rsidR="008F6F9D" w:rsidRDefault="008F6F9D" w:rsidP="00BA73F5">
      <w:pPr>
        <w:pStyle w:val="Heading1"/>
        <w:numPr>
          <w:ilvl w:val="0"/>
          <w:numId w:val="19"/>
        </w:numPr>
        <w:spacing w:before="24" w:afterLines="24" w:after="57" w:line="360" w:lineRule="auto"/>
        <w:jc w:val="both"/>
      </w:pPr>
      <w:bookmarkStart w:id="3" w:name="_Toc114068786"/>
      <w:r w:rsidRPr="00D24ED0">
        <w:t>Use of ‘Live Link’ Technology</w:t>
      </w:r>
      <w:bookmarkEnd w:id="3"/>
    </w:p>
    <w:p w14:paraId="6477E088" w14:textId="16F744E8" w:rsidR="00BE471B" w:rsidRDefault="00BE471B" w:rsidP="00BA73F5">
      <w:pPr>
        <w:pStyle w:val="ListParagraph"/>
        <w:numPr>
          <w:ilvl w:val="1"/>
          <w:numId w:val="19"/>
        </w:numPr>
        <w:spacing w:before="24" w:afterLines="24" w:after="57" w:line="360" w:lineRule="auto"/>
        <w:ind w:left="720"/>
        <w:jc w:val="both"/>
      </w:pPr>
      <w:r>
        <w:t>As acknowledged in the consultation paper</w:t>
      </w:r>
      <w:r w:rsidR="00610BED">
        <w:t>,</w:t>
      </w:r>
      <w:r>
        <w:t xml:space="preserve"> the </w:t>
      </w:r>
      <w:r w:rsidR="00454C94">
        <w:t xml:space="preserve">COVID-19 </w:t>
      </w:r>
      <w:r>
        <w:t>pandemic has led to increased use of live links in courts throughout the UK, a trend which has been replicated internationally. During the pandemic</w:t>
      </w:r>
      <w:r w:rsidR="008F632A">
        <w:t>,</w:t>
      </w:r>
      <w:r>
        <w:t xml:space="preserve"> the use of ‘live </w:t>
      </w:r>
      <w:proofErr w:type="gramStart"/>
      <w:r>
        <w:t>links’</w:t>
      </w:r>
      <w:proofErr w:type="gramEnd"/>
      <w:r>
        <w:t xml:space="preserve"> was largely a necessity </w:t>
      </w:r>
      <w:r w:rsidR="004705ED">
        <w:t xml:space="preserve">to facilitate the continued operation of the courts. </w:t>
      </w:r>
      <w:r w:rsidR="00E26FBB">
        <w:t>As the Department consider</w:t>
      </w:r>
      <w:r w:rsidR="008F632A">
        <w:t>s</w:t>
      </w:r>
      <w:r w:rsidR="00E26FBB">
        <w:t xml:space="preserve"> how the use of live links can be normalise</w:t>
      </w:r>
      <w:r w:rsidR="009A7E6F">
        <w:t>d</w:t>
      </w:r>
      <w:r w:rsidR="00E26FBB">
        <w:t xml:space="preserve"> across the courts system</w:t>
      </w:r>
      <w:r w:rsidR="00656D92">
        <w:t>,</w:t>
      </w:r>
      <w:r w:rsidR="00E26FBB">
        <w:t xml:space="preserve"> it is important t</w:t>
      </w:r>
      <w:r w:rsidR="009A7E6F">
        <w:t xml:space="preserve">o ensure that human rights principles are appropriately </w:t>
      </w:r>
      <w:r w:rsidR="003E5B44">
        <w:t>e</w:t>
      </w:r>
      <w:r w:rsidR="009A7E6F">
        <w:t xml:space="preserve">mbedded in the decision-making framework.  </w:t>
      </w:r>
      <w:r w:rsidR="00035B77">
        <w:t>In preparing this submission</w:t>
      </w:r>
      <w:r w:rsidR="005F05C8">
        <w:t>,</w:t>
      </w:r>
      <w:r w:rsidR="00035B77">
        <w:t xml:space="preserve"> the </w:t>
      </w:r>
      <w:r w:rsidR="00334B28">
        <w:t xml:space="preserve">NIHRC </w:t>
      </w:r>
      <w:r w:rsidR="00035B77">
        <w:t>has referred to</w:t>
      </w:r>
      <w:r>
        <w:t xml:space="preserve"> the International Committee of Jurists </w:t>
      </w:r>
      <w:r w:rsidR="00035B77">
        <w:t>publication, ‘</w:t>
      </w:r>
      <w:r>
        <w:t>Videoconferencing, Courts and COVID-19 Recommendations Based on International Standards</w:t>
      </w:r>
      <w:r w:rsidR="00035B77">
        <w:t>’</w:t>
      </w:r>
      <w:r>
        <w:t xml:space="preserve"> which </w:t>
      </w:r>
      <w:r w:rsidR="00035B77">
        <w:t>may be of interest</w:t>
      </w:r>
      <w:r>
        <w:t xml:space="preserve"> to the Department.</w:t>
      </w:r>
      <w:r w:rsidR="00035B77">
        <w:rPr>
          <w:rStyle w:val="FootnoteReference"/>
        </w:rPr>
        <w:footnoteReference w:id="8"/>
      </w:r>
      <w:r>
        <w:t xml:space="preserve"> </w:t>
      </w:r>
    </w:p>
    <w:p w14:paraId="5CCB3B1E" w14:textId="77777777" w:rsidR="008F6F9D" w:rsidRDefault="008F6F9D" w:rsidP="00BA73F5">
      <w:pPr>
        <w:pStyle w:val="ListParagraph"/>
        <w:spacing w:before="24" w:afterLines="24" w:after="57" w:line="360" w:lineRule="auto"/>
        <w:ind w:hanging="720"/>
        <w:jc w:val="both"/>
      </w:pPr>
    </w:p>
    <w:p w14:paraId="09997C31" w14:textId="748E6B2D" w:rsidR="008F6F9D" w:rsidRDefault="00035B77" w:rsidP="00BA73F5">
      <w:pPr>
        <w:pStyle w:val="ListParagraph"/>
        <w:numPr>
          <w:ilvl w:val="1"/>
          <w:numId w:val="19"/>
        </w:numPr>
        <w:spacing w:before="24" w:afterLines="24" w:after="57" w:line="360" w:lineRule="auto"/>
        <w:ind w:left="720"/>
        <w:jc w:val="both"/>
      </w:pPr>
      <w:r>
        <w:t>In the consultation document</w:t>
      </w:r>
      <w:r w:rsidR="00762B48">
        <w:t>,</w:t>
      </w:r>
      <w:r>
        <w:t xml:space="preserve"> the Department acknowledge</w:t>
      </w:r>
      <w:r w:rsidR="007D28F6">
        <w:t>s</w:t>
      </w:r>
      <w:r>
        <w:t xml:space="preserve"> the relevan</w:t>
      </w:r>
      <w:r w:rsidR="00066D5F">
        <w:t>ce</w:t>
      </w:r>
      <w:r>
        <w:t xml:space="preserve"> of Article 6 of the </w:t>
      </w:r>
      <w:r w:rsidR="00E6242D">
        <w:t>ECHR</w:t>
      </w:r>
      <w:r w:rsidR="00066D5F">
        <w:t xml:space="preserve"> and refers to </w:t>
      </w:r>
      <w:proofErr w:type="gramStart"/>
      <w:r w:rsidR="00066D5F">
        <w:t>a number of</w:t>
      </w:r>
      <w:proofErr w:type="gramEnd"/>
      <w:r w:rsidR="00066D5F">
        <w:t xml:space="preserve"> relevant decisions of the European Court of Human Rights</w:t>
      </w:r>
      <w:r w:rsidR="00BA0A20">
        <w:t xml:space="preserve"> (ECtHR)</w:t>
      </w:r>
      <w:r>
        <w:t xml:space="preserve">. </w:t>
      </w:r>
      <w:r w:rsidR="00066D5F">
        <w:t xml:space="preserve">In this </w:t>
      </w:r>
      <w:r>
        <w:t>section</w:t>
      </w:r>
      <w:r w:rsidR="007D28F6">
        <w:t>,</w:t>
      </w:r>
      <w:r>
        <w:t xml:space="preserve"> the </w:t>
      </w:r>
      <w:r w:rsidR="00334B28">
        <w:t xml:space="preserve">NIHRC </w:t>
      </w:r>
      <w:r>
        <w:t xml:space="preserve">will set out </w:t>
      </w:r>
      <w:proofErr w:type="gramStart"/>
      <w:r>
        <w:t>a number of</w:t>
      </w:r>
      <w:proofErr w:type="gramEnd"/>
      <w:r>
        <w:t xml:space="preserve"> decisions of </w:t>
      </w:r>
      <w:r w:rsidR="001100CD">
        <w:t xml:space="preserve">the ECtHR which should inform any decision on the use of the live links. </w:t>
      </w:r>
      <w:r>
        <w:t xml:space="preserve"> </w:t>
      </w:r>
    </w:p>
    <w:p w14:paraId="603E1939" w14:textId="77777777" w:rsidR="008F6F9D" w:rsidRDefault="008F6F9D" w:rsidP="00BA73F5">
      <w:pPr>
        <w:pStyle w:val="ListParagraph"/>
        <w:spacing w:before="24" w:afterLines="24" w:after="57" w:line="360" w:lineRule="auto"/>
        <w:ind w:hanging="720"/>
        <w:jc w:val="both"/>
      </w:pPr>
    </w:p>
    <w:p w14:paraId="6BAF61C3" w14:textId="16B29529" w:rsidR="00A05AAD" w:rsidRDefault="00790BFF" w:rsidP="00BA73F5">
      <w:pPr>
        <w:pStyle w:val="ListParagraph"/>
        <w:numPr>
          <w:ilvl w:val="1"/>
          <w:numId w:val="19"/>
        </w:numPr>
        <w:spacing w:before="24" w:afterLines="24" w:after="57" w:line="360" w:lineRule="auto"/>
        <w:ind w:left="720"/>
        <w:jc w:val="both"/>
      </w:pPr>
      <w:r>
        <w:t xml:space="preserve">The </w:t>
      </w:r>
      <w:r w:rsidR="001100CD">
        <w:t>EC</w:t>
      </w:r>
      <w:r w:rsidR="001931E5">
        <w:t>t</w:t>
      </w:r>
      <w:r w:rsidR="001100CD">
        <w:t>HR</w:t>
      </w:r>
      <w:r>
        <w:t xml:space="preserve"> has ruled that</w:t>
      </w:r>
      <w:r w:rsidR="00D94259">
        <w:t xml:space="preserve">, “it is of capital importance in the interests of a fair and just criminal process that the accused should appear at his trial, and the duty to guarantee the right of a criminal defendant to be present in the </w:t>
      </w:r>
      <w:r w:rsidR="00D94259">
        <w:lastRenderedPageBreak/>
        <w:t>courtroom – either during the original proceedings or in a retrial – ranks as one of the essential requirements of Article 6”</w:t>
      </w:r>
      <w:r w:rsidR="006C521A">
        <w:t>.</w:t>
      </w:r>
      <w:r w:rsidR="00F13911">
        <w:rPr>
          <w:rStyle w:val="FootnoteReference"/>
        </w:rPr>
        <w:footnoteReference w:id="9"/>
      </w:r>
    </w:p>
    <w:p w14:paraId="647F2C7B" w14:textId="77777777" w:rsidR="006C521A" w:rsidRDefault="006C521A" w:rsidP="00BA73F5">
      <w:pPr>
        <w:pStyle w:val="ListParagraph"/>
        <w:spacing w:before="24" w:afterLines="24" w:after="57" w:line="360" w:lineRule="auto"/>
        <w:ind w:hanging="720"/>
        <w:jc w:val="both"/>
      </w:pPr>
    </w:p>
    <w:p w14:paraId="3FCC0441" w14:textId="5C110A74" w:rsidR="00C07C76" w:rsidRDefault="00790BFF" w:rsidP="00BA73F5">
      <w:pPr>
        <w:pStyle w:val="ListParagraph"/>
        <w:numPr>
          <w:ilvl w:val="1"/>
          <w:numId w:val="19"/>
        </w:numPr>
        <w:spacing w:before="24" w:afterLines="24" w:after="57" w:line="360" w:lineRule="auto"/>
        <w:ind w:left="720"/>
        <w:jc w:val="both"/>
      </w:pPr>
      <w:r>
        <w:t>The ECtHR has further held that</w:t>
      </w:r>
      <w:r w:rsidR="006C521A">
        <w:t xml:space="preserve">, </w:t>
      </w:r>
      <w:bookmarkStart w:id="4" w:name="_Hlk113529883"/>
      <w:r w:rsidR="00C07C76">
        <w:t>“although the defendant’s participation in the proceedings b</w:t>
      </w:r>
      <w:r w:rsidR="00515E0A">
        <w:t xml:space="preserve">y </w:t>
      </w:r>
      <w:r w:rsidR="00C07C76">
        <w:t>videoconference is not as such contrary to the Convention, it is incumbent on it to ensure that recourse to this measure in any given case serves a legitimate aim and that the arrangements for the giving of evidence are compatible with the requirements of respect for due process, as laid down in Article 6 of the Convention”</w:t>
      </w:r>
      <w:r w:rsidR="006C521A">
        <w:t>.</w:t>
      </w:r>
      <w:r w:rsidR="00C07C76">
        <w:rPr>
          <w:rStyle w:val="FootnoteReference"/>
        </w:rPr>
        <w:footnoteReference w:id="10"/>
      </w:r>
    </w:p>
    <w:bookmarkEnd w:id="4"/>
    <w:p w14:paraId="2DB475BE" w14:textId="77777777" w:rsidR="006C521A" w:rsidRDefault="006C521A" w:rsidP="00BA73F5">
      <w:pPr>
        <w:pStyle w:val="ListParagraph"/>
        <w:spacing w:before="24" w:afterLines="24" w:after="57" w:line="360" w:lineRule="auto"/>
        <w:ind w:hanging="720"/>
        <w:jc w:val="both"/>
      </w:pPr>
    </w:p>
    <w:p w14:paraId="4A2ED0E4" w14:textId="46DACA89" w:rsidR="00EF2B73" w:rsidRPr="00607451" w:rsidRDefault="00515E0A" w:rsidP="00BA73F5">
      <w:pPr>
        <w:pStyle w:val="ListParagraph"/>
        <w:numPr>
          <w:ilvl w:val="1"/>
          <w:numId w:val="19"/>
        </w:numPr>
        <w:spacing w:before="24" w:afterLines="24" w:after="57" w:line="360" w:lineRule="auto"/>
        <w:ind w:left="720"/>
        <w:jc w:val="both"/>
        <w:rPr>
          <w:rStyle w:val="sb8d990e2"/>
        </w:rPr>
      </w:pPr>
      <w:r w:rsidRPr="00607451">
        <w:rPr>
          <w:rStyle w:val="sb8d990e2"/>
          <w:rFonts w:cs="Arial"/>
          <w:color w:val="000000"/>
          <w:shd w:val="clear" w:color="auto" w:fill="FFFFFF"/>
        </w:rPr>
        <w:t>When utilising live links</w:t>
      </w:r>
      <w:r w:rsidR="0026076E">
        <w:rPr>
          <w:rStyle w:val="sb8d990e2"/>
          <w:rFonts w:cs="Arial"/>
          <w:color w:val="000000"/>
          <w:shd w:val="clear" w:color="auto" w:fill="FFFFFF"/>
        </w:rPr>
        <w:t xml:space="preserve"> in proceedings</w:t>
      </w:r>
      <w:r w:rsidR="00020CC2">
        <w:rPr>
          <w:rStyle w:val="sb8d990e2"/>
          <w:rFonts w:cs="Arial"/>
          <w:color w:val="000000"/>
          <w:shd w:val="clear" w:color="auto" w:fill="FFFFFF"/>
        </w:rPr>
        <w:t>,</w:t>
      </w:r>
      <w:r w:rsidRPr="00607451">
        <w:rPr>
          <w:rStyle w:val="sb8d990e2"/>
          <w:rFonts w:cs="Arial"/>
          <w:color w:val="000000"/>
          <w:shd w:val="clear" w:color="auto" w:fill="FFFFFF"/>
        </w:rPr>
        <w:t xml:space="preserve"> the ECtHR has highlighted that, </w:t>
      </w:r>
      <w:r w:rsidR="00F97038">
        <w:rPr>
          <w:rStyle w:val="sb8d990e2"/>
          <w:rFonts w:cs="Arial"/>
          <w:color w:val="000000"/>
          <w:shd w:val="clear" w:color="auto" w:fill="FFFFFF"/>
        </w:rPr>
        <w:t>“</w:t>
      </w:r>
      <w:r w:rsidRPr="00607451">
        <w:rPr>
          <w:rStyle w:val="sb8d990e2"/>
          <w:rFonts w:cs="Arial"/>
          <w:color w:val="000000"/>
          <w:shd w:val="clear" w:color="auto" w:fill="FFFFFF"/>
        </w:rPr>
        <w:t>it must be ensured that the detainee is able to follow the proceedings, to see the persons present and hear what is being said, but also to be seen and heard by the other parties, the judge and witnesses, without technical impediment</w:t>
      </w:r>
      <w:r w:rsidR="00F97038">
        <w:rPr>
          <w:rStyle w:val="sb8d990e2"/>
          <w:rFonts w:cs="Arial"/>
          <w:color w:val="000000"/>
          <w:shd w:val="clear" w:color="auto" w:fill="FFFFFF"/>
        </w:rPr>
        <w:t>”</w:t>
      </w:r>
      <w:r w:rsidRPr="00607451">
        <w:rPr>
          <w:rStyle w:val="sb8d990e2"/>
          <w:rFonts w:cs="Arial"/>
          <w:color w:val="000000"/>
          <w:shd w:val="clear" w:color="auto" w:fill="FFFFFF"/>
        </w:rPr>
        <w:t>.</w:t>
      </w:r>
      <w:r w:rsidRPr="00607451">
        <w:rPr>
          <w:rStyle w:val="FootnoteReference"/>
          <w:rFonts w:cs="Arial"/>
          <w:color w:val="000000"/>
          <w:shd w:val="clear" w:color="auto" w:fill="FFFFFF"/>
        </w:rPr>
        <w:footnoteReference w:id="11"/>
      </w:r>
      <w:r w:rsidRPr="00607451">
        <w:rPr>
          <w:rStyle w:val="sb8d990e2"/>
          <w:rFonts w:cs="Arial"/>
          <w:color w:val="000000"/>
          <w:shd w:val="clear" w:color="auto" w:fill="FFFFFF"/>
        </w:rPr>
        <w:t xml:space="preserve"> With regard to civil claims</w:t>
      </w:r>
      <w:r w:rsidR="000B486A">
        <w:rPr>
          <w:rStyle w:val="sb8d990e2"/>
          <w:rFonts w:cs="Arial"/>
          <w:color w:val="000000"/>
          <w:shd w:val="clear" w:color="auto" w:fill="FFFFFF"/>
        </w:rPr>
        <w:t>,</w:t>
      </w:r>
      <w:r w:rsidRPr="00607451">
        <w:rPr>
          <w:rStyle w:val="sb8d990e2"/>
          <w:rFonts w:cs="Arial"/>
          <w:color w:val="000000"/>
          <w:shd w:val="clear" w:color="auto" w:fill="FFFFFF"/>
        </w:rPr>
        <w:t xml:space="preserve"> the ECtHR has emphasised the need for courts to consider whether the use of a live link will provide the claimant with an opportunity to present their case effectively.</w:t>
      </w:r>
      <w:r w:rsidRPr="00607451">
        <w:rPr>
          <w:rStyle w:val="FootnoteReference"/>
          <w:rFonts w:cs="Arial"/>
          <w:color w:val="000000"/>
          <w:shd w:val="clear" w:color="auto" w:fill="FFFFFF"/>
        </w:rPr>
        <w:footnoteReference w:id="12"/>
      </w:r>
      <w:r w:rsidRPr="00607451">
        <w:rPr>
          <w:rStyle w:val="sb8d990e2"/>
          <w:rFonts w:cs="Arial"/>
          <w:color w:val="000000"/>
          <w:shd w:val="clear" w:color="auto" w:fill="FFFFFF"/>
        </w:rPr>
        <w:t> </w:t>
      </w:r>
    </w:p>
    <w:p w14:paraId="56AC2706" w14:textId="77777777" w:rsidR="006C521A" w:rsidRDefault="006C521A" w:rsidP="00BA73F5">
      <w:pPr>
        <w:pStyle w:val="ListParagraph"/>
        <w:spacing w:before="24" w:afterLines="24" w:after="57" w:line="360" w:lineRule="auto"/>
        <w:ind w:hanging="720"/>
        <w:jc w:val="both"/>
      </w:pPr>
    </w:p>
    <w:p w14:paraId="5DB47571" w14:textId="54EEB5BD" w:rsidR="00CD30F3" w:rsidRDefault="001100CD" w:rsidP="00BA73F5">
      <w:pPr>
        <w:pStyle w:val="ListParagraph"/>
        <w:numPr>
          <w:ilvl w:val="1"/>
          <w:numId w:val="19"/>
        </w:numPr>
        <w:spacing w:before="24" w:afterLines="24" w:after="57" w:line="360" w:lineRule="auto"/>
        <w:ind w:left="720"/>
        <w:jc w:val="both"/>
      </w:pPr>
      <w:r>
        <w:t xml:space="preserve">In relation to witnesses giving evidence </w:t>
      </w:r>
      <w:r w:rsidR="007914E7">
        <w:t xml:space="preserve">in a criminal trial </w:t>
      </w:r>
      <w:r>
        <w:t>via live link</w:t>
      </w:r>
      <w:r w:rsidR="00020CC2">
        <w:t>,</w:t>
      </w:r>
      <w:r>
        <w:t xml:space="preserve"> the ECtHR</w:t>
      </w:r>
      <w:r w:rsidR="007B3E0B">
        <w:t xml:space="preserve"> ha</w:t>
      </w:r>
      <w:r>
        <w:t>s</w:t>
      </w:r>
      <w:r w:rsidR="007B3E0B">
        <w:t xml:space="preserve"> made clear that </w:t>
      </w:r>
      <w:r w:rsidR="00F97038">
        <w:t>“</w:t>
      </w:r>
      <w:r w:rsidR="007B3E0B">
        <w:t>the Convention require</w:t>
      </w:r>
      <w:r w:rsidR="00F824C1">
        <w:t>s</w:t>
      </w:r>
      <w:r w:rsidR="007B3E0B">
        <w:t xml:space="preserve"> an accused to be given an adequate and proper opportunity to challenge and question a witness against him, either at the time the witness was making his statement or at some later stage of the proceedings</w:t>
      </w:r>
      <w:r w:rsidR="00F97038">
        <w:t>”</w:t>
      </w:r>
      <w:r w:rsidR="007B3E0B">
        <w:t>.</w:t>
      </w:r>
      <w:r w:rsidR="007B3E0B">
        <w:rPr>
          <w:rStyle w:val="FootnoteReference"/>
        </w:rPr>
        <w:footnoteReference w:id="13"/>
      </w:r>
      <w:r>
        <w:t xml:space="preserve"> </w:t>
      </w:r>
      <w:r w:rsidR="007B3E0B">
        <w:t>The ECtHR ha</w:t>
      </w:r>
      <w:r w:rsidR="00F824C1">
        <w:t>s</w:t>
      </w:r>
      <w:r w:rsidR="007B3E0B">
        <w:t xml:space="preserve"> further held that, </w:t>
      </w:r>
      <w:r w:rsidR="00F97038">
        <w:t>“</w:t>
      </w:r>
      <w:r w:rsidR="00D94259">
        <w:t xml:space="preserve">All evidence must normally be produced </w:t>
      </w:r>
      <w:r w:rsidR="007B3E0B">
        <w:t>in the presence of the accused at a public hearing with a view to adversarial argument</w:t>
      </w:r>
      <w:r w:rsidR="00F97038">
        <w:t>”</w:t>
      </w:r>
      <w:r w:rsidR="007B3E0B">
        <w:t>.</w:t>
      </w:r>
      <w:r w:rsidR="007B3E0B">
        <w:rPr>
          <w:rStyle w:val="FootnoteReference"/>
        </w:rPr>
        <w:footnoteReference w:id="14"/>
      </w:r>
      <w:r w:rsidR="007B3E0B">
        <w:t xml:space="preserve"> A defendant should </w:t>
      </w:r>
      <w:r w:rsidR="007B3E0B">
        <w:lastRenderedPageBreak/>
        <w:t xml:space="preserve">be </w:t>
      </w:r>
      <w:r w:rsidR="00366080">
        <w:t>“</w:t>
      </w:r>
      <w:r w:rsidR="007B3E0B">
        <w:t>given an adequate and proper opportunity to challenge and question a witness against him either when he or she was testifying or at a later stage of the proceedings</w:t>
      </w:r>
      <w:r w:rsidR="00366080">
        <w:t>”</w:t>
      </w:r>
      <w:r w:rsidR="007B3E0B">
        <w:t>.</w:t>
      </w:r>
      <w:r w:rsidR="007B3E0B">
        <w:rPr>
          <w:rStyle w:val="FootnoteReference"/>
        </w:rPr>
        <w:footnoteReference w:id="15"/>
      </w:r>
      <w:r w:rsidR="00CD30F3">
        <w:t xml:space="preserve"> The ECtHR has emphasised that when assessing the suitability of a live link there is a need for an appropriate balance to be struck which takes account of the variety of values protected by the ECHR.</w:t>
      </w:r>
      <w:r w:rsidR="00CD30F3">
        <w:rPr>
          <w:rStyle w:val="FootnoteReference"/>
        </w:rPr>
        <w:footnoteReference w:id="16"/>
      </w:r>
      <w:r w:rsidR="00CD30F3">
        <w:t xml:space="preserve"> </w:t>
      </w:r>
    </w:p>
    <w:p w14:paraId="00436EA5" w14:textId="77777777" w:rsidR="00607451" w:rsidRDefault="00607451" w:rsidP="00BA73F5">
      <w:pPr>
        <w:pStyle w:val="ListParagraph"/>
        <w:spacing w:before="24" w:afterLines="24" w:after="57" w:line="360" w:lineRule="auto"/>
        <w:ind w:hanging="720"/>
        <w:jc w:val="both"/>
      </w:pPr>
    </w:p>
    <w:p w14:paraId="5BC65C33" w14:textId="0CE36B14" w:rsidR="00670DB6" w:rsidRPr="007914E7" w:rsidRDefault="00CD30F3" w:rsidP="00BA73F5">
      <w:pPr>
        <w:pStyle w:val="ListParagraph"/>
        <w:numPr>
          <w:ilvl w:val="1"/>
          <w:numId w:val="19"/>
        </w:numPr>
        <w:spacing w:before="24" w:afterLines="24" w:after="57" w:line="360" w:lineRule="auto"/>
        <w:ind w:left="720"/>
        <w:jc w:val="both"/>
      </w:pPr>
      <w:r w:rsidRPr="007914E7">
        <w:t>The ECtHR ha</w:t>
      </w:r>
      <w:r w:rsidR="0099303E">
        <w:t>s</w:t>
      </w:r>
      <w:r w:rsidRPr="007914E7">
        <w:t xml:space="preserve"> also </w:t>
      </w:r>
      <w:r w:rsidR="00F905C5" w:rsidRPr="007914E7">
        <w:rPr>
          <w:rStyle w:val="sb8d990e2"/>
          <w:rFonts w:cs="Arial"/>
          <w:color w:val="000000"/>
          <w:shd w:val="clear" w:color="auto" w:fill="FFFFFF"/>
        </w:rPr>
        <w:t>emphasised the need to ensure</w:t>
      </w:r>
      <w:r w:rsidR="00F905C5" w:rsidRPr="007914E7">
        <w:t xml:space="preserve"> the privacy of any video-conferencing system provided to allow a defendant to consult with </w:t>
      </w:r>
      <w:r w:rsidR="00C02678">
        <w:t>their</w:t>
      </w:r>
      <w:r w:rsidR="00F905C5" w:rsidRPr="007914E7">
        <w:t xml:space="preserve"> lawyer.</w:t>
      </w:r>
      <w:r w:rsidR="00F905C5" w:rsidRPr="007914E7">
        <w:rPr>
          <w:rStyle w:val="FootnoteReference"/>
        </w:rPr>
        <w:footnoteReference w:id="17"/>
      </w:r>
      <w:r w:rsidR="00F905C5" w:rsidRPr="007914E7">
        <w:t xml:space="preserve"> </w:t>
      </w:r>
      <w:r w:rsidR="00FA3686" w:rsidRPr="007914E7">
        <w:t>The EC</w:t>
      </w:r>
      <w:r w:rsidR="0009560D" w:rsidRPr="007914E7">
        <w:t>t</w:t>
      </w:r>
      <w:r w:rsidR="00FA3686" w:rsidRPr="007914E7">
        <w:t xml:space="preserve">HR has made </w:t>
      </w:r>
      <w:r w:rsidR="007C3560" w:rsidRPr="007914E7">
        <w:t>clear that</w:t>
      </w:r>
      <w:r w:rsidR="00FA3686" w:rsidRPr="007914E7">
        <w:t xml:space="preserve"> “… individuals who consult a lawyer can reasonably expect that their communication is private and confidential”</w:t>
      </w:r>
      <w:r w:rsidR="00F932B9" w:rsidRPr="007914E7">
        <w:t>.</w:t>
      </w:r>
      <w:r w:rsidR="00F932B9" w:rsidRPr="007914E7">
        <w:rPr>
          <w:rStyle w:val="FootnoteReference"/>
        </w:rPr>
        <w:footnoteReference w:id="18"/>
      </w:r>
      <w:r w:rsidR="007C3560" w:rsidRPr="007914E7">
        <w:t xml:space="preserve"> </w:t>
      </w:r>
    </w:p>
    <w:p w14:paraId="7909D52A" w14:textId="77777777" w:rsidR="00607451" w:rsidRDefault="00607451" w:rsidP="00BA73F5">
      <w:pPr>
        <w:pStyle w:val="ListParagraph"/>
        <w:spacing w:before="24" w:afterLines="24" w:after="57" w:line="360" w:lineRule="auto"/>
        <w:ind w:hanging="720"/>
        <w:jc w:val="both"/>
      </w:pPr>
    </w:p>
    <w:p w14:paraId="165FE72E" w14:textId="1F720534" w:rsidR="00CD1BEC" w:rsidRDefault="00721F55" w:rsidP="00BA73F5">
      <w:pPr>
        <w:pStyle w:val="ListParagraph"/>
        <w:numPr>
          <w:ilvl w:val="1"/>
          <w:numId w:val="19"/>
        </w:numPr>
        <w:spacing w:before="24" w:afterLines="24" w:after="57" w:line="360" w:lineRule="auto"/>
        <w:ind w:left="720"/>
        <w:jc w:val="both"/>
      </w:pPr>
      <w:r>
        <w:t xml:space="preserve">Article 14(3)(b) </w:t>
      </w:r>
      <w:r w:rsidR="00143787">
        <w:t xml:space="preserve">of the ICCPR </w:t>
      </w:r>
      <w:r>
        <w:t xml:space="preserve">provides for the right of everyone charged with a criminal offence “[t]o </w:t>
      </w:r>
      <w:proofErr w:type="gramStart"/>
      <w:r>
        <w:t>have</w:t>
      </w:r>
      <w:proofErr w:type="gramEnd"/>
      <w:r>
        <w:t xml:space="preserve"> adequate time and facilities for the preparation of his defence and to communicate with counsel of his own choosing”.</w:t>
      </w:r>
      <w:r w:rsidR="00CD1BEC">
        <w:t xml:space="preserve"> The UN Human Rights Committee </w:t>
      </w:r>
      <w:r w:rsidR="0019459A">
        <w:t xml:space="preserve">has </w:t>
      </w:r>
      <w:r w:rsidR="00CD1BEC">
        <w:t>emphasised the right to communicate with a lawyer of one’s own choosing, “in conditions that fully respect the confidentiality of their communications”.</w:t>
      </w:r>
      <w:r w:rsidR="0025434C">
        <w:rPr>
          <w:rStyle w:val="FootnoteReference"/>
        </w:rPr>
        <w:footnoteReference w:id="19"/>
      </w:r>
    </w:p>
    <w:p w14:paraId="4A829B50" w14:textId="77777777" w:rsidR="00607451" w:rsidRDefault="00607451" w:rsidP="00BA73F5">
      <w:pPr>
        <w:pStyle w:val="ListParagraph"/>
        <w:spacing w:before="24" w:afterLines="24" w:after="57" w:line="360" w:lineRule="auto"/>
        <w:ind w:hanging="720"/>
        <w:jc w:val="both"/>
      </w:pPr>
    </w:p>
    <w:p w14:paraId="356989B2" w14:textId="743E676A" w:rsidR="006A7467" w:rsidRDefault="00DF411C" w:rsidP="00BA73F5">
      <w:pPr>
        <w:pStyle w:val="ListParagraph"/>
        <w:numPr>
          <w:ilvl w:val="1"/>
          <w:numId w:val="19"/>
        </w:numPr>
        <w:spacing w:before="24" w:afterLines="24" w:after="57" w:line="360" w:lineRule="auto"/>
        <w:ind w:left="720"/>
        <w:jc w:val="both"/>
      </w:pPr>
      <w:r>
        <w:t xml:space="preserve">The consultation paper sets out proposals for the introduction of a general power for the courts to allow live links where this </w:t>
      </w:r>
      <w:proofErr w:type="gramStart"/>
      <w:r>
        <w:t>is considered to be</w:t>
      </w:r>
      <w:proofErr w:type="gramEnd"/>
      <w:r>
        <w:t xml:space="preserve"> ‘in the interests of justice’. </w:t>
      </w:r>
      <w:r w:rsidR="00E44BBD">
        <w:t xml:space="preserve">The Department asks whether there is a need to include alongside the interests of justice test </w:t>
      </w:r>
      <w:r w:rsidR="00F905C5">
        <w:t xml:space="preserve">a </w:t>
      </w:r>
      <w:r w:rsidR="00E44BBD">
        <w:t xml:space="preserve">reference to an additional element of fairness. The </w:t>
      </w:r>
      <w:r w:rsidR="007874D3">
        <w:t xml:space="preserve">NIHRC </w:t>
      </w:r>
      <w:r w:rsidR="00D94259">
        <w:t xml:space="preserve">considers </w:t>
      </w:r>
      <w:r w:rsidR="00E44BBD">
        <w:t xml:space="preserve">that </w:t>
      </w:r>
      <w:r w:rsidR="00772890">
        <w:t xml:space="preserve">legislation providing for the authorisation of live links should expressly require a judge to </w:t>
      </w:r>
      <w:r w:rsidR="00E44BBD">
        <w:t xml:space="preserve">consider </w:t>
      </w:r>
      <w:r w:rsidR="00B11C78">
        <w:t xml:space="preserve">Article 6 of the ECHR and the relevant jurisprudence of the ECtHR. </w:t>
      </w:r>
    </w:p>
    <w:p w14:paraId="1DE9D467" w14:textId="77777777" w:rsidR="006A7467" w:rsidRDefault="006A7467" w:rsidP="00BA73F5">
      <w:pPr>
        <w:pStyle w:val="ListParagraph"/>
        <w:spacing w:before="24" w:afterLines="24" w:after="57" w:line="360" w:lineRule="auto"/>
        <w:ind w:hanging="720"/>
        <w:jc w:val="both"/>
      </w:pPr>
    </w:p>
    <w:p w14:paraId="400175A2" w14:textId="1912514F" w:rsidR="00772890" w:rsidRDefault="00772890" w:rsidP="00BA73F5">
      <w:pPr>
        <w:pStyle w:val="ListParagraph"/>
        <w:numPr>
          <w:ilvl w:val="1"/>
          <w:numId w:val="19"/>
        </w:numPr>
        <w:spacing w:before="24" w:afterLines="24" w:after="57" w:line="360" w:lineRule="auto"/>
        <w:ind w:left="720"/>
        <w:jc w:val="both"/>
      </w:pPr>
      <w:r w:rsidRPr="006A7467">
        <w:rPr>
          <w:b/>
          <w:bCs/>
        </w:rPr>
        <w:lastRenderedPageBreak/>
        <w:t xml:space="preserve">The </w:t>
      </w:r>
      <w:r w:rsidR="007874D3">
        <w:rPr>
          <w:b/>
          <w:bCs/>
        </w:rPr>
        <w:t>NIHRC</w:t>
      </w:r>
      <w:r w:rsidR="007874D3" w:rsidRPr="006A7467">
        <w:rPr>
          <w:b/>
          <w:bCs/>
        </w:rPr>
        <w:t xml:space="preserve"> </w:t>
      </w:r>
      <w:r w:rsidR="00430770">
        <w:rPr>
          <w:b/>
          <w:bCs/>
        </w:rPr>
        <w:t>recommends</w:t>
      </w:r>
      <w:r w:rsidR="00641839" w:rsidRPr="006A7467">
        <w:rPr>
          <w:b/>
          <w:bCs/>
        </w:rPr>
        <w:t xml:space="preserve"> that </w:t>
      </w:r>
      <w:r w:rsidR="009E1D24" w:rsidRPr="006A7467">
        <w:rPr>
          <w:b/>
          <w:bCs/>
        </w:rPr>
        <w:t>any future legislative provi</w:t>
      </w:r>
      <w:r w:rsidR="007810A7">
        <w:rPr>
          <w:b/>
          <w:bCs/>
        </w:rPr>
        <w:t>sion</w:t>
      </w:r>
      <w:r w:rsidR="009E1D24" w:rsidRPr="006A7467">
        <w:rPr>
          <w:b/>
          <w:bCs/>
        </w:rPr>
        <w:t xml:space="preserve"> </w:t>
      </w:r>
      <w:r w:rsidR="00641839" w:rsidRPr="006A7467">
        <w:rPr>
          <w:b/>
          <w:bCs/>
        </w:rPr>
        <w:t>for the use of live links should provide for live links to be utilised only</w:t>
      </w:r>
      <w:r w:rsidR="007914E7" w:rsidRPr="006A7467">
        <w:rPr>
          <w:b/>
          <w:bCs/>
        </w:rPr>
        <w:t xml:space="preserve"> </w:t>
      </w:r>
      <w:r w:rsidR="00641839" w:rsidRPr="006A7467">
        <w:rPr>
          <w:b/>
          <w:bCs/>
        </w:rPr>
        <w:t xml:space="preserve">when a court or </w:t>
      </w:r>
      <w:r w:rsidR="008D2E74">
        <w:rPr>
          <w:b/>
          <w:bCs/>
        </w:rPr>
        <w:t>T</w:t>
      </w:r>
      <w:r w:rsidR="00641839" w:rsidRPr="006A7467">
        <w:rPr>
          <w:b/>
          <w:bCs/>
        </w:rPr>
        <w:t>ribunal consider</w:t>
      </w:r>
      <w:r w:rsidR="000B596F">
        <w:rPr>
          <w:b/>
          <w:bCs/>
        </w:rPr>
        <w:t>s</w:t>
      </w:r>
      <w:r w:rsidR="00641839" w:rsidRPr="006A7467">
        <w:rPr>
          <w:b/>
          <w:bCs/>
        </w:rPr>
        <w:t xml:space="preserve"> the use of a live link to be ‘in</w:t>
      </w:r>
      <w:r w:rsidR="006A7467">
        <w:rPr>
          <w:b/>
          <w:bCs/>
        </w:rPr>
        <w:t xml:space="preserve"> </w:t>
      </w:r>
      <w:r w:rsidR="00641839" w:rsidRPr="006A7467">
        <w:rPr>
          <w:b/>
          <w:bCs/>
        </w:rPr>
        <w:t>the interests of justice’. In determining</w:t>
      </w:r>
      <w:r w:rsidR="000F4FF7" w:rsidRPr="006A7467">
        <w:rPr>
          <w:b/>
          <w:bCs/>
        </w:rPr>
        <w:t xml:space="preserve"> if the use of a live link is in the interests of justice</w:t>
      </w:r>
      <w:r w:rsidR="002F501D">
        <w:rPr>
          <w:b/>
          <w:bCs/>
        </w:rPr>
        <w:t>,</w:t>
      </w:r>
      <w:r w:rsidR="000F4FF7" w:rsidRPr="006A7467">
        <w:rPr>
          <w:b/>
          <w:bCs/>
        </w:rPr>
        <w:t xml:space="preserve"> a court or tribunal should pay due regard to </w:t>
      </w:r>
      <w:r w:rsidR="000F4FF7" w:rsidRPr="00430770">
        <w:rPr>
          <w:b/>
          <w:bCs/>
        </w:rPr>
        <w:t>Article 6</w:t>
      </w:r>
      <w:r w:rsidR="00C86254">
        <w:rPr>
          <w:b/>
          <w:bCs/>
        </w:rPr>
        <w:t xml:space="preserve"> </w:t>
      </w:r>
      <w:r w:rsidR="004E6FBF">
        <w:rPr>
          <w:b/>
          <w:bCs/>
        </w:rPr>
        <w:t xml:space="preserve">of the </w:t>
      </w:r>
      <w:r w:rsidR="00C86254">
        <w:rPr>
          <w:b/>
          <w:bCs/>
        </w:rPr>
        <w:t>ECHR</w:t>
      </w:r>
      <w:r w:rsidR="000F4FF7" w:rsidRPr="00430770">
        <w:rPr>
          <w:b/>
          <w:bCs/>
        </w:rPr>
        <w:t xml:space="preserve"> and to relevant jurisprudence of the ECtHR.</w:t>
      </w:r>
      <w:r w:rsidR="000F4FF7">
        <w:t xml:space="preserve"> </w:t>
      </w:r>
    </w:p>
    <w:p w14:paraId="261323F6" w14:textId="77777777" w:rsidR="008D2E74" w:rsidRDefault="008D2E74" w:rsidP="00D23C78">
      <w:pPr>
        <w:spacing w:before="24" w:afterLines="24" w:after="57" w:line="360" w:lineRule="auto"/>
        <w:jc w:val="both"/>
        <w:rPr>
          <w:b/>
          <w:bCs/>
        </w:rPr>
      </w:pPr>
    </w:p>
    <w:p w14:paraId="5CD7345B" w14:textId="459E8C8E" w:rsidR="00F905C5" w:rsidRPr="00F820CA" w:rsidRDefault="007B3E0B" w:rsidP="004417B4">
      <w:pPr>
        <w:pStyle w:val="Heading1"/>
        <w:numPr>
          <w:ilvl w:val="0"/>
          <w:numId w:val="27"/>
        </w:numPr>
        <w:spacing w:before="24" w:afterLines="24" w:after="57" w:line="360" w:lineRule="auto"/>
        <w:jc w:val="both"/>
        <w:rPr>
          <w:color w:val="77328A"/>
        </w:rPr>
      </w:pPr>
      <w:bookmarkStart w:id="5" w:name="_Toc114068787"/>
      <w:r w:rsidRPr="00F820CA">
        <w:rPr>
          <w:color w:val="77328A"/>
        </w:rPr>
        <w:t>Vulnerable Court Users</w:t>
      </w:r>
      <w:bookmarkEnd w:id="5"/>
      <w:r w:rsidRPr="00F820CA">
        <w:rPr>
          <w:color w:val="77328A"/>
        </w:rPr>
        <w:t xml:space="preserve"> </w:t>
      </w:r>
    </w:p>
    <w:p w14:paraId="53EC8018" w14:textId="2DE2EBC1" w:rsidR="005E00C2" w:rsidRPr="00376F79" w:rsidRDefault="008D2E74" w:rsidP="000C0A9B">
      <w:pPr>
        <w:pStyle w:val="Heading2"/>
      </w:pPr>
      <w:r>
        <w:t>Disabled people</w:t>
      </w:r>
    </w:p>
    <w:p w14:paraId="450F1F10" w14:textId="483169BF" w:rsidR="00F905C5" w:rsidRDefault="000F4FF7" w:rsidP="004417B4">
      <w:pPr>
        <w:pStyle w:val="ListParagraph"/>
        <w:numPr>
          <w:ilvl w:val="1"/>
          <w:numId w:val="27"/>
        </w:numPr>
        <w:spacing w:before="24" w:afterLines="24" w:after="57" w:line="360" w:lineRule="auto"/>
        <w:ind w:left="720"/>
        <w:jc w:val="both"/>
      </w:pPr>
      <w:r>
        <w:t xml:space="preserve">The use of live links can have specific implications for </w:t>
      </w:r>
      <w:r w:rsidR="00801641">
        <w:t>certain groups of court users</w:t>
      </w:r>
      <w:r w:rsidR="00D3319C">
        <w:t>, in particular court users with disabilities</w:t>
      </w:r>
      <w:r w:rsidR="00801641">
        <w:t xml:space="preserve">. </w:t>
      </w:r>
      <w:r w:rsidR="00552D20">
        <w:t xml:space="preserve">Article 13 of the </w:t>
      </w:r>
      <w:r w:rsidR="00F905C5">
        <w:t>UN</w:t>
      </w:r>
      <w:r w:rsidR="00132598">
        <w:t xml:space="preserve"> </w:t>
      </w:r>
      <w:r w:rsidR="00F905C5">
        <w:t>CRPD requires States to:</w:t>
      </w:r>
    </w:p>
    <w:p w14:paraId="70278486" w14:textId="77777777" w:rsidR="00F905C5" w:rsidRDefault="00F905C5" w:rsidP="004417B4">
      <w:pPr>
        <w:pStyle w:val="ListParagraph"/>
        <w:spacing w:before="24" w:afterLines="24" w:after="57" w:line="360" w:lineRule="auto"/>
        <w:ind w:hanging="720"/>
        <w:jc w:val="both"/>
      </w:pPr>
    </w:p>
    <w:p w14:paraId="3713EF1C" w14:textId="77777777" w:rsidR="00F905C5" w:rsidRDefault="00F905C5" w:rsidP="004417B4">
      <w:pPr>
        <w:pStyle w:val="ListParagraph"/>
        <w:spacing w:before="24" w:afterLines="24" w:after="57" w:line="360" w:lineRule="auto"/>
        <w:jc w:val="both"/>
      </w:pPr>
      <w:r>
        <w:t>ensure effective access to justice for persons with disabilities on an equal basis with others, including through the provision of procedural and age-appropriate accommodations, in order to facilitate their effective role as direct and indirect participants, including as witnesses, in all legal proceedings, including at investigative and other preliminary stages.</w:t>
      </w:r>
    </w:p>
    <w:p w14:paraId="3B20F5CD" w14:textId="77777777" w:rsidR="00F905C5" w:rsidRDefault="00F905C5" w:rsidP="004417B4">
      <w:pPr>
        <w:spacing w:before="24" w:afterLines="24" w:after="57" w:line="360" w:lineRule="auto"/>
        <w:ind w:left="720" w:hanging="720"/>
        <w:jc w:val="both"/>
      </w:pPr>
    </w:p>
    <w:p w14:paraId="7A829C26" w14:textId="049D3238" w:rsidR="00F905C5" w:rsidRDefault="00F905C5" w:rsidP="004417B4">
      <w:pPr>
        <w:pStyle w:val="ListParagraph"/>
        <w:numPr>
          <w:ilvl w:val="1"/>
          <w:numId w:val="27"/>
        </w:numPr>
        <w:spacing w:before="24" w:afterLines="24" w:after="57" w:line="360" w:lineRule="auto"/>
        <w:ind w:left="720"/>
        <w:jc w:val="both"/>
      </w:pPr>
      <w:r>
        <w:t>In its concluding observations in 2017, the UN CRPD Committee was concerned about the level of awareness of the rights of disabled people under the UN CRPD within the criminal justice system. It urged the UK Government and NI Executive to “develop and implement capacity-building programmes among the judiciary and law enforcement personnel, including judges, prosecutors, police officers and prison staff, about the rights of persons with disabilities”.</w:t>
      </w:r>
      <w:r>
        <w:rPr>
          <w:rStyle w:val="FootnoteReference"/>
        </w:rPr>
        <w:footnoteReference w:id="20"/>
      </w:r>
      <w:r>
        <w:t xml:space="preserve"> </w:t>
      </w:r>
      <w:r w:rsidR="00CA0615">
        <w:t>As the Department take</w:t>
      </w:r>
      <w:r w:rsidR="007810A7">
        <w:t>s</w:t>
      </w:r>
      <w:r w:rsidR="00CA0615">
        <w:t xml:space="preserve"> forward this initiative</w:t>
      </w:r>
      <w:r w:rsidR="00D0309F">
        <w:t>,</w:t>
      </w:r>
      <w:r w:rsidR="00CA0615">
        <w:t xml:space="preserve"> i</w:t>
      </w:r>
      <w:r w:rsidR="00D3319C">
        <w:t xml:space="preserve">t is important to consider how courts and </w:t>
      </w:r>
      <w:r w:rsidR="008F3CC1">
        <w:t>T</w:t>
      </w:r>
      <w:r w:rsidR="00D3319C">
        <w:t xml:space="preserve">ribunals will be informed of any </w:t>
      </w:r>
      <w:r w:rsidR="00D3319C">
        <w:lastRenderedPageBreak/>
        <w:t xml:space="preserve">characteristics of a court user which may make the use of live links challenging. </w:t>
      </w:r>
    </w:p>
    <w:p w14:paraId="0A4F56B8" w14:textId="77777777" w:rsidR="00F905C5" w:rsidRDefault="00F905C5" w:rsidP="004417B4">
      <w:pPr>
        <w:pStyle w:val="ListParagraph"/>
        <w:spacing w:before="24" w:afterLines="24" w:after="57" w:line="360" w:lineRule="auto"/>
        <w:ind w:hanging="720"/>
        <w:jc w:val="both"/>
      </w:pPr>
    </w:p>
    <w:p w14:paraId="2AB83A9A" w14:textId="5DFBA35A" w:rsidR="007347C3" w:rsidRPr="00BE5E0D" w:rsidRDefault="00DF411C" w:rsidP="00BE5E0D">
      <w:pPr>
        <w:pStyle w:val="ListParagraph"/>
        <w:numPr>
          <w:ilvl w:val="1"/>
          <w:numId w:val="27"/>
        </w:numPr>
        <w:spacing w:before="24" w:afterLines="24" w:after="57" w:line="360" w:lineRule="auto"/>
        <w:ind w:left="720"/>
        <w:jc w:val="both"/>
      </w:pPr>
      <w:bookmarkStart w:id="6" w:name="_Hlk114062107"/>
      <w:r>
        <w:t>Whilst the Department states that there is a general acceptance that live links are suitable for use in criminal and civil cases</w:t>
      </w:r>
      <w:r w:rsidR="00144FD8">
        <w:t>,</w:t>
      </w:r>
      <w:r w:rsidR="007B3E0B">
        <w:t xml:space="preserve"> it acknowledges that during engagement events concerns were raised regarding the </w:t>
      </w:r>
      <w:r>
        <w:t xml:space="preserve">suitability of live </w:t>
      </w:r>
      <w:r w:rsidR="00D94259">
        <w:t xml:space="preserve">links </w:t>
      </w:r>
      <w:r w:rsidR="008F3CC1">
        <w:t>for young people and</w:t>
      </w:r>
      <w:r>
        <w:t xml:space="preserve"> those identified as “vulnerable”.</w:t>
      </w:r>
      <w:r w:rsidR="007B3E0B">
        <w:rPr>
          <w:rStyle w:val="FootnoteReference"/>
        </w:rPr>
        <w:footnoteReference w:id="21"/>
      </w:r>
      <w:r w:rsidR="00CC7D7A">
        <w:t xml:space="preserve"> </w:t>
      </w:r>
      <w:r w:rsidR="00D025C0">
        <w:t>Despite these comments</w:t>
      </w:r>
      <w:r w:rsidR="00FC2F95">
        <w:t>,</w:t>
      </w:r>
      <w:r w:rsidR="00D025C0">
        <w:t xml:space="preserve"> the Department has </w:t>
      </w:r>
      <w:r w:rsidR="001015CD">
        <w:t>not yet</w:t>
      </w:r>
      <w:r w:rsidR="00D025C0">
        <w:t xml:space="preserve"> conduct</w:t>
      </w:r>
      <w:r w:rsidR="001015CD">
        <w:t>ed</w:t>
      </w:r>
      <w:r w:rsidR="00D025C0">
        <w:t xml:space="preserve"> a</w:t>
      </w:r>
      <w:r w:rsidR="00B93C81">
        <w:t xml:space="preserve"> full equality impact assessment. </w:t>
      </w:r>
    </w:p>
    <w:p w14:paraId="297DED43" w14:textId="77777777" w:rsidR="00F905C5" w:rsidRDefault="00F905C5" w:rsidP="004417B4">
      <w:pPr>
        <w:pStyle w:val="ListParagraph"/>
        <w:spacing w:before="24" w:afterLines="24" w:after="57" w:line="360" w:lineRule="auto"/>
        <w:ind w:hanging="720"/>
        <w:jc w:val="both"/>
      </w:pPr>
    </w:p>
    <w:p w14:paraId="542CF190" w14:textId="3AB38BC4" w:rsidR="00DB5DBF" w:rsidRDefault="00CC7D7A" w:rsidP="00FC2ACD">
      <w:pPr>
        <w:pStyle w:val="ListParagraph"/>
        <w:numPr>
          <w:ilvl w:val="1"/>
          <w:numId w:val="27"/>
        </w:numPr>
        <w:spacing w:before="24" w:afterLines="24" w:after="57" w:line="360" w:lineRule="auto"/>
        <w:ind w:left="720"/>
        <w:jc w:val="both"/>
      </w:pPr>
      <w:r>
        <w:t>The Department acknowledge</w:t>
      </w:r>
      <w:r w:rsidR="00AA0F31">
        <w:t>s</w:t>
      </w:r>
      <w:r>
        <w:t xml:space="preserve"> a survey conducted by the Magistrates’ Association for England and Wales which identified concerns relating t</w:t>
      </w:r>
      <w:r w:rsidR="002179AE">
        <w:t>o</w:t>
      </w:r>
      <w:r>
        <w:t xml:space="preserve"> the suitability of live links </w:t>
      </w:r>
      <w:r w:rsidR="00D94259">
        <w:t>for neurodivergent defendants</w:t>
      </w:r>
      <w:r w:rsidR="005E00C2">
        <w:t xml:space="preserve"> </w:t>
      </w:r>
      <w:r>
        <w:t>and those who are mentally unwell.</w:t>
      </w:r>
      <w:r w:rsidR="002179AE">
        <w:rPr>
          <w:rStyle w:val="FootnoteReference"/>
        </w:rPr>
        <w:footnoteReference w:id="22"/>
      </w:r>
      <w:r w:rsidR="008A7EB3">
        <w:t xml:space="preserve"> Within this report</w:t>
      </w:r>
      <w:r w:rsidR="00AE130E">
        <w:t>,</w:t>
      </w:r>
      <w:r w:rsidR="008A7EB3">
        <w:t xml:space="preserve"> the Magistrates’ Association emphasise</w:t>
      </w:r>
      <w:r w:rsidR="00473D68">
        <w:t>d</w:t>
      </w:r>
      <w:r w:rsidR="008A7EB3">
        <w:t xml:space="preserve"> that </w:t>
      </w:r>
      <w:r w:rsidR="00AE130E">
        <w:t>“</w:t>
      </w:r>
      <w:r w:rsidR="008A7EB3">
        <w:t>assessing effective participation is not a straightforward task</w:t>
      </w:r>
      <w:r w:rsidR="00AE130E">
        <w:t>”</w:t>
      </w:r>
      <w:r w:rsidR="008A7EB3">
        <w:t>.</w:t>
      </w:r>
      <w:r w:rsidR="008A7EB3">
        <w:rPr>
          <w:rStyle w:val="FootnoteReference"/>
        </w:rPr>
        <w:footnoteReference w:id="23"/>
      </w:r>
      <w:r>
        <w:t xml:space="preserve"> In addition to this research</w:t>
      </w:r>
      <w:r w:rsidR="00AE130E">
        <w:t>,</w:t>
      </w:r>
      <w:r>
        <w:t xml:space="preserve"> the </w:t>
      </w:r>
      <w:r w:rsidR="00590A9D">
        <w:t xml:space="preserve">NIHRC </w:t>
      </w:r>
      <w:r>
        <w:t xml:space="preserve">would point towards research by the Law Society of England &amp; Wales </w:t>
      </w:r>
      <w:r w:rsidR="00AE4B1B">
        <w:t>which reported that only 16% of solicitors considered that vulnerable defendants were able to effectively participate in remote hearings.</w:t>
      </w:r>
      <w:r w:rsidR="00AE4B1B">
        <w:rPr>
          <w:rStyle w:val="FootnoteReference"/>
        </w:rPr>
        <w:footnoteReference w:id="24"/>
      </w:r>
    </w:p>
    <w:p w14:paraId="3B3563F8" w14:textId="77777777" w:rsidR="00607451" w:rsidRDefault="00607451" w:rsidP="004417B4">
      <w:pPr>
        <w:pStyle w:val="ListParagraph"/>
        <w:spacing w:before="24" w:afterLines="24" w:after="57" w:line="360" w:lineRule="auto"/>
        <w:ind w:hanging="720"/>
        <w:jc w:val="both"/>
      </w:pPr>
    </w:p>
    <w:p w14:paraId="7B4963D2" w14:textId="1891C2BD" w:rsidR="00970E2B" w:rsidRDefault="00970E2B" w:rsidP="004417B4">
      <w:pPr>
        <w:pStyle w:val="ListParagraph"/>
        <w:numPr>
          <w:ilvl w:val="1"/>
          <w:numId w:val="27"/>
        </w:numPr>
        <w:spacing w:before="24" w:afterLines="24" w:after="57" w:line="360" w:lineRule="auto"/>
        <w:ind w:left="720"/>
        <w:jc w:val="both"/>
      </w:pPr>
      <w:r>
        <w:t xml:space="preserve">The Department does not set out </w:t>
      </w:r>
      <w:r w:rsidR="005A621B">
        <w:t xml:space="preserve">any </w:t>
      </w:r>
      <w:r>
        <w:t xml:space="preserve">specific research which it has conducted into the experience of </w:t>
      </w:r>
      <w:r w:rsidR="00E6242D">
        <w:t xml:space="preserve">disabled </w:t>
      </w:r>
      <w:r>
        <w:t xml:space="preserve">court users </w:t>
      </w:r>
      <w:r w:rsidR="00B406D5">
        <w:t>in Northern Ireland</w:t>
      </w:r>
      <w:r w:rsidR="00E60039">
        <w:t xml:space="preserve">. </w:t>
      </w:r>
      <w:r w:rsidR="006F4975">
        <w:t>Research into the use of live links tends to emphasise the importance of r</w:t>
      </w:r>
      <w:r w:rsidR="00703ED9">
        <w:t>eliable technology and appropriate accommodation, which facilitates confidential communications between a court user and their legal representative.</w:t>
      </w:r>
      <w:r w:rsidR="00703ED9">
        <w:rPr>
          <w:rStyle w:val="FootnoteReference"/>
        </w:rPr>
        <w:footnoteReference w:id="25"/>
      </w:r>
      <w:r w:rsidR="00703ED9">
        <w:t xml:space="preserve"> The Department ha</w:t>
      </w:r>
      <w:r w:rsidR="00430402">
        <w:t>s</w:t>
      </w:r>
      <w:r w:rsidR="00703ED9">
        <w:t xml:space="preserve"> not set out within the consultation </w:t>
      </w:r>
      <w:r w:rsidR="00703ED9">
        <w:lastRenderedPageBreak/>
        <w:t>paper how relevant court infrastructure ha</w:t>
      </w:r>
      <w:r w:rsidR="00430402">
        <w:t>s</w:t>
      </w:r>
      <w:r w:rsidR="00703ED9">
        <w:t xml:space="preserve"> been developed and upgraded to accommodate the increased use of live links</w:t>
      </w:r>
      <w:r w:rsidR="008F3CC1">
        <w:t xml:space="preserve"> and ensure their accessibility for disabled court users</w:t>
      </w:r>
      <w:r w:rsidR="00703ED9">
        <w:t>.</w:t>
      </w:r>
      <w:r w:rsidR="00735A44">
        <w:t xml:space="preserve"> </w:t>
      </w:r>
      <w:r w:rsidR="00703ED9">
        <w:t xml:space="preserve"> </w:t>
      </w:r>
    </w:p>
    <w:p w14:paraId="15F863ED" w14:textId="77777777" w:rsidR="00430770" w:rsidRDefault="00430770" w:rsidP="004417B4">
      <w:pPr>
        <w:pStyle w:val="ListParagraph"/>
        <w:spacing w:before="24" w:afterLines="24" w:after="57" w:line="360" w:lineRule="auto"/>
        <w:ind w:hanging="720"/>
        <w:jc w:val="both"/>
      </w:pPr>
    </w:p>
    <w:p w14:paraId="2622F950" w14:textId="409F6B22" w:rsidR="00607451" w:rsidRPr="003701FB" w:rsidRDefault="00607451" w:rsidP="004417B4">
      <w:pPr>
        <w:pStyle w:val="ListParagraph"/>
        <w:numPr>
          <w:ilvl w:val="1"/>
          <w:numId w:val="27"/>
        </w:numPr>
        <w:spacing w:before="24" w:afterLines="24" w:after="57" w:line="360" w:lineRule="auto"/>
        <w:ind w:left="720"/>
        <w:jc w:val="both"/>
        <w:rPr>
          <w:color w:val="000000" w:themeColor="text1"/>
        </w:rPr>
      </w:pPr>
      <w:r w:rsidRPr="00430770">
        <w:rPr>
          <w:b/>
          <w:bCs/>
        </w:rPr>
        <w:t xml:space="preserve">The </w:t>
      </w:r>
      <w:r w:rsidR="00590A9D">
        <w:rPr>
          <w:b/>
          <w:bCs/>
        </w:rPr>
        <w:t>NIHRC</w:t>
      </w:r>
      <w:r w:rsidR="00590A9D" w:rsidRPr="00430770">
        <w:rPr>
          <w:b/>
          <w:bCs/>
        </w:rPr>
        <w:t xml:space="preserve"> </w:t>
      </w:r>
      <w:r w:rsidRPr="00430770">
        <w:rPr>
          <w:b/>
          <w:bCs/>
        </w:rPr>
        <w:t xml:space="preserve">recommends that the Department </w:t>
      </w:r>
      <w:r w:rsidR="006902A7">
        <w:rPr>
          <w:b/>
        </w:rPr>
        <w:t>conducts</w:t>
      </w:r>
      <w:r w:rsidR="006902A7" w:rsidRPr="00D86B80">
        <w:rPr>
          <w:b/>
        </w:rPr>
        <w:t xml:space="preserve"> or commission</w:t>
      </w:r>
      <w:r w:rsidR="006902A7">
        <w:rPr>
          <w:b/>
        </w:rPr>
        <w:t>s</w:t>
      </w:r>
      <w:r w:rsidRPr="00430770">
        <w:rPr>
          <w:b/>
          <w:bCs/>
        </w:rPr>
        <w:t xml:space="preserve"> research to determine if the use of live links has had adverse consequences </w:t>
      </w:r>
      <w:r w:rsidR="008A7EB3" w:rsidRPr="00430770">
        <w:rPr>
          <w:b/>
          <w:bCs/>
        </w:rPr>
        <w:t>on the ability</w:t>
      </w:r>
      <w:r w:rsidRPr="00430770">
        <w:rPr>
          <w:b/>
          <w:bCs/>
        </w:rPr>
        <w:t xml:space="preserve"> </w:t>
      </w:r>
      <w:r w:rsidR="00B406D5">
        <w:rPr>
          <w:b/>
          <w:bCs/>
        </w:rPr>
        <w:t xml:space="preserve">of </w:t>
      </w:r>
      <w:r w:rsidR="008F3CC1">
        <w:rPr>
          <w:b/>
          <w:bCs/>
        </w:rPr>
        <w:t xml:space="preserve">disabled </w:t>
      </w:r>
      <w:r w:rsidRPr="00430770">
        <w:rPr>
          <w:b/>
          <w:bCs/>
        </w:rPr>
        <w:t xml:space="preserve">court users </w:t>
      </w:r>
      <w:r w:rsidR="00323EB1" w:rsidRPr="00430770">
        <w:rPr>
          <w:b/>
          <w:bCs/>
        </w:rPr>
        <w:t xml:space="preserve">to </w:t>
      </w:r>
      <w:r w:rsidR="00D94259" w:rsidRPr="00430770">
        <w:rPr>
          <w:b/>
          <w:bCs/>
        </w:rPr>
        <w:t>partic</w:t>
      </w:r>
      <w:r w:rsidR="00D94259">
        <w:rPr>
          <w:b/>
          <w:bCs/>
        </w:rPr>
        <w:t>ip</w:t>
      </w:r>
      <w:r w:rsidR="00D94259" w:rsidRPr="00430770">
        <w:rPr>
          <w:b/>
          <w:bCs/>
        </w:rPr>
        <w:t xml:space="preserve">ate </w:t>
      </w:r>
      <w:r w:rsidR="00323EB1" w:rsidRPr="00430770">
        <w:rPr>
          <w:b/>
          <w:bCs/>
        </w:rPr>
        <w:t>in and understand the proceedings</w:t>
      </w:r>
      <w:r w:rsidRPr="00430770">
        <w:rPr>
          <w:b/>
          <w:bCs/>
        </w:rPr>
        <w:t xml:space="preserve">. This research should specifically examine whether there has been any hindrance to </w:t>
      </w:r>
      <w:r w:rsidR="008F3CC1">
        <w:rPr>
          <w:b/>
          <w:bCs/>
        </w:rPr>
        <w:t xml:space="preserve">disabled </w:t>
      </w:r>
      <w:r w:rsidRPr="00430770">
        <w:rPr>
          <w:b/>
          <w:bCs/>
        </w:rPr>
        <w:t xml:space="preserve">court users </w:t>
      </w:r>
      <w:r w:rsidRPr="003701FB">
        <w:rPr>
          <w:b/>
          <w:bCs/>
          <w:color w:val="000000" w:themeColor="text1"/>
        </w:rPr>
        <w:t>consulting with their legal representative</w:t>
      </w:r>
      <w:r w:rsidR="00C022D8" w:rsidRPr="003701FB">
        <w:rPr>
          <w:b/>
          <w:bCs/>
          <w:color w:val="000000" w:themeColor="text1"/>
        </w:rPr>
        <w:t>s</w:t>
      </w:r>
      <w:r w:rsidRPr="003701FB">
        <w:rPr>
          <w:b/>
          <w:bCs/>
          <w:color w:val="000000" w:themeColor="text1"/>
        </w:rPr>
        <w:t xml:space="preserve">. </w:t>
      </w:r>
    </w:p>
    <w:bookmarkEnd w:id="6"/>
    <w:p w14:paraId="26CC38E6" w14:textId="77777777" w:rsidR="00527929" w:rsidRPr="003701FB" w:rsidRDefault="00527929" w:rsidP="00527929">
      <w:pPr>
        <w:rPr>
          <w:b/>
          <w:bCs/>
          <w:color w:val="000000" w:themeColor="text1"/>
        </w:rPr>
      </w:pPr>
    </w:p>
    <w:p w14:paraId="2045AC5E" w14:textId="77777777" w:rsidR="000F5641" w:rsidRPr="000F5641" w:rsidRDefault="000F5641" w:rsidP="000F5641">
      <w:pPr>
        <w:pStyle w:val="ListParagraph"/>
        <w:rPr>
          <w:rFonts w:eastAsia="Times New Roman"/>
          <w:color w:val="000000" w:themeColor="text1"/>
        </w:rPr>
      </w:pPr>
    </w:p>
    <w:p w14:paraId="1529AB22" w14:textId="528A01BB" w:rsidR="003701FB" w:rsidRDefault="00527929" w:rsidP="003701FB">
      <w:pPr>
        <w:pStyle w:val="ListParagraph"/>
        <w:numPr>
          <w:ilvl w:val="1"/>
          <w:numId w:val="27"/>
        </w:numPr>
        <w:spacing w:beforeLines="24" w:before="57" w:afterLines="24" w:after="57" w:line="360" w:lineRule="auto"/>
        <w:ind w:left="720"/>
        <w:jc w:val="both"/>
        <w:rPr>
          <w:rFonts w:cstheme="minorHAnsi"/>
          <w:color w:val="000000" w:themeColor="text1"/>
        </w:rPr>
      </w:pPr>
      <w:r w:rsidRPr="003701FB">
        <w:rPr>
          <w:rFonts w:eastAsia="Times New Roman"/>
          <w:color w:val="000000" w:themeColor="text1"/>
        </w:rPr>
        <w:t>The EU Victims</w:t>
      </w:r>
      <w:r w:rsidR="00EB4D0B">
        <w:rPr>
          <w:rFonts w:eastAsia="Times New Roman"/>
          <w:color w:val="000000" w:themeColor="text1"/>
        </w:rPr>
        <w:t>’</w:t>
      </w:r>
      <w:r w:rsidRPr="003701FB">
        <w:rPr>
          <w:rFonts w:eastAsia="Times New Roman"/>
          <w:color w:val="000000" w:themeColor="text1"/>
        </w:rPr>
        <w:t xml:space="preserve"> Directive reinforces existing national laws and establishes minimum standards on victims’ rights</w:t>
      </w:r>
      <w:r w:rsidR="00A534F8">
        <w:rPr>
          <w:rFonts w:eastAsia="Times New Roman"/>
          <w:color w:val="000000" w:themeColor="text1"/>
        </w:rPr>
        <w:t>.</w:t>
      </w:r>
      <w:r w:rsidRPr="003701FB">
        <w:rPr>
          <w:rFonts w:eastAsia="Times New Roman"/>
          <w:color w:val="000000" w:themeColor="text1"/>
        </w:rPr>
        <w:t xml:space="preserve"> </w:t>
      </w:r>
      <w:r w:rsidR="00A534F8">
        <w:rPr>
          <w:rFonts w:eastAsia="Times New Roman"/>
          <w:color w:val="000000" w:themeColor="text1"/>
        </w:rPr>
        <w:t>I</w:t>
      </w:r>
      <w:r w:rsidRPr="003701FB">
        <w:rPr>
          <w:rFonts w:eastAsia="Times New Roman"/>
          <w:color w:val="000000" w:themeColor="text1"/>
        </w:rPr>
        <w:t>ts purpose is to ensure victims of crime receive appropriate information, support and protection and are able to participate in criminal proceedings</w:t>
      </w:r>
      <w:r w:rsidR="00193110">
        <w:rPr>
          <w:rFonts w:eastAsia="Times New Roman"/>
          <w:color w:val="000000" w:themeColor="text1"/>
        </w:rPr>
        <w:t>.</w:t>
      </w:r>
      <w:r w:rsidRPr="003701FB">
        <w:rPr>
          <w:color w:val="000000" w:themeColor="text1"/>
          <w:vertAlign w:val="superscript"/>
        </w:rPr>
        <w:footnoteReference w:id="26"/>
      </w:r>
      <w:r w:rsidRPr="003701FB">
        <w:rPr>
          <w:rFonts w:eastAsia="Times New Roman"/>
          <w:color w:val="000000" w:themeColor="text1"/>
        </w:rPr>
        <w:t xml:space="preserve"> </w:t>
      </w:r>
      <w:r w:rsidR="003701FB" w:rsidRPr="003701FB">
        <w:rPr>
          <w:rFonts w:cstheme="minorHAnsi"/>
          <w:color w:val="000000" w:themeColor="text1"/>
        </w:rPr>
        <w:t>The EU Victims</w:t>
      </w:r>
      <w:r w:rsidR="0023630E">
        <w:rPr>
          <w:rFonts w:cstheme="minorHAnsi"/>
          <w:color w:val="000000" w:themeColor="text1"/>
        </w:rPr>
        <w:t>’</w:t>
      </w:r>
      <w:r w:rsidR="003701FB" w:rsidRPr="003701FB">
        <w:rPr>
          <w:rFonts w:cstheme="minorHAnsi"/>
          <w:color w:val="000000" w:themeColor="text1"/>
        </w:rPr>
        <w:t xml:space="preserve"> Directive emphasises that, in the interests of justice, it is imperative that victims are able to “participate actively in court hearings”.</w:t>
      </w:r>
      <w:r w:rsidR="003701FB" w:rsidRPr="003701FB">
        <w:rPr>
          <w:rStyle w:val="FootnoteReference"/>
          <w:rFonts w:cstheme="minorHAnsi"/>
          <w:color w:val="000000" w:themeColor="text1"/>
        </w:rPr>
        <w:footnoteReference w:id="27"/>
      </w:r>
      <w:r w:rsidR="003701FB" w:rsidRPr="003701FB">
        <w:rPr>
          <w:rFonts w:cstheme="minorHAnsi"/>
          <w:color w:val="000000" w:themeColor="text1"/>
        </w:rPr>
        <w:t xml:space="preserve"> Therefore, Protocol Article 2 requires that the Department gives consideration to the suitability of live links technology for victims, especially those victims who are vulnerable, for those who do not speak English as a first language and disabled victims.</w:t>
      </w:r>
    </w:p>
    <w:p w14:paraId="7A970400" w14:textId="77777777" w:rsidR="003701FB" w:rsidRPr="003701FB" w:rsidRDefault="003701FB" w:rsidP="003701FB">
      <w:pPr>
        <w:pStyle w:val="ListParagraph"/>
        <w:rPr>
          <w:color w:val="000000" w:themeColor="text1"/>
        </w:rPr>
      </w:pPr>
    </w:p>
    <w:p w14:paraId="3467BE73" w14:textId="284421E2" w:rsidR="003701FB" w:rsidRPr="003701FB" w:rsidRDefault="003701FB" w:rsidP="003701FB">
      <w:pPr>
        <w:pStyle w:val="ListParagraph"/>
        <w:numPr>
          <w:ilvl w:val="1"/>
          <w:numId w:val="27"/>
        </w:numPr>
        <w:spacing w:beforeLines="24" w:before="57" w:afterLines="24" w:after="57" w:line="360" w:lineRule="auto"/>
        <w:ind w:left="720"/>
        <w:jc w:val="both"/>
        <w:rPr>
          <w:rFonts w:cstheme="minorHAnsi"/>
          <w:color w:val="000000" w:themeColor="text1"/>
        </w:rPr>
      </w:pPr>
      <w:r w:rsidRPr="003701FB">
        <w:rPr>
          <w:color w:val="000000" w:themeColor="text1"/>
        </w:rPr>
        <w:t xml:space="preserve">The Directive provides that </w:t>
      </w:r>
      <w:r w:rsidR="00520CC7">
        <w:rPr>
          <w:color w:val="000000" w:themeColor="text1"/>
        </w:rPr>
        <w:t>S</w:t>
      </w:r>
      <w:r w:rsidRPr="003701FB">
        <w:rPr>
          <w:color w:val="000000" w:themeColor="text1"/>
        </w:rPr>
        <w:t>tates should ensure that “victims with disabilities are able to benefit fully from the rights set out in this Directive, on an equal basis with others”</w:t>
      </w:r>
      <w:r w:rsidR="00520CC7">
        <w:rPr>
          <w:color w:val="000000" w:themeColor="text1"/>
        </w:rPr>
        <w:t>,</w:t>
      </w:r>
      <w:r w:rsidRPr="003701FB">
        <w:rPr>
          <w:color w:val="000000" w:themeColor="text1"/>
        </w:rPr>
        <w:t xml:space="preserve"> and emphasises the need to take account of communication difficulties faced by victims with disabilities during criminal proceedings.</w:t>
      </w:r>
      <w:r w:rsidRPr="003701FB">
        <w:rPr>
          <w:rStyle w:val="FootnoteReference"/>
          <w:rFonts w:cstheme="minorHAnsi"/>
          <w:color w:val="000000" w:themeColor="text1"/>
        </w:rPr>
        <w:footnoteReference w:id="28"/>
      </w:r>
      <w:r w:rsidRPr="003701FB">
        <w:rPr>
          <w:color w:val="000000" w:themeColor="text1"/>
        </w:rPr>
        <w:t xml:space="preserve"> Article 3 of the EU Victims</w:t>
      </w:r>
      <w:r w:rsidR="00746543">
        <w:rPr>
          <w:color w:val="000000" w:themeColor="text1"/>
        </w:rPr>
        <w:t>’</w:t>
      </w:r>
      <w:r w:rsidRPr="003701FB">
        <w:rPr>
          <w:color w:val="000000" w:themeColor="text1"/>
        </w:rPr>
        <w:t xml:space="preserve"> Directive directs Member States to ensure victims understand and are understood, and that any </w:t>
      </w:r>
      <w:r w:rsidRPr="003701FB">
        <w:rPr>
          <w:color w:val="000000" w:themeColor="text1"/>
        </w:rPr>
        <w:lastRenderedPageBreak/>
        <w:t>communications with victims takes into account the personal characteristics of the victim “including any disability which may affect the ability to understand or to be understood”.</w:t>
      </w:r>
      <w:r w:rsidRPr="003701FB">
        <w:rPr>
          <w:rStyle w:val="FootnoteReference"/>
          <w:rFonts w:cstheme="minorHAnsi"/>
          <w:color w:val="000000" w:themeColor="text1"/>
        </w:rPr>
        <w:footnoteReference w:id="29"/>
      </w:r>
      <w:r w:rsidRPr="003701FB">
        <w:rPr>
          <w:color w:val="000000" w:themeColor="text1"/>
        </w:rPr>
        <w:t xml:space="preserve">  </w:t>
      </w:r>
    </w:p>
    <w:p w14:paraId="5C6EC2A9" w14:textId="77777777" w:rsidR="003701FB" w:rsidRPr="003701FB" w:rsidRDefault="003701FB" w:rsidP="003701FB">
      <w:pPr>
        <w:spacing w:beforeLines="24" w:before="57" w:afterLines="24" w:after="57" w:line="360" w:lineRule="auto"/>
        <w:jc w:val="both"/>
        <w:rPr>
          <w:rFonts w:cstheme="minorHAnsi"/>
          <w:color w:val="000000" w:themeColor="text1"/>
        </w:rPr>
      </w:pPr>
    </w:p>
    <w:p w14:paraId="267A403D" w14:textId="0E5B33D5" w:rsidR="003701FB" w:rsidRDefault="003701FB" w:rsidP="003701FB">
      <w:pPr>
        <w:pStyle w:val="ListParagraph"/>
        <w:numPr>
          <w:ilvl w:val="1"/>
          <w:numId w:val="27"/>
        </w:numPr>
        <w:spacing w:beforeLines="24" w:before="57" w:afterLines="24" w:after="57" w:line="360" w:lineRule="auto"/>
        <w:ind w:left="720"/>
        <w:jc w:val="both"/>
        <w:rPr>
          <w:rFonts w:cstheme="minorHAnsi"/>
          <w:b/>
          <w:bCs/>
          <w:color w:val="000000" w:themeColor="text1"/>
        </w:rPr>
      </w:pPr>
      <w:r w:rsidRPr="00A529CF">
        <w:rPr>
          <w:rFonts w:cstheme="minorHAnsi"/>
          <w:b/>
          <w:bCs/>
          <w:color w:val="000000" w:themeColor="text1"/>
        </w:rPr>
        <w:t xml:space="preserve">The NIHRC </w:t>
      </w:r>
      <w:r w:rsidR="00FA3498">
        <w:rPr>
          <w:rFonts w:cstheme="minorHAnsi"/>
          <w:b/>
          <w:bCs/>
          <w:color w:val="000000" w:themeColor="text1"/>
        </w:rPr>
        <w:t>recommends</w:t>
      </w:r>
      <w:r w:rsidR="00FA3498" w:rsidRPr="00A529CF">
        <w:rPr>
          <w:rFonts w:cstheme="minorHAnsi"/>
          <w:b/>
          <w:bCs/>
          <w:color w:val="000000" w:themeColor="text1"/>
        </w:rPr>
        <w:t xml:space="preserve"> </w:t>
      </w:r>
      <w:r w:rsidRPr="00A529CF">
        <w:rPr>
          <w:rFonts w:cstheme="minorHAnsi"/>
          <w:b/>
          <w:bCs/>
          <w:color w:val="000000" w:themeColor="text1"/>
        </w:rPr>
        <w:t>that, in the development of live links legislation and policy, the Department carefully consider</w:t>
      </w:r>
      <w:r w:rsidR="00AE4190">
        <w:rPr>
          <w:rFonts w:cstheme="minorHAnsi"/>
          <w:b/>
          <w:bCs/>
          <w:color w:val="000000" w:themeColor="text1"/>
        </w:rPr>
        <w:t>s</w:t>
      </w:r>
      <w:r w:rsidRPr="00A529CF">
        <w:rPr>
          <w:rFonts w:cstheme="minorHAnsi"/>
          <w:b/>
          <w:bCs/>
          <w:color w:val="000000" w:themeColor="text1"/>
        </w:rPr>
        <w:t xml:space="preserve"> the provisions of the EU Victims</w:t>
      </w:r>
      <w:r w:rsidR="006E74EC">
        <w:rPr>
          <w:rFonts w:cstheme="minorHAnsi"/>
          <w:b/>
          <w:bCs/>
          <w:color w:val="000000" w:themeColor="text1"/>
        </w:rPr>
        <w:t>’</w:t>
      </w:r>
      <w:r w:rsidRPr="00A529CF">
        <w:rPr>
          <w:rFonts w:cstheme="minorHAnsi"/>
          <w:b/>
          <w:bCs/>
          <w:color w:val="000000" w:themeColor="text1"/>
        </w:rPr>
        <w:t xml:space="preserve"> Directive </w:t>
      </w:r>
      <w:r w:rsidR="00A529CF" w:rsidRPr="00A529CF">
        <w:rPr>
          <w:b/>
          <w:bCs/>
          <w:color w:val="000000" w:themeColor="text1"/>
        </w:rPr>
        <w:t xml:space="preserve">relating </w:t>
      </w:r>
      <w:r w:rsidR="006E74EC">
        <w:rPr>
          <w:b/>
          <w:bCs/>
          <w:color w:val="000000" w:themeColor="text1"/>
        </w:rPr>
        <w:t xml:space="preserve">to </w:t>
      </w:r>
      <w:r w:rsidRPr="00A529CF">
        <w:rPr>
          <w:b/>
          <w:bCs/>
          <w:color w:val="000000" w:themeColor="text1"/>
        </w:rPr>
        <w:t xml:space="preserve">victims who are </w:t>
      </w:r>
      <w:r w:rsidR="00A529CF" w:rsidRPr="00A529CF">
        <w:rPr>
          <w:b/>
          <w:bCs/>
          <w:color w:val="000000" w:themeColor="text1"/>
        </w:rPr>
        <w:t>disabled</w:t>
      </w:r>
      <w:r w:rsidR="006E74EC">
        <w:rPr>
          <w:b/>
          <w:bCs/>
          <w:color w:val="000000" w:themeColor="text1"/>
        </w:rPr>
        <w:t>,</w:t>
      </w:r>
      <w:r w:rsidR="00A529CF" w:rsidRPr="00A529CF">
        <w:rPr>
          <w:b/>
          <w:bCs/>
          <w:color w:val="000000" w:themeColor="text1"/>
        </w:rPr>
        <w:t xml:space="preserve"> </w:t>
      </w:r>
      <w:r w:rsidRPr="00A529CF">
        <w:rPr>
          <w:b/>
          <w:bCs/>
          <w:color w:val="000000" w:themeColor="text1"/>
        </w:rPr>
        <w:t>to ensure they</w:t>
      </w:r>
      <w:r w:rsidR="00AE4190">
        <w:rPr>
          <w:b/>
          <w:bCs/>
          <w:color w:val="000000" w:themeColor="text1"/>
        </w:rPr>
        <w:t xml:space="preserve"> </w:t>
      </w:r>
      <w:proofErr w:type="gramStart"/>
      <w:r w:rsidR="00AE4190">
        <w:rPr>
          <w:b/>
          <w:bCs/>
          <w:color w:val="000000" w:themeColor="text1"/>
        </w:rPr>
        <w:t>are</w:t>
      </w:r>
      <w:r w:rsidR="00A529CF" w:rsidRPr="00A529CF">
        <w:rPr>
          <w:b/>
          <w:bCs/>
          <w:color w:val="000000" w:themeColor="text1"/>
        </w:rPr>
        <w:t xml:space="preserve"> </w:t>
      </w:r>
      <w:r w:rsidR="00A529CF" w:rsidRPr="00A529CF">
        <w:rPr>
          <w:rFonts w:cstheme="minorHAnsi"/>
          <w:b/>
          <w:bCs/>
          <w:color w:val="000000" w:themeColor="text1"/>
        </w:rPr>
        <w:t>able to</w:t>
      </w:r>
      <w:proofErr w:type="gramEnd"/>
      <w:r w:rsidR="00A529CF" w:rsidRPr="00A529CF">
        <w:rPr>
          <w:rFonts w:cstheme="minorHAnsi"/>
          <w:b/>
          <w:bCs/>
          <w:color w:val="000000" w:themeColor="text1"/>
        </w:rPr>
        <w:t xml:space="preserve"> actively participate in court hearings </w:t>
      </w:r>
      <w:r w:rsidR="00A529CF" w:rsidRPr="00A529CF">
        <w:rPr>
          <w:b/>
          <w:bCs/>
          <w:color w:val="000000" w:themeColor="text1"/>
        </w:rPr>
        <w:t>on an equal basis with others</w:t>
      </w:r>
      <w:r w:rsidRPr="003701FB">
        <w:rPr>
          <w:rFonts w:cstheme="minorHAnsi"/>
          <w:b/>
          <w:bCs/>
          <w:color w:val="000000" w:themeColor="text1"/>
        </w:rPr>
        <w:t>.</w:t>
      </w:r>
    </w:p>
    <w:p w14:paraId="6AD772A3" w14:textId="77777777" w:rsidR="00984720" w:rsidRPr="00984720" w:rsidRDefault="00984720" w:rsidP="00984720">
      <w:pPr>
        <w:pStyle w:val="ListParagraph"/>
        <w:rPr>
          <w:rFonts w:cstheme="minorHAnsi"/>
          <w:b/>
          <w:bCs/>
          <w:color w:val="000000" w:themeColor="text1"/>
        </w:rPr>
      </w:pPr>
    </w:p>
    <w:p w14:paraId="615DE999" w14:textId="787ED1A3" w:rsidR="00984720" w:rsidRPr="00376F79" w:rsidRDefault="00AE245E" w:rsidP="000C0A9B">
      <w:pPr>
        <w:pStyle w:val="Heading2"/>
      </w:pPr>
      <w:bookmarkStart w:id="9" w:name="_Toc114068789"/>
      <w:r w:rsidRPr="00376F79">
        <w:t xml:space="preserve">Persons </w:t>
      </w:r>
      <w:r w:rsidR="002D5D89" w:rsidRPr="002D5D89">
        <w:t>for whom English is not a first language</w:t>
      </w:r>
      <w:bookmarkEnd w:id="9"/>
    </w:p>
    <w:p w14:paraId="64693DCF" w14:textId="77777777" w:rsidR="00422416" w:rsidRPr="00A529CF" w:rsidRDefault="00422416" w:rsidP="00A529CF">
      <w:pPr>
        <w:rPr>
          <w:rFonts w:cstheme="minorHAnsi"/>
          <w:color w:val="000000" w:themeColor="text1"/>
        </w:rPr>
      </w:pPr>
    </w:p>
    <w:p w14:paraId="02A7734C" w14:textId="38612970" w:rsidR="00D86B80" w:rsidRPr="00E6242D" w:rsidRDefault="008107D1" w:rsidP="008107D1">
      <w:pPr>
        <w:pStyle w:val="ListParagraph"/>
        <w:numPr>
          <w:ilvl w:val="1"/>
          <w:numId w:val="27"/>
        </w:numPr>
        <w:spacing w:beforeLines="24" w:before="57" w:afterLines="24" w:after="57" w:line="360" w:lineRule="auto"/>
        <w:ind w:left="720"/>
        <w:jc w:val="both"/>
        <w:rPr>
          <w:rFonts w:cstheme="minorHAnsi"/>
        </w:rPr>
      </w:pPr>
      <w:r w:rsidRPr="00E6242D">
        <w:rPr>
          <w:rFonts w:cstheme="minorHAnsi"/>
        </w:rPr>
        <w:t xml:space="preserve">The </w:t>
      </w:r>
      <w:bookmarkStart w:id="10" w:name="_Hlk112246356"/>
      <w:r w:rsidRPr="00E6242D">
        <w:rPr>
          <w:rFonts w:cstheme="minorHAnsi"/>
        </w:rPr>
        <w:t xml:space="preserve">Department </w:t>
      </w:r>
      <w:bookmarkEnd w:id="10"/>
      <w:r w:rsidRPr="00E6242D">
        <w:rPr>
          <w:rFonts w:cstheme="minorHAnsi"/>
        </w:rPr>
        <w:t xml:space="preserve">has acknowledged that the use of live links may have a differential impact on </w:t>
      </w:r>
      <w:bookmarkStart w:id="11" w:name="_Hlk114066536"/>
      <w:r w:rsidR="002D5D89" w:rsidRPr="00E6242D">
        <w:rPr>
          <w:rFonts w:cstheme="minorHAnsi"/>
        </w:rPr>
        <w:t xml:space="preserve">persons for whom English is not a first language </w:t>
      </w:r>
      <w:bookmarkEnd w:id="11"/>
      <w:r w:rsidRPr="00E6242D">
        <w:rPr>
          <w:rFonts w:cstheme="minorHAnsi"/>
        </w:rPr>
        <w:t>or where an interpreter is required</w:t>
      </w:r>
      <w:r w:rsidR="00193110">
        <w:rPr>
          <w:rFonts w:cstheme="minorHAnsi"/>
        </w:rPr>
        <w:t>.</w:t>
      </w:r>
      <w:r w:rsidR="00464328" w:rsidRPr="00E6242D">
        <w:rPr>
          <w:rStyle w:val="FootnoteReference"/>
        </w:rPr>
        <w:footnoteReference w:id="30"/>
      </w:r>
      <w:r w:rsidR="000358E9" w:rsidRPr="00E6242D">
        <w:rPr>
          <w:rFonts w:cstheme="minorHAnsi"/>
        </w:rPr>
        <w:t xml:space="preserve"> </w:t>
      </w:r>
      <w:r w:rsidR="00193110">
        <w:rPr>
          <w:rFonts w:cstheme="minorHAnsi"/>
        </w:rPr>
        <w:t>The Department</w:t>
      </w:r>
      <w:r w:rsidR="000358E9" w:rsidRPr="00E6242D">
        <w:rPr>
          <w:rFonts w:cstheme="minorHAnsi"/>
        </w:rPr>
        <w:t xml:space="preserve"> refers to a survey conducted by the Magistrates’ Association for England and Wales which identified concerns relating to the </w:t>
      </w:r>
      <w:r w:rsidR="001C365C" w:rsidRPr="00E6242D">
        <w:rPr>
          <w:rFonts w:cstheme="minorHAnsi"/>
        </w:rPr>
        <w:t xml:space="preserve">effective participation of </w:t>
      </w:r>
      <w:bookmarkStart w:id="12" w:name="_Hlk114065730"/>
      <w:r w:rsidR="00C1606B" w:rsidRPr="00E6242D">
        <w:rPr>
          <w:rFonts w:cstheme="minorHAnsi"/>
        </w:rPr>
        <w:t>persons for whom English is a second or other language</w:t>
      </w:r>
      <w:bookmarkEnd w:id="12"/>
      <w:r w:rsidR="000358E9" w:rsidRPr="00E6242D">
        <w:rPr>
          <w:rFonts w:cstheme="minorHAnsi"/>
        </w:rPr>
        <w:t>.</w:t>
      </w:r>
      <w:r w:rsidR="000358E9" w:rsidRPr="00E6242D">
        <w:rPr>
          <w:rFonts w:cstheme="minorHAnsi"/>
          <w:vertAlign w:val="superscript"/>
        </w:rPr>
        <w:footnoteReference w:id="31"/>
      </w:r>
      <w:r w:rsidR="00464328" w:rsidRPr="00E6242D">
        <w:t xml:space="preserve"> </w:t>
      </w:r>
      <w:r w:rsidRPr="00E6242D">
        <w:rPr>
          <w:rFonts w:cstheme="minorHAnsi"/>
        </w:rPr>
        <w:t xml:space="preserve"> However, the </w:t>
      </w:r>
      <w:r w:rsidR="002A29CD" w:rsidRPr="00E6242D">
        <w:rPr>
          <w:rFonts w:cstheme="minorHAnsi"/>
        </w:rPr>
        <w:t>D</w:t>
      </w:r>
      <w:r w:rsidRPr="00E6242D">
        <w:rPr>
          <w:rFonts w:cstheme="minorHAnsi"/>
        </w:rPr>
        <w:t xml:space="preserve">epartment found in its equality screening test that any indirect impact </w:t>
      </w:r>
      <w:r w:rsidR="00F24C2E" w:rsidRPr="00E6242D">
        <w:rPr>
          <w:rFonts w:cstheme="minorHAnsi"/>
        </w:rPr>
        <w:t xml:space="preserve">on equality of opportunity </w:t>
      </w:r>
      <w:r w:rsidRPr="00E6242D">
        <w:rPr>
          <w:rFonts w:cstheme="minorHAnsi"/>
        </w:rPr>
        <w:t xml:space="preserve">is safeguarded by </w:t>
      </w:r>
      <w:r w:rsidR="00BA5AA6" w:rsidRPr="00E6242D">
        <w:rPr>
          <w:rFonts w:cstheme="minorHAnsi"/>
        </w:rPr>
        <w:t xml:space="preserve">the </w:t>
      </w:r>
      <w:r w:rsidR="00C1606B" w:rsidRPr="00E6242D">
        <w:rPr>
          <w:rFonts w:cstheme="minorHAnsi"/>
        </w:rPr>
        <w:t>‘</w:t>
      </w:r>
      <w:r w:rsidR="00BA5AA6" w:rsidRPr="00E6242D">
        <w:rPr>
          <w:rFonts w:cstheme="minorHAnsi"/>
        </w:rPr>
        <w:t>interests of justice</w:t>
      </w:r>
      <w:r w:rsidR="00C1606B" w:rsidRPr="00E6242D">
        <w:rPr>
          <w:rFonts w:cstheme="minorHAnsi"/>
        </w:rPr>
        <w:t>’</w:t>
      </w:r>
      <w:r w:rsidR="00BA5AA6" w:rsidRPr="00E6242D">
        <w:rPr>
          <w:rFonts w:cstheme="minorHAnsi"/>
        </w:rPr>
        <w:t xml:space="preserve"> test</w:t>
      </w:r>
      <w:r w:rsidRPr="00E6242D">
        <w:rPr>
          <w:rFonts w:cstheme="minorHAnsi"/>
        </w:rPr>
        <w:t>.</w:t>
      </w:r>
      <w:r w:rsidR="00E35E0D" w:rsidRPr="00E6242D">
        <w:rPr>
          <w:rStyle w:val="FootnoteReference"/>
          <w:rFonts w:cstheme="minorHAnsi"/>
        </w:rPr>
        <w:footnoteReference w:id="32"/>
      </w:r>
      <w:r w:rsidRPr="00E6242D">
        <w:rPr>
          <w:rFonts w:cstheme="minorHAnsi"/>
        </w:rPr>
        <w:t xml:space="preserve"> The </w:t>
      </w:r>
      <w:r w:rsidR="00BA5AA6" w:rsidRPr="00E6242D">
        <w:rPr>
          <w:rFonts w:cstheme="minorHAnsi"/>
        </w:rPr>
        <w:t>D</w:t>
      </w:r>
      <w:r w:rsidRPr="00E6242D">
        <w:rPr>
          <w:rFonts w:cstheme="minorHAnsi"/>
        </w:rPr>
        <w:t xml:space="preserve">epartment therefore considers that the judicial discretion available through </w:t>
      </w:r>
      <w:bookmarkStart w:id="14" w:name="_Hlk114063294"/>
      <w:r w:rsidRPr="00E6242D">
        <w:rPr>
          <w:rFonts w:cstheme="minorHAnsi"/>
        </w:rPr>
        <w:t xml:space="preserve">the </w:t>
      </w:r>
      <w:r w:rsidR="00C1606B" w:rsidRPr="00E6242D">
        <w:rPr>
          <w:rFonts w:cstheme="minorHAnsi"/>
        </w:rPr>
        <w:t>‘</w:t>
      </w:r>
      <w:r w:rsidRPr="00E6242D">
        <w:rPr>
          <w:rFonts w:cstheme="minorHAnsi"/>
        </w:rPr>
        <w:t>interests of justice</w:t>
      </w:r>
      <w:r w:rsidR="00C1606B" w:rsidRPr="00E6242D">
        <w:rPr>
          <w:rFonts w:cstheme="minorHAnsi"/>
        </w:rPr>
        <w:t>’</w:t>
      </w:r>
      <w:r w:rsidRPr="00E6242D">
        <w:rPr>
          <w:rFonts w:cstheme="minorHAnsi"/>
        </w:rPr>
        <w:t xml:space="preserve"> test </w:t>
      </w:r>
      <w:bookmarkEnd w:id="14"/>
      <w:r w:rsidRPr="00E6242D">
        <w:rPr>
          <w:rFonts w:cstheme="minorHAnsi"/>
        </w:rPr>
        <w:t xml:space="preserve">will prevent any possibility of differential treatment </w:t>
      </w:r>
      <w:r w:rsidR="002555FA">
        <w:rPr>
          <w:rFonts w:cstheme="minorHAnsi"/>
        </w:rPr>
        <w:t>of</w:t>
      </w:r>
      <w:r w:rsidR="002555FA" w:rsidRPr="00E6242D">
        <w:rPr>
          <w:rFonts w:cstheme="minorHAnsi"/>
        </w:rPr>
        <w:t xml:space="preserve"> </w:t>
      </w:r>
      <w:r w:rsidR="00F24C2E" w:rsidRPr="00E6242D">
        <w:rPr>
          <w:rFonts w:cstheme="minorHAnsi"/>
        </w:rPr>
        <w:t>persons for whom English is not a first language</w:t>
      </w:r>
      <w:r w:rsidRPr="00E6242D">
        <w:rPr>
          <w:rFonts w:cstheme="minorHAnsi"/>
        </w:rPr>
        <w:t xml:space="preserve">. </w:t>
      </w:r>
      <w:bookmarkStart w:id="15" w:name="_Hlk112246985"/>
      <w:r w:rsidRPr="00E6242D">
        <w:rPr>
          <w:rFonts w:cstheme="minorHAnsi"/>
        </w:rPr>
        <w:t xml:space="preserve">As noted above, </w:t>
      </w:r>
      <w:bookmarkEnd w:id="15"/>
      <w:r w:rsidRPr="00E6242D">
        <w:rPr>
          <w:rFonts w:cstheme="minorHAnsi"/>
        </w:rPr>
        <w:t>the Department has not conducted a full equality impact assessment.</w:t>
      </w:r>
      <w:r w:rsidR="00F24C2E" w:rsidRPr="00E6242D">
        <w:rPr>
          <w:rStyle w:val="FootnoteReference"/>
          <w:rFonts w:cstheme="minorHAnsi"/>
        </w:rPr>
        <w:footnoteReference w:id="33"/>
      </w:r>
    </w:p>
    <w:p w14:paraId="38CE433B" w14:textId="77777777" w:rsidR="00D86B80" w:rsidRPr="00E6242D" w:rsidRDefault="00D86B80" w:rsidP="00D86B80">
      <w:pPr>
        <w:pStyle w:val="ListParagraph"/>
        <w:spacing w:beforeLines="24" w:before="57" w:afterLines="24" w:after="57" w:line="360" w:lineRule="auto"/>
        <w:jc w:val="both"/>
        <w:rPr>
          <w:rFonts w:cstheme="minorHAnsi"/>
        </w:rPr>
      </w:pPr>
    </w:p>
    <w:p w14:paraId="406D0598" w14:textId="77777777" w:rsidR="00BC2459" w:rsidRDefault="00BC2459" w:rsidP="00BC2459">
      <w:pPr>
        <w:spacing w:beforeLines="24" w:before="57" w:afterLines="24" w:after="57" w:line="360" w:lineRule="auto"/>
        <w:jc w:val="both"/>
      </w:pPr>
    </w:p>
    <w:p w14:paraId="7B19C9EA" w14:textId="5E6739B4" w:rsidR="00C01B71" w:rsidRPr="003701FB" w:rsidRDefault="00C01B71" w:rsidP="00C01B71">
      <w:pPr>
        <w:pStyle w:val="ListParagraph"/>
        <w:numPr>
          <w:ilvl w:val="1"/>
          <w:numId w:val="27"/>
        </w:numPr>
        <w:spacing w:before="24" w:afterLines="24" w:after="57" w:line="360" w:lineRule="auto"/>
        <w:ind w:left="720"/>
        <w:jc w:val="both"/>
        <w:rPr>
          <w:color w:val="000000" w:themeColor="text1"/>
        </w:rPr>
      </w:pPr>
      <w:r w:rsidRPr="00430770">
        <w:rPr>
          <w:b/>
          <w:bCs/>
        </w:rPr>
        <w:t xml:space="preserve">The </w:t>
      </w:r>
      <w:r>
        <w:rPr>
          <w:b/>
          <w:bCs/>
        </w:rPr>
        <w:t>NIHRC</w:t>
      </w:r>
      <w:r w:rsidRPr="00430770">
        <w:rPr>
          <w:b/>
          <w:bCs/>
        </w:rPr>
        <w:t xml:space="preserve"> recommends that the Department </w:t>
      </w:r>
      <w:r w:rsidR="006902A7">
        <w:rPr>
          <w:b/>
        </w:rPr>
        <w:t>conducts</w:t>
      </w:r>
      <w:r w:rsidR="006902A7" w:rsidRPr="00D86B80">
        <w:rPr>
          <w:b/>
        </w:rPr>
        <w:t xml:space="preserve"> or commission</w:t>
      </w:r>
      <w:r w:rsidR="006902A7">
        <w:rPr>
          <w:b/>
        </w:rPr>
        <w:t>s</w:t>
      </w:r>
      <w:r w:rsidRPr="00430770">
        <w:rPr>
          <w:b/>
          <w:bCs/>
        </w:rPr>
        <w:t xml:space="preserve"> research to determine if the use of live links has had adverse consequences on the ability </w:t>
      </w:r>
      <w:r>
        <w:rPr>
          <w:b/>
          <w:bCs/>
        </w:rPr>
        <w:t xml:space="preserve">of </w:t>
      </w:r>
      <w:r w:rsidRPr="00430770">
        <w:rPr>
          <w:b/>
          <w:bCs/>
        </w:rPr>
        <w:t xml:space="preserve">court users </w:t>
      </w:r>
      <w:r w:rsidR="0084226C" w:rsidRPr="0084226C">
        <w:rPr>
          <w:b/>
          <w:bCs/>
        </w:rPr>
        <w:t xml:space="preserve">for whom English is </w:t>
      </w:r>
      <w:r w:rsidR="00F81EAA">
        <w:rPr>
          <w:b/>
          <w:bCs/>
        </w:rPr>
        <w:t>not a first language</w:t>
      </w:r>
      <w:r w:rsidR="0084226C" w:rsidRPr="0084226C">
        <w:rPr>
          <w:b/>
          <w:bCs/>
        </w:rPr>
        <w:t xml:space="preserve"> </w:t>
      </w:r>
      <w:r w:rsidRPr="00430770">
        <w:rPr>
          <w:b/>
          <w:bCs/>
        </w:rPr>
        <w:t>to partic</w:t>
      </w:r>
      <w:r>
        <w:rPr>
          <w:b/>
          <w:bCs/>
        </w:rPr>
        <w:t>ip</w:t>
      </w:r>
      <w:r w:rsidRPr="00430770">
        <w:rPr>
          <w:b/>
          <w:bCs/>
        </w:rPr>
        <w:t xml:space="preserve">ate in and understand the proceedings. This research should specifically examine whether there has been any hindrance to court users without English as a first language </w:t>
      </w:r>
      <w:r w:rsidRPr="003701FB">
        <w:rPr>
          <w:b/>
          <w:bCs/>
          <w:color w:val="000000" w:themeColor="text1"/>
        </w:rPr>
        <w:t xml:space="preserve">consulting with their legal representatives. </w:t>
      </w:r>
    </w:p>
    <w:p w14:paraId="3B5A71BA" w14:textId="77777777" w:rsidR="00C01B71" w:rsidRDefault="00C01B71" w:rsidP="00C01B71">
      <w:pPr>
        <w:pStyle w:val="ListParagraph"/>
        <w:spacing w:beforeLines="24" w:before="57" w:afterLines="24" w:after="57" w:line="360" w:lineRule="auto"/>
        <w:jc w:val="both"/>
        <w:rPr>
          <w:rFonts w:cstheme="minorHAnsi"/>
          <w:color w:val="000000" w:themeColor="text1"/>
        </w:rPr>
      </w:pPr>
    </w:p>
    <w:p w14:paraId="7CC6FF4D" w14:textId="695BC542" w:rsidR="00F56E94" w:rsidRPr="003701FB" w:rsidRDefault="00297172" w:rsidP="00F56E94">
      <w:pPr>
        <w:pStyle w:val="ListParagraph"/>
        <w:numPr>
          <w:ilvl w:val="1"/>
          <w:numId w:val="27"/>
        </w:numPr>
        <w:spacing w:beforeLines="24" w:before="57" w:afterLines="24" w:after="57" w:line="360" w:lineRule="auto"/>
        <w:ind w:left="720"/>
        <w:jc w:val="both"/>
        <w:rPr>
          <w:rFonts w:cstheme="minorHAnsi"/>
          <w:color w:val="000000" w:themeColor="text1"/>
        </w:rPr>
      </w:pPr>
      <w:r w:rsidRPr="002922ED">
        <w:rPr>
          <w:rFonts w:cstheme="minorHAnsi"/>
          <w:color w:val="000000" w:themeColor="text1"/>
        </w:rPr>
        <w:t xml:space="preserve">Article 7 of the </w:t>
      </w:r>
      <w:r w:rsidR="00921945" w:rsidRPr="002922ED">
        <w:rPr>
          <w:rFonts w:cstheme="minorHAnsi"/>
          <w:color w:val="000000" w:themeColor="text1"/>
        </w:rPr>
        <w:t>EU Victims</w:t>
      </w:r>
      <w:r w:rsidR="003A2507" w:rsidRPr="002922ED">
        <w:rPr>
          <w:rFonts w:cstheme="minorHAnsi"/>
          <w:color w:val="000000" w:themeColor="text1"/>
        </w:rPr>
        <w:t>’</w:t>
      </w:r>
      <w:r w:rsidR="00921945" w:rsidRPr="002922ED">
        <w:rPr>
          <w:rFonts w:cstheme="minorHAnsi"/>
          <w:color w:val="000000" w:themeColor="text1"/>
        </w:rPr>
        <w:t xml:space="preserve"> Directive provides for the right to interpretation and translation for victims “who do not understand or speak the language of the criminal proceedings concerned”.</w:t>
      </w:r>
      <w:r w:rsidR="00921945" w:rsidRPr="003701FB">
        <w:rPr>
          <w:rStyle w:val="FootnoteReference"/>
          <w:rFonts w:cstheme="minorHAnsi"/>
          <w:color w:val="000000" w:themeColor="text1"/>
        </w:rPr>
        <w:footnoteReference w:id="34"/>
      </w:r>
      <w:r w:rsidR="00921945" w:rsidRPr="002922ED">
        <w:rPr>
          <w:rFonts w:cstheme="minorHAnsi"/>
          <w:color w:val="000000" w:themeColor="text1"/>
        </w:rPr>
        <w:t xml:space="preserve"> Reflecting concerns about the limitations presented by videoconference technology in some circumstances, the EU Victims</w:t>
      </w:r>
      <w:r w:rsidR="003A2507" w:rsidRPr="002922ED">
        <w:rPr>
          <w:rFonts w:cstheme="minorHAnsi"/>
          <w:color w:val="000000" w:themeColor="text1"/>
        </w:rPr>
        <w:t>’</w:t>
      </w:r>
      <w:r w:rsidR="00921945" w:rsidRPr="002922ED">
        <w:rPr>
          <w:rFonts w:cstheme="minorHAnsi"/>
          <w:color w:val="000000" w:themeColor="text1"/>
        </w:rPr>
        <w:t xml:space="preserve"> Directive states that “videoconferencing, telephone or internet may be used, unless the physical presence of the interpreter is required in order for the victims to properly exercise their rights or to understand the proceedings”.</w:t>
      </w:r>
      <w:r w:rsidR="00921945" w:rsidRPr="003701FB">
        <w:rPr>
          <w:rStyle w:val="FootnoteReference"/>
          <w:rFonts w:cstheme="minorHAnsi"/>
          <w:color w:val="000000" w:themeColor="text1"/>
        </w:rPr>
        <w:footnoteReference w:id="35"/>
      </w:r>
      <w:r w:rsidR="00921945" w:rsidRPr="002922ED">
        <w:rPr>
          <w:rFonts w:cstheme="minorHAnsi"/>
          <w:color w:val="000000" w:themeColor="text1"/>
        </w:rPr>
        <w:t xml:space="preserve"> </w:t>
      </w:r>
      <w:r w:rsidR="008C7827" w:rsidRPr="002922ED">
        <w:rPr>
          <w:rFonts w:cstheme="minorHAnsi"/>
          <w:color w:val="000000" w:themeColor="text1"/>
        </w:rPr>
        <w:t xml:space="preserve">In light of the possible barriers to active participation of people for whom English is not their first language, </w:t>
      </w:r>
      <w:r w:rsidR="002E0843" w:rsidRPr="002922ED">
        <w:rPr>
          <w:rFonts w:cstheme="minorHAnsi"/>
          <w:color w:val="000000" w:themeColor="text1"/>
        </w:rPr>
        <w:t>t</w:t>
      </w:r>
      <w:r w:rsidR="00527929" w:rsidRPr="002922ED">
        <w:rPr>
          <w:rFonts w:cstheme="minorHAnsi"/>
          <w:color w:val="000000" w:themeColor="text1"/>
        </w:rPr>
        <w:t xml:space="preserve">he Department should </w:t>
      </w:r>
      <w:r w:rsidR="00921945" w:rsidRPr="002922ED">
        <w:rPr>
          <w:rFonts w:cstheme="minorHAnsi"/>
          <w:color w:val="000000" w:themeColor="text1"/>
        </w:rPr>
        <w:t xml:space="preserve">ensure </w:t>
      </w:r>
      <w:r w:rsidR="00A529CF" w:rsidRPr="002922ED">
        <w:rPr>
          <w:rFonts w:cstheme="minorHAnsi"/>
          <w:color w:val="000000" w:themeColor="text1"/>
        </w:rPr>
        <w:t>there is</w:t>
      </w:r>
      <w:r w:rsidR="008B5169" w:rsidRPr="002922ED">
        <w:rPr>
          <w:rFonts w:cstheme="minorHAnsi"/>
          <w:color w:val="000000" w:themeColor="text1"/>
        </w:rPr>
        <w:t xml:space="preserve"> </w:t>
      </w:r>
      <w:r w:rsidRPr="002922ED">
        <w:rPr>
          <w:rFonts w:cstheme="minorHAnsi"/>
          <w:color w:val="000000" w:themeColor="text1"/>
        </w:rPr>
        <w:t xml:space="preserve">mechanism for assessing the suitability of live links technology for a victim who does not understand or speak English to ensure they can properly exercise their rights and understand the proceedings. </w:t>
      </w:r>
    </w:p>
    <w:p w14:paraId="41C6F4D5" w14:textId="77777777" w:rsidR="00527929" w:rsidRPr="00F56E94" w:rsidRDefault="00527929" w:rsidP="00F56E94">
      <w:pPr>
        <w:pStyle w:val="ListParagraph"/>
        <w:spacing w:beforeLines="24" w:before="57" w:afterLines="24" w:after="57" w:line="360" w:lineRule="auto"/>
        <w:jc w:val="both"/>
        <w:rPr>
          <w:rFonts w:cstheme="minorHAnsi"/>
          <w:color w:val="000000" w:themeColor="text1"/>
        </w:rPr>
      </w:pPr>
    </w:p>
    <w:p w14:paraId="5EF381DD" w14:textId="53DDEF3D" w:rsidR="00282953" w:rsidRPr="003701FB" w:rsidRDefault="00527929" w:rsidP="00190D04">
      <w:pPr>
        <w:pStyle w:val="ListParagraph"/>
        <w:numPr>
          <w:ilvl w:val="1"/>
          <w:numId w:val="27"/>
        </w:numPr>
        <w:spacing w:beforeLines="24" w:before="57" w:afterLines="24" w:after="57" w:line="360" w:lineRule="auto"/>
        <w:ind w:left="720"/>
        <w:jc w:val="both"/>
        <w:rPr>
          <w:rFonts w:cstheme="minorHAnsi"/>
          <w:color w:val="000000" w:themeColor="text1"/>
        </w:rPr>
      </w:pPr>
      <w:r w:rsidRPr="003701FB">
        <w:rPr>
          <w:rFonts w:cstheme="minorHAnsi"/>
          <w:color w:val="000000" w:themeColor="text1"/>
        </w:rPr>
        <w:t>Article 2 of the</w:t>
      </w:r>
      <w:r w:rsidRPr="003701FB">
        <w:rPr>
          <w:color w:val="000000" w:themeColor="text1"/>
        </w:rPr>
        <w:t xml:space="preserve"> </w:t>
      </w:r>
      <w:r w:rsidRPr="003701FB">
        <w:rPr>
          <w:rFonts w:cstheme="minorHAnsi"/>
          <w:color w:val="000000" w:themeColor="text1"/>
        </w:rPr>
        <w:t>EU Directive on Interpretation and Translation in Criminal Proceedings makes specific provision for the right to interpretation.</w:t>
      </w:r>
      <w:r w:rsidRPr="003701FB">
        <w:rPr>
          <w:rStyle w:val="FootnoteReference"/>
          <w:rFonts w:cstheme="minorHAnsi"/>
          <w:color w:val="000000" w:themeColor="text1"/>
        </w:rPr>
        <w:footnoteReference w:id="36"/>
      </w:r>
      <w:r w:rsidRPr="003701FB">
        <w:rPr>
          <w:rFonts w:cstheme="minorHAnsi"/>
          <w:color w:val="000000" w:themeColor="text1"/>
        </w:rPr>
        <w:t xml:space="preserve"> Underlining the </w:t>
      </w:r>
      <w:r w:rsidR="00A43A77" w:rsidRPr="003701FB">
        <w:rPr>
          <w:rFonts w:cstheme="minorHAnsi"/>
          <w:color w:val="000000" w:themeColor="text1"/>
        </w:rPr>
        <w:t xml:space="preserve">risk of </w:t>
      </w:r>
      <w:r w:rsidR="00085409">
        <w:rPr>
          <w:rFonts w:cstheme="minorHAnsi"/>
          <w:color w:val="000000" w:themeColor="text1"/>
        </w:rPr>
        <w:t xml:space="preserve">the </w:t>
      </w:r>
      <w:r w:rsidRPr="003701FB">
        <w:rPr>
          <w:rFonts w:cstheme="minorHAnsi"/>
          <w:color w:val="000000" w:themeColor="text1"/>
        </w:rPr>
        <w:t xml:space="preserve">possible negative impact of </w:t>
      </w:r>
      <w:r w:rsidR="0033654B">
        <w:rPr>
          <w:rFonts w:cstheme="minorHAnsi"/>
          <w:color w:val="000000" w:themeColor="text1"/>
        </w:rPr>
        <w:t>l</w:t>
      </w:r>
      <w:r w:rsidRPr="003701FB">
        <w:rPr>
          <w:rFonts w:cstheme="minorHAnsi"/>
          <w:color w:val="000000" w:themeColor="text1"/>
        </w:rPr>
        <w:t xml:space="preserve">ive </w:t>
      </w:r>
      <w:r w:rsidR="0033654B">
        <w:rPr>
          <w:rFonts w:cstheme="minorHAnsi"/>
          <w:color w:val="000000" w:themeColor="text1"/>
        </w:rPr>
        <w:t>l</w:t>
      </w:r>
      <w:r w:rsidRPr="003701FB">
        <w:rPr>
          <w:rFonts w:cstheme="minorHAnsi"/>
          <w:color w:val="000000" w:themeColor="text1"/>
        </w:rPr>
        <w:t xml:space="preserve">inks for people </w:t>
      </w:r>
      <w:bookmarkStart w:id="17" w:name="_Hlk114065894"/>
      <w:r w:rsidRPr="003701FB">
        <w:rPr>
          <w:rFonts w:cstheme="minorHAnsi"/>
          <w:color w:val="000000" w:themeColor="text1"/>
        </w:rPr>
        <w:t>for whom English is not a first language</w:t>
      </w:r>
      <w:bookmarkEnd w:id="17"/>
      <w:r w:rsidRPr="003701FB">
        <w:rPr>
          <w:rFonts w:cstheme="minorHAnsi"/>
          <w:color w:val="000000" w:themeColor="text1"/>
        </w:rPr>
        <w:t xml:space="preserve">, Article 2(6) </w:t>
      </w:r>
      <w:r w:rsidR="002922ED">
        <w:rPr>
          <w:rFonts w:cstheme="minorHAnsi"/>
          <w:color w:val="000000" w:themeColor="text1"/>
        </w:rPr>
        <w:t xml:space="preserve">of the Directive </w:t>
      </w:r>
      <w:r w:rsidRPr="003701FB">
        <w:rPr>
          <w:rFonts w:cstheme="minorHAnsi"/>
          <w:color w:val="000000" w:themeColor="text1"/>
        </w:rPr>
        <w:t xml:space="preserve">states </w:t>
      </w:r>
      <w:r w:rsidRPr="003701FB">
        <w:rPr>
          <w:rFonts w:cstheme="minorHAnsi"/>
          <w:color w:val="000000" w:themeColor="text1"/>
        </w:rPr>
        <w:lastRenderedPageBreak/>
        <w:t>that communication technology may be used, “unless the physical presence of the interpreter is required in order to safeguard the fairness of the proceedings”.</w:t>
      </w:r>
      <w:r w:rsidR="007E7651" w:rsidRPr="003701FB">
        <w:rPr>
          <w:rStyle w:val="FootnoteReference"/>
          <w:rFonts w:cstheme="minorHAnsi"/>
          <w:color w:val="000000" w:themeColor="text1"/>
        </w:rPr>
        <w:footnoteReference w:id="37"/>
      </w:r>
      <w:r w:rsidR="00190D04" w:rsidRPr="003701FB">
        <w:rPr>
          <w:rFonts w:cstheme="minorHAnsi"/>
          <w:color w:val="000000" w:themeColor="text1"/>
        </w:rPr>
        <w:t xml:space="preserve"> </w:t>
      </w:r>
      <w:r w:rsidR="00542331" w:rsidRPr="003701FB">
        <w:rPr>
          <w:rFonts w:cstheme="minorHAnsi"/>
          <w:color w:val="000000" w:themeColor="text1"/>
        </w:rPr>
        <w:t>The Directive also emphasises that interpretation should be of sufficient quality to safeguard fairness in the proceedings and that it take</w:t>
      </w:r>
      <w:r w:rsidR="00406E4E">
        <w:rPr>
          <w:rFonts w:cstheme="minorHAnsi"/>
          <w:color w:val="000000" w:themeColor="text1"/>
        </w:rPr>
        <w:t>s</w:t>
      </w:r>
      <w:r w:rsidR="00542331" w:rsidRPr="003701FB">
        <w:rPr>
          <w:rFonts w:cstheme="minorHAnsi"/>
          <w:color w:val="000000" w:themeColor="text1"/>
        </w:rPr>
        <w:t xml:space="preserve"> account of any potential vulnerability that affects their ability to follow proceedings and make themselves understood.</w:t>
      </w:r>
      <w:r w:rsidR="00542331" w:rsidRPr="003701FB">
        <w:rPr>
          <w:rStyle w:val="FootnoteReference"/>
          <w:rFonts w:cstheme="minorHAnsi"/>
          <w:color w:val="000000" w:themeColor="text1"/>
        </w:rPr>
        <w:footnoteReference w:id="38"/>
      </w:r>
      <w:r w:rsidR="00542331" w:rsidRPr="003701FB">
        <w:rPr>
          <w:rFonts w:cstheme="minorHAnsi"/>
          <w:color w:val="000000" w:themeColor="text1"/>
        </w:rPr>
        <w:t xml:space="preserve"> Moreover the Directive </w:t>
      </w:r>
      <w:r w:rsidR="00E870DA" w:rsidRPr="003701FB">
        <w:rPr>
          <w:rFonts w:cstheme="minorHAnsi"/>
          <w:color w:val="000000" w:themeColor="text1"/>
        </w:rPr>
        <w:t xml:space="preserve">clarifies </w:t>
      </w:r>
      <w:r w:rsidR="00A85F9D" w:rsidRPr="003701FB">
        <w:rPr>
          <w:rFonts w:cstheme="minorHAnsi"/>
          <w:color w:val="000000" w:themeColor="text1"/>
        </w:rPr>
        <w:t>that</w:t>
      </w:r>
      <w:r w:rsidR="00542331" w:rsidRPr="003701FB">
        <w:rPr>
          <w:rFonts w:cstheme="minorHAnsi"/>
          <w:color w:val="000000" w:themeColor="text1"/>
        </w:rPr>
        <w:t xml:space="preserve"> </w:t>
      </w:r>
      <w:r w:rsidR="00E870DA" w:rsidRPr="003701FB">
        <w:rPr>
          <w:rFonts w:cstheme="minorHAnsi"/>
          <w:color w:val="000000" w:themeColor="text1"/>
        </w:rPr>
        <w:t xml:space="preserve">the protections it sets out </w:t>
      </w:r>
      <w:r w:rsidR="00542331" w:rsidRPr="003701FB">
        <w:rPr>
          <w:rFonts w:cstheme="minorHAnsi"/>
          <w:color w:val="000000" w:themeColor="text1"/>
        </w:rPr>
        <w:t>should never fall below the</w:t>
      </w:r>
      <w:r w:rsidR="004A6B67" w:rsidRPr="003701FB">
        <w:rPr>
          <w:rFonts w:cstheme="minorHAnsi"/>
          <w:color w:val="000000" w:themeColor="text1"/>
        </w:rPr>
        <w:t xml:space="preserve"> minimum standards as provided by the ECHR </w:t>
      </w:r>
      <w:r w:rsidR="00A85F9D" w:rsidRPr="003701FB">
        <w:rPr>
          <w:rFonts w:cstheme="minorHAnsi"/>
          <w:color w:val="000000" w:themeColor="text1"/>
        </w:rPr>
        <w:t xml:space="preserve">and interpreted by the ECtHR </w:t>
      </w:r>
      <w:r w:rsidR="004A6B67" w:rsidRPr="003701FB">
        <w:rPr>
          <w:rFonts w:cstheme="minorHAnsi"/>
          <w:color w:val="000000" w:themeColor="text1"/>
        </w:rPr>
        <w:t xml:space="preserve">and the EU Charter of Fundamental Rights as interpreted </w:t>
      </w:r>
      <w:r w:rsidR="00A85F9D" w:rsidRPr="003701FB">
        <w:rPr>
          <w:rFonts w:cstheme="minorHAnsi"/>
          <w:color w:val="000000" w:themeColor="text1"/>
        </w:rPr>
        <w:t>by the C</w:t>
      </w:r>
      <w:r w:rsidR="000430B2">
        <w:rPr>
          <w:rFonts w:cstheme="minorHAnsi"/>
          <w:color w:val="000000" w:themeColor="text1"/>
        </w:rPr>
        <w:t xml:space="preserve">ourt of </w:t>
      </w:r>
      <w:r w:rsidR="00A85F9D" w:rsidRPr="003701FB">
        <w:rPr>
          <w:rFonts w:cstheme="minorHAnsi"/>
          <w:color w:val="000000" w:themeColor="text1"/>
        </w:rPr>
        <w:t>J</w:t>
      </w:r>
      <w:r w:rsidR="000430B2">
        <w:rPr>
          <w:rFonts w:cstheme="minorHAnsi"/>
          <w:color w:val="000000" w:themeColor="text1"/>
        </w:rPr>
        <w:t xml:space="preserve">ustice of the </w:t>
      </w:r>
      <w:r w:rsidR="00A85F9D" w:rsidRPr="003701FB">
        <w:rPr>
          <w:rFonts w:cstheme="minorHAnsi"/>
          <w:color w:val="000000" w:themeColor="text1"/>
        </w:rPr>
        <w:t>EU.</w:t>
      </w:r>
      <w:r w:rsidR="00E870DA" w:rsidRPr="003701FB">
        <w:rPr>
          <w:rStyle w:val="FootnoteReference"/>
          <w:rFonts w:cstheme="minorHAnsi"/>
          <w:color w:val="000000" w:themeColor="text1"/>
        </w:rPr>
        <w:footnoteReference w:id="39"/>
      </w:r>
      <w:r w:rsidR="00E870DA" w:rsidRPr="003701FB">
        <w:rPr>
          <w:rFonts w:cstheme="minorHAnsi"/>
          <w:color w:val="000000" w:themeColor="text1"/>
        </w:rPr>
        <w:t xml:space="preserve"> </w:t>
      </w:r>
    </w:p>
    <w:p w14:paraId="01801D2A" w14:textId="77777777" w:rsidR="00527929" w:rsidRPr="003701FB" w:rsidRDefault="00527929" w:rsidP="00527929">
      <w:pPr>
        <w:pStyle w:val="ListParagraph"/>
        <w:ind w:hanging="720"/>
        <w:rPr>
          <w:rFonts w:cstheme="minorHAnsi"/>
          <w:color w:val="000000" w:themeColor="text1"/>
        </w:rPr>
      </w:pPr>
    </w:p>
    <w:p w14:paraId="2AEB80D7" w14:textId="7A16E395" w:rsidR="00527929" w:rsidRPr="003701FB" w:rsidRDefault="00527929" w:rsidP="00527929">
      <w:pPr>
        <w:pStyle w:val="ListParagraph"/>
        <w:numPr>
          <w:ilvl w:val="1"/>
          <w:numId w:val="27"/>
        </w:numPr>
        <w:spacing w:beforeLines="24" w:before="57" w:afterLines="24" w:after="57" w:line="360" w:lineRule="auto"/>
        <w:ind w:left="720"/>
        <w:jc w:val="both"/>
        <w:rPr>
          <w:rFonts w:cstheme="minorHAnsi"/>
          <w:b/>
          <w:bCs/>
          <w:color w:val="000000" w:themeColor="text1"/>
        </w:rPr>
      </w:pPr>
      <w:r w:rsidRPr="003701FB">
        <w:rPr>
          <w:rFonts w:cstheme="minorHAnsi"/>
          <w:b/>
          <w:bCs/>
          <w:color w:val="000000" w:themeColor="text1"/>
        </w:rPr>
        <w:t xml:space="preserve">The NIHRC </w:t>
      </w:r>
      <w:r w:rsidR="00F663D0">
        <w:rPr>
          <w:rFonts w:cstheme="minorHAnsi"/>
          <w:b/>
          <w:bCs/>
          <w:color w:val="000000" w:themeColor="text1"/>
        </w:rPr>
        <w:t>recommends that the Department carefully considers</w:t>
      </w:r>
      <w:r w:rsidRPr="003701FB">
        <w:rPr>
          <w:rFonts w:cstheme="minorHAnsi"/>
          <w:b/>
          <w:bCs/>
          <w:color w:val="000000" w:themeColor="text1"/>
        </w:rPr>
        <w:t xml:space="preserve"> the provisions of the EU Victims</w:t>
      </w:r>
      <w:r w:rsidR="00FF4B6E">
        <w:rPr>
          <w:rFonts w:cstheme="minorHAnsi"/>
          <w:b/>
          <w:bCs/>
          <w:color w:val="000000" w:themeColor="text1"/>
        </w:rPr>
        <w:t>’</w:t>
      </w:r>
      <w:r w:rsidRPr="003701FB">
        <w:rPr>
          <w:rFonts w:cstheme="minorHAnsi"/>
          <w:b/>
          <w:bCs/>
          <w:color w:val="000000" w:themeColor="text1"/>
        </w:rPr>
        <w:t xml:space="preserve"> Directive and the EU Directive on Interpretation and Translation in Criminal Proceedings</w:t>
      </w:r>
      <w:r w:rsidR="00697BE9" w:rsidRPr="003701FB">
        <w:rPr>
          <w:rFonts w:cstheme="minorHAnsi"/>
          <w:b/>
          <w:bCs/>
          <w:color w:val="000000" w:themeColor="text1"/>
        </w:rPr>
        <w:t xml:space="preserve"> </w:t>
      </w:r>
      <w:r w:rsidR="00FF6DBC" w:rsidRPr="003701FB">
        <w:rPr>
          <w:b/>
          <w:bCs/>
          <w:color w:val="000000" w:themeColor="text1"/>
        </w:rPr>
        <w:t xml:space="preserve">in relation </w:t>
      </w:r>
      <w:r w:rsidR="007C6F72" w:rsidRPr="003701FB">
        <w:rPr>
          <w:b/>
          <w:bCs/>
          <w:color w:val="000000" w:themeColor="text1"/>
        </w:rPr>
        <w:t>to vulnerable</w:t>
      </w:r>
      <w:r w:rsidR="00FF6DBC" w:rsidRPr="003701FB">
        <w:rPr>
          <w:b/>
          <w:bCs/>
          <w:color w:val="000000" w:themeColor="text1"/>
        </w:rPr>
        <w:t xml:space="preserve"> court users, particularly those </w:t>
      </w:r>
      <w:r w:rsidR="002D5D89">
        <w:rPr>
          <w:b/>
          <w:bCs/>
          <w:color w:val="000000" w:themeColor="text1"/>
        </w:rPr>
        <w:t>for whom</w:t>
      </w:r>
      <w:r w:rsidR="00FF6DBC" w:rsidRPr="003701FB">
        <w:rPr>
          <w:b/>
          <w:bCs/>
          <w:color w:val="000000" w:themeColor="text1"/>
        </w:rPr>
        <w:t xml:space="preserve"> English </w:t>
      </w:r>
      <w:r w:rsidR="002D5D89">
        <w:rPr>
          <w:b/>
          <w:bCs/>
          <w:color w:val="000000" w:themeColor="text1"/>
        </w:rPr>
        <w:t>is not</w:t>
      </w:r>
      <w:r w:rsidR="00FF6DBC" w:rsidRPr="003701FB">
        <w:rPr>
          <w:b/>
          <w:bCs/>
          <w:color w:val="000000" w:themeColor="text1"/>
        </w:rPr>
        <w:t xml:space="preserve"> a first language, </w:t>
      </w:r>
      <w:r w:rsidRPr="003701FB">
        <w:rPr>
          <w:rFonts w:cstheme="minorHAnsi"/>
          <w:b/>
          <w:bCs/>
          <w:color w:val="000000" w:themeColor="text1"/>
        </w:rPr>
        <w:t>in the development of live links legislation and policy.</w:t>
      </w:r>
    </w:p>
    <w:p w14:paraId="3BEDE90B" w14:textId="77777777" w:rsidR="00527929" w:rsidRPr="00C57940" w:rsidRDefault="00527929" w:rsidP="00C57940">
      <w:pPr>
        <w:rPr>
          <w:rFonts w:cstheme="minorHAnsi"/>
          <w:color w:val="FF0000"/>
        </w:rPr>
      </w:pPr>
    </w:p>
    <w:p w14:paraId="7D17BC03" w14:textId="6666E5D2" w:rsidR="00DF411C" w:rsidRDefault="00E60039" w:rsidP="004417B4">
      <w:pPr>
        <w:pStyle w:val="ListParagraph"/>
        <w:numPr>
          <w:ilvl w:val="1"/>
          <w:numId w:val="27"/>
        </w:numPr>
        <w:spacing w:before="24" w:afterLines="24" w:after="57" w:line="360" w:lineRule="auto"/>
        <w:ind w:left="720"/>
        <w:jc w:val="both"/>
      </w:pPr>
      <w:r>
        <w:t xml:space="preserve">The Department </w:t>
      </w:r>
      <w:r w:rsidR="00C022D8">
        <w:t>suggests</w:t>
      </w:r>
      <w:r w:rsidR="00DF411C">
        <w:t xml:space="preserve"> that before applying the ‘interests of justice’ test a court</w:t>
      </w:r>
      <w:r w:rsidR="00DD17A3">
        <w:t xml:space="preserve"> or Tribunal</w:t>
      </w:r>
      <w:r w:rsidR="00DF411C">
        <w:t xml:space="preserve"> </w:t>
      </w:r>
      <w:r w:rsidR="00C022D8">
        <w:t>will</w:t>
      </w:r>
      <w:r w:rsidR="00DF411C">
        <w:t xml:space="preserve"> be informed of the circumstances of individual</w:t>
      </w:r>
      <w:r w:rsidR="005A621B">
        <w:t xml:space="preserve"> court user</w:t>
      </w:r>
      <w:r w:rsidR="0023451A">
        <w:t>s</w:t>
      </w:r>
      <w:r w:rsidR="00DF411C">
        <w:t xml:space="preserve"> due to the completion of </w:t>
      </w:r>
      <w:r w:rsidR="00A63EAF">
        <w:t xml:space="preserve">a </w:t>
      </w:r>
      <w:r w:rsidR="00ED6F53">
        <w:t>“</w:t>
      </w:r>
      <w:r w:rsidR="00DF411C">
        <w:t>‘requisite form identified in the relevant practice direction</w:t>
      </w:r>
      <w:r w:rsidR="00ED6F53">
        <w:t>”</w:t>
      </w:r>
      <w:r w:rsidR="00DF411C">
        <w:t>.</w:t>
      </w:r>
      <w:r w:rsidR="00DD17A3">
        <w:rPr>
          <w:rStyle w:val="FootnoteReference"/>
        </w:rPr>
        <w:footnoteReference w:id="40"/>
      </w:r>
      <w:r w:rsidR="00DF411C">
        <w:t xml:space="preserve"> </w:t>
      </w:r>
      <w:r>
        <w:t xml:space="preserve">A report for HM Courts Service in England &amp; Wales highlighted the importance of </w:t>
      </w:r>
      <w:r w:rsidR="00397023">
        <w:t>courts being made aware of the circumstances of court users before determining the suitability of a remote hearing.</w:t>
      </w:r>
      <w:r w:rsidR="00397023">
        <w:rPr>
          <w:rStyle w:val="FootnoteReference"/>
        </w:rPr>
        <w:footnoteReference w:id="41"/>
      </w:r>
      <w:r w:rsidR="005A621B">
        <w:t xml:space="preserve"> </w:t>
      </w:r>
      <w:r w:rsidR="00DF411C">
        <w:t>However, the consultation paper does</w:t>
      </w:r>
      <w:r w:rsidR="0019132E">
        <w:t xml:space="preserve"> not</w:t>
      </w:r>
      <w:r w:rsidR="00DF411C">
        <w:t xml:space="preserve"> </w:t>
      </w:r>
      <w:r w:rsidR="004339E5">
        <w:t>include an assessment of current practices. Overall</w:t>
      </w:r>
      <w:r w:rsidR="003C6DFB">
        <w:t>,</w:t>
      </w:r>
      <w:r w:rsidR="004339E5">
        <w:t xml:space="preserve"> the Department </w:t>
      </w:r>
      <w:r w:rsidR="00B4362F">
        <w:t>has</w:t>
      </w:r>
      <w:r w:rsidR="004339E5">
        <w:t xml:space="preserve"> not demonstrated that the current arrangements are </w:t>
      </w:r>
      <w:r w:rsidR="003C6DFB">
        <w:t xml:space="preserve">leading to courts and Tribunals being appropriately </w:t>
      </w:r>
      <w:r w:rsidR="003C6DFB">
        <w:lastRenderedPageBreak/>
        <w:t>informed of the circumstances of court users before applying the</w:t>
      </w:r>
      <w:r w:rsidR="00DF411C">
        <w:t xml:space="preserve"> ‘interests of justice’ test.</w:t>
      </w:r>
      <w:r w:rsidR="0023451A">
        <w:t xml:space="preserve"> In addition</w:t>
      </w:r>
      <w:r w:rsidR="003C6DFB">
        <w:t>, the Department ha</w:t>
      </w:r>
      <w:r w:rsidR="009B4146">
        <w:t>s</w:t>
      </w:r>
      <w:r w:rsidR="003C6DFB">
        <w:t xml:space="preserve"> not provided a list of the relevant</w:t>
      </w:r>
      <w:r w:rsidR="0023451A">
        <w:t xml:space="preserve"> practice directions. </w:t>
      </w:r>
    </w:p>
    <w:p w14:paraId="48C91B94" w14:textId="77777777" w:rsidR="00430770" w:rsidRDefault="00430770" w:rsidP="00BC2459">
      <w:pPr>
        <w:spacing w:before="24" w:afterLines="24" w:after="57" w:line="360" w:lineRule="auto"/>
        <w:jc w:val="both"/>
      </w:pPr>
    </w:p>
    <w:p w14:paraId="23BC6320" w14:textId="6BBB4E4C" w:rsidR="005A621B" w:rsidRPr="00BC2459" w:rsidRDefault="00DD17A3" w:rsidP="004417B4">
      <w:pPr>
        <w:pStyle w:val="ListParagraph"/>
        <w:numPr>
          <w:ilvl w:val="1"/>
          <w:numId w:val="27"/>
        </w:numPr>
        <w:spacing w:before="24" w:afterLines="24" w:after="57" w:line="360" w:lineRule="auto"/>
        <w:ind w:left="720"/>
        <w:jc w:val="both"/>
      </w:pPr>
      <w:r w:rsidRPr="00430770">
        <w:rPr>
          <w:b/>
          <w:bCs/>
        </w:rPr>
        <w:t xml:space="preserve">The </w:t>
      </w:r>
      <w:r w:rsidR="003F1D6C">
        <w:rPr>
          <w:b/>
          <w:bCs/>
        </w:rPr>
        <w:t>NIHRC</w:t>
      </w:r>
      <w:r w:rsidR="003F1D6C" w:rsidRPr="00430770">
        <w:rPr>
          <w:b/>
          <w:bCs/>
        </w:rPr>
        <w:t xml:space="preserve"> </w:t>
      </w:r>
      <w:r w:rsidRPr="00430770">
        <w:rPr>
          <w:b/>
          <w:bCs/>
        </w:rPr>
        <w:t xml:space="preserve">recommends that the Department </w:t>
      </w:r>
      <w:r w:rsidR="00E60F20">
        <w:rPr>
          <w:b/>
        </w:rPr>
        <w:t>conducts</w:t>
      </w:r>
      <w:r w:rsidR="00E60F20" w:rsidRPr="00D86B80">
        <w:rPr>
          <w:b/>
        </w:rPr>
        <w:t xml:space="preserve"> or commission</w:t>
      </w:r>
      <w:r w:rsidR="00E60F20">
        <w:rPr>
          <w:b/>
        </w:rPr>
        <w:t>s</w:t>
      </w:r>
      <w:r w:rsidRPr="00430770">
        <w:rPr>
          <w:b/>
          <w:bCs/>
        </w:rPr>
        <w:t xml:space="preserve"> research to assure itself that existing arrangements</w:t>
      </w:r>
      <w:r w:rsidR="008F6F9D" w:rsidRPr="00430770">
        <w:rPr>
          <w:b/>
          <w:bCs/>
        </w:rPr>
        <w:t xml:space="preserve"> for informing a court and Tribunal of the circumstances of court users are sufficiently robust to ensure decisions relating to the use of live links are appropriately informed</w:t>
      </w:r>
      <w:r w:rsidR="0023451A" w:rsidRPr="00430770">
        <w:rPr>
          <w:b/>
          <w:bCs/>
        </w:rPr>
        <w:t xml:space="preserve"> of the circumstances of all court users</w:t>
      </w:r>
      <w:r w:rsidR="008F6F9D" w:rsidRPr="00430770">
        <w:rPr>
          <w:b/>
          <w:bCs/>
        </w:rPr>
        <w:t xml:space="preserve">. </w:t>
      </w:r>
    </w:p>
    <w:p w14:paraId="219CBB1B" w14:textId="77777777" w:rsidR="00BC2459" w:rsidRDefault="00BC2459" w:rsidP="00BC2459">
      <w:pPr>
        <w:pStyle w:val="ListParagraph"/>
      </w:pPr>
    </w:p>
    <w:p w14:paraId="51C5AAC1" w14:textId="77777777" w:rsidR="001150A2" w:rsidRPr="00E6242D" w:rsidRDefault="001150A2" w:rsidP="001150A2">
      <w:pPr>
        <w:pStyle w:val="ListParagraph"/>
        <w:numPr>
          <w:ilvl w:val="1"/>
          <w:numId w:val="27"/>
        </w:numPr>
        <w:spacing w:before="24" w:afterLines="24" w:after="57" w:line="360" w:lineRule="auto"/>
        <w:ind w:left="720"/>
        <w:jc w:val="both"/>
      </w:pPr>
      <w:r w:rsidRPr="00E6242D">
        <w:rPr>
          <w:rFonts w:cstheme="minorHAnsi"/>
        </w:rPr>
        <w:t xml:space="preserve">The Consultation paper does not consider accessibility issues which may arise for persons who are required to use live links in the course of their employment. </w:t>
      </w:r>
      <w:r w:rsidRPr="00E6242D">
        <w:t>As a State Party to the UN CRPD, the UK must give effect to the principle of non-discrimination by taking “all appropriate steps to ensure that reasonable accommodation is provided”.</w:t>
      </w:r>
      <w:r w:rsidRPr="00E6242D">
        <w:rPr>
          <w:rStyle w:val="FootnoteReference"/>
        </w:rPr>
        <w:footnoteReference w:id="42"/>
      </w:r>
      <w:r w:rsidRPr="00E6242D">
        <w:t xml:space="preserve">  Moreover, to give effect to the right of persons with disabilities to work on an equal basis with others, States Parties must “[e]</w:t>
      </w:r>
      <w:proofErr w:type="spellStart"/>
      <w:r w:rsidRPr="00E6242D">
        <w:t>nsure</w:t>
      </w:r>
      <w:proofErr w:type="spellEnd"/>
      <w:r w:rsidRPr="00E6242D">
        <w:t xml:space="preserve"> that reasonable accommodation is provided to persons with disabilities in the workplace”.</w:t>
      </w:r>
      <w:r w:rsidRPr="00E6242D">
        <w:rPr>
          <w:rStyle w:val="FootnoteReference"/>
        </w:rPr>
        <w:footnoteReference w:id="43"/>
      </w:r>
      <w:r w:rsidRPr="00E6242D">
        <w:t xml:space="preserve"> Thus, steps should be taken by the Department to ensure that the needs of disabled persons are reasonably accommodated to prevent digital exclusion as a result of increased reliance on live links technology. </w:t>
      </w:r>
    </w:p>
    <w:p w14:paraId="27349870" w14:textId="77777777" w:rsidR="001150A2" w:rsidRPr="00E6242D" w:rsidRDefault="001150A2" w:rsidP="001150A2">
      <w:pPr>
        <w:spacing w:before="24" w:afterLines="24" w:after="57" w:line="360" w:lineRule="auto"/>
        <w:jc w:val="both"/>
      </w:pPr>
    </w:p>
    <w:p w14:paraId="27C8D0DD" w14:textId="77777777" w:rsidR="001150A2" w:rsidRPr="00E6242D" w:rsidRDefault="001150A2" w:rsidP="001150A2">
      <w:pPr>
        <w:pStyle w:val="ListParagraph"/>
        <w:numPr>
          <w:ilvl w:val="1"/>
          <w:numId w:val="27"/>
        </w:numPr>
        <w:spacing w:beforeLines="24" w:before="57" w:afterLines="24" w:after="57" w:line="360" w:lineRule="auto"/>
        <w:ind w:left="720"/>
        <w:jc w:val="both"/>
        <w:rPr>
          <w:rFonts w:cstheme="minorHAnsi"/>
        </w:rPr>
      </w:pPr>
      <w:r w:rsidRPr="00E6242D">
        <w:rPr>
          <w:rFonts w:cstheme="minorHAnsi"/>
        </w:rPr>
        <w:t>Further, the UK must give effect to the principle of accessibility under the UN CRPD.</w:t>
      </w:r>
      <w:r w:rsidRPr="00E6242D">
        <w:rPr>
          <w:rStyle w:val="FootnoteReference"/>
          <w:rFonts w:cstheme="minorHAnsi"/>
        </w:rPr>
        <w:footnoteReference w:id="44"/>
      </w:r>
      <w:r w:rsidRPr="00E6242D">
        <w:rPr>
          <w:rFonts w:cstheme="minorHAnsi"/>
        </w:rPr>
        <w:t xml:space="preserve"> The UN CRPD Committee has stated that “[n]</w:t>
      </w:r>
      <w:proofErr w:type="spellStart"/>
      <w:r w:rsidRPr="00E6242D">
        <w:rPr>
          <w:rFonts w:cstheme="minorHAnsi"/>
        </w:rPr>
        <w:t>ew</w:t>
      </w:r>
      <w:proofErr w:type="spellEnd"/>
      <w:r w:rsidRPr="00E6242D">
        <w:rPr>
          <w:rFonts w:cstheme="minorHAnsi"/>
        </w:rPr>
        <w:t xml:space="preserve"> technologies can be used to promote the full and equal participation of persons with disabilities in society, but only if they are designed and produced in a way that ensures their accessibility”.</w:t>
      </w:r>
      <w:r w:rsidRPr="00E6242D">
        <w:rPr>
          <w:rStyle w:val="FootnoteReference"/>
          <w:rFonts w:cstheme="minorHAnsi"/>
        </w:rPr>
        <w:footnoteReference w:id="45"/>
      </w:r>
      <w:r w:rsidRPr="00E6242D">
        <w:rPr>
          <w:rFonts w:cstheme="minorHAnsi"/>
        </w:rPr>
        <w:t xml:space="preserve"> Whilst recognising that the use of live </w:t>
      </w:r>
      <w:r w:rsidRPr="00E6242D">
        <w:rPr>
          <w:rFonts w:cstheme="minorHAnsi"/>
        </w:rPr>
        <w:lastRenderedPageBreak/>
        <w:t>links may improve accessibility for many disabled persons, the UN CRPD Committee has stated that “[n]</w:t>
      </w:r>
      <w:proofErr w:type="spellStart"/>
      <w:r w:rsidRPr="00E6242D">
        <w:rPr>
          <w:rFonts w:cstheme="minorHAnsi"/>
        </w:rPr>
        <w:t>ew</w:t>
      </w:r>
      <w:proofErr w:type="spellEnd"/>
      <w:r w:rsidRPr="00E6242D">
        <w:rPr>
          <w:rFonts w:cstheme="minorHAnsi"/>
        </w:rPr>
        <w:t xml:space="preserve"> technologies, including artificial intelligence and the shift to digital work, can create new barriers or forms of discrimination”.</w:t>
      </w:r>
      <w:r w:rsidRPr="00E6242D">
        <w:rPr>
          <w:vertAlign w:val="superscript"/>
        </w:rPr>
        <w:footnoteReference w:id="46"/>
      </w:r>
      <w:r w:rsidRPr="00E6242D">
        <w:rPr>
          <w:rFonts w:cstheme="minorHAnsi"/>
        </w:rPr>
        <w:t xml:space="preserve"> </w:t>
      </w:r>
    </w:p>
    <w:p w14:paraId="0BB7B4B8" w14:textId="77777777" w:rsidR="00BC2459" w:rsidRPr="003C3AAE" w:rsidRDefault="00BC2459" w:rsidP="00BC2459">
      <w:pPr>
        <w:pStyle w:val="ListParagraph"/>
        <w:spacing w:before="24" w:afterLines="24" w:after="57" w:line="360" w:lineRule="auto"/>
        <w:jc w:val="both"/>
      </w:pPr>
    </w:p>
    <w:p w14:paraId="24286F77" w14:textId="77777777" w:rsidR="00BC2459" w:rsidRPr="00E6242D" w:rsidRDefault="00BC2459" w:rsidP="00BC2459">
      <w:pPr>
        <w:pStyle w:val="ListParagraph"/>
        <w:numPr>
          <w:ilvl w:val="1"/>
          <w:numId w:val="27"/>
        </w:numPr>
        <w:spacing w:beforeLines="24" w:before="57" w:afterLines="24" w:after="57" w:line="360" w:lineRule="auto"/>
        <w:ind w:left="720"/>
        <w:jc w:val="both"/>
        <w:rPr>
          <w:rFonts w:cstheme="minorHAnsi"/>
        </w:rPr>
      </w:pPr>
      <w:r w:rsidRPr="00E6242D">
        <w:rPr>
          <w:rFonts w:cstheme="minorHAnsi"/>
        </w:rPr>
        <w:t>According to the Law Society for England and Wales, many disabled people in the legal profession welcome the flexibility provided by technology. However, “this is not universal and there continues to be issues with accessibility, technology and procedures”.</w:t>
      </w:r>
      <w:r w:rsidRPr="00E6242D">
        <w:rPr>
          <w:rStyle w:val="FootnoteReference"/>
          <w:rFonts w:cstheme="minorHAnsi"/>
        </w:rPr>
        <w:footnoteReference w:id="47"/>
      </w:r>
      <w:r w:rsidRPr="00E6242D">
        <w:rPr>
          <w:rFonts w:cstheme="minorHAnsi"/>
        </w:rPr>
        <w:t xml:space="preserve"> For example, legal representatives who have a hearing impairment have expressed frustration with technology used for live links in England and Wales making lip-reading more difficult.</w:t>
      </w:r>
      <w:r w:rsidRPr="00E6242D">
        <w:rPr>
          <w:rStyle w:val="FootnoteReference"/>
          <w:rFonts w:cstheme="minorHAnsi"/>
        </w:rPr>
        <w:footnoteReference w:id="48"/>
      </w:r>
      <w:r w:rsidRPr="00E6242D">
        <w:rPr>
          <w:rFonts w:cstheme="minorHAnsi"/>
        </w:rPr>
        <w:t xml:space="preserve"> Thus, the Department should consider the possible barriers faced by disabled legal representatives in the development of live links legislation and policy.</w:t>
      </w:r>
    </w:p>
    <w:p w14:paraId="6EFA3FE0" w14:textId="117172B5" w:rsidR="003C01FC" w:rsidRDefault="003C01FC" w:rsidP="00604767">
      <w:pPr>
        <w:pStyle w:val="Default"/>
        <w:spacing w:line="276" w:lineRule="auto"/>
        <w:ind w:left="720" w:hanging="720"/>
        <w:rPr>
          <w:rFonts w:cs="Arial"/>
          <w:b/>
          <w:color w:val="232120"/>
        </w:rPr>
      </w:pPr>
    </w:p>
    <w:p w14:paraId="484A46D2" w14:textId="1B496CA7" w:rsidR="003C01FC" w:rsidRDefault="003C01FC" w:rsidP="00604767">
      <w:pPr>
        <w:pStyle w:val="Default"/>
        <w:spacing w:line="276" w:lineRule="auto"/>
        <w:ind w:left="720" w:hanging="720"/>
        <w:rPr>
          <w:rFonts w:cs="Arial"/>
          <w:b/>
          <w:color w:val="232120"/>
        </w:rPr>
      </w:pPr>
    </w:p>
    <w:p w14:paraId="6ADA06C7" w14:textId="54BC067D" w:rsidR="003C01FC" w:rsidRDefault="003C01FC" w:rsidP="00604767">
      <w:pPr>
        <w:pStyle w:val="Default"/>
        <w:spacing w:line="276" w:lineRule="auto"/>
        <w:ind w:left="720" w:hanging="720"/>
        <w:rPr>
          <w:rFonts w:cs="Arial"/>
          <w:b/>
          <w:color w:val="232120"/>
        </w:rPr>
      </w:pPr>
    </w:p>
    <w:p w14:paraId="4C51C426" w14:textId="3B1B00C9" w:rsidR="003C01FC" w:rsidRDefault="003C01FC" w:rsidP="00604767">
      <w:pPr>
        <w:pStyle w:val="Default"/>
        <w:spacing w:line="276" w:lineRule="auto"/>
        <w:ind w:left="720" w:hanging="720"/>
        <w:rPr>
          <w:rFonts w:cs="Arial"/>
          <w:b/>
          <w:color w:val="232120"/>
        </w:rPr>
      </w:pPr>
    </w:p>
    <w:p w14:paraId="15F9F929" w14:textId="77777777" w:rsidR="003C01FC" w:rsidRDefault="003C01FC" w:rsidP="00E171D7">
      <w:pPr>
        <w:pStyle w:val="Default"/>
        <w:spacing w:line="276" w:lineRule="auto"/>
        <w:rPr>
          <w:rFonts w:cs="Arial"/>
          <w:b/>
          <w:color w:val="232120"/>
        </w:rPr>
      </w:pPr>
    </w:p>
    <w:p w14:paraId="36D419C0" w14:textId="3828AEC3" w:rsidR="0093364F" w:rsidRDefault="0093364F" w:rsidP="00E171D7">
      <w:pPr>
        <w:pStyle w:val="Default"/>
        <w:spacing w:line="276" w:lineRule="auto"/>
        <w:rPr>
          <w:rFonts w:cs="Arial"/>
          <w:b/>
          <w:color w:val="232120"/>
        </w:rPr>
      </w:pPr>
    </w:p>
    <w:p w14:paraId="0BC552F3" w14:textId="21F25AC7" w:rsidR="0093364F" w:rsidRDefault="0093364F" w:rsidP="00E171D7">
      <w:pPr>
        <w:pStyle w:val="Default"/>
        <w:spacing w:line="276" w:lineRule="auto"/>
        <w:rPr>
          <w:rFonts w:cs="Arial"/>
          <w:b/>
          <w:color w:val="232120"/>
        </w:rPr>
      </w:pPr>
    </w:p>
    <w:p w14:paraId="699147A7" w14:textId="4826A56F" w:rsidR="006A1662" w:rsidRDefault="006A1662" w:rsidP="00E171D7">
      <w:pPr>
        <w:pStyle w:val="Default"/>
        <w:spacing w:line="276" w:lineRule="auto"/>
        <w:rPr>
          <w:rFonts w:cs="Arial"/>
          <w:b/>
          <w:color w:val="232120"/>
        </w:rPr>
      </w:pPr>
    </w:p>
    <w:p w14:paraId="0DA573C3" w14:textId="1F56AA8D" w:rsidR="006A1662" w:rsidRDefault="006A1662" w:rsidP="00E171D7">
      <w:pPr>
        <w:pStyle w:val="Default"/>
        <w:spacing w:line="276" w:lineRule="auto"/>
        <w:rPr>
          <w:rFonts w:cs="Arial"/>
          <w:b/>
          <w:color w:val="232120"/>
        </w:rPr>
      </w:pPr>
    </w:p>
    <w:p w14:paraId="5AD9AB3A" w14:textId="6B8ABF43" w:rsidR="006A1662" w:rsidRDefault="006A1662" w:rsidP="00E171D7">
      <w:pPr>
        <w:pStyle w:val="Default"/>
        <w:spacing w:line="276" w:lineRule="auto"/>
        <w:rPr>
          <w:rFonts w:cs="Arial"/>
          <w:b/>
          <w:color w:val="232120"/>
        </w:rPr>
      </w:pPr>
    </w:p>
    <w:p w14:paraId="44D85C75" w14:textId="3B5FDCBB" w:rsidR="006A1662" w:rsidRDefault="006A1662" w:rsidP="00E171D7">
      <w:pPr>
        <w:pStyle w:val="Default"/>
        <w:spacing w:line="276" w:lineRule="auto"/>
        <w:rPr>
          <w:rFonts w:cs="Arial"/>
          <w:b/>
          <w:color w:val="232120"/>
        </w:rPr>
      </w:pPr>
    </w:p>
    <w:p w14:paraId="67A3BECF" w14:textId="0FDBF2FA" w:rsidR="006A1662" w:rsidRDefault="006A1662" w:rsidP="00E171D7">
      <w:pPr>
        <w:pStyle w:val="Default"/>
        <w:spacing w:line="276" w:lineRule="auto"/>
        <w:rPr>
          <w:rFonts w:cs="Arial"/>
          <w:b/>
          <w:color w:val="232120"/>
        </w:rPr>
      </w:pPr>
    </w:p>
    <w:p w14:paraId="04052A41" w14:textId="25E87842" w:rsidR="006A1662" w:rsidRDefault="006A1662" w:rsidP="00E171D7">
      <w:pPr>
        <w:pStyle w:val="Default"/>
        <w:spacing w:line="276" w:lineRule="auto"/>
        <w:rPr>
          <w:rFonts w:cs="Arial"/>
          <w:b/>
          <w:color w:val="232120"/>
        </w:rPr>
      </w:pPr>
    </w:p>
    <w:p w14:paraId="625A48DA" w14:textId="77777777" w:rsidR="00311E7F" w:rsidRDefault="00311E7F" w:rsidP="00E171D7">
      <w:pPr>
        <w:pStyle w:val="Default"/>
        <w:spacing w:line="276" w:lineRule="auto"/>
        <w:rPr>
          <w:rFonts w:cs="Arial"/>
          <w:b/>
          <w:color w:val="232120"/>
        </w:rPr>
      </w:pPr>
    </w:p>
    <w:p w14:paraId="1518CA83" w14:textId="731DCC7E" w:rsidR="006A1662" w:rsidRDefault="006A1662" w:rsidP="00E171D7">
      <w:pPr>
        <w:pStyle w:val="Default"/>
        <w:spacing w:line="276" w:lineRule="auto"/>
        <w:rPr>
          <w:rFonts w:cs="Arial"/>
          <w:b/>
          <w:color w:val="232120"/>
        </w:rPr>
      </w:pPr>
    </w:p>
    <w:p w14:paraId="593AF3DC" w14:textId="77777777" w:rsidR="006A1662" w:rsidRDefault="006A1662" w:rsidP="00E171D7">
      <w:pPr>
        <w:pStyle w:val="Default"/>
        <w:spacing w:line="276" w:lineRule="auto"/>
        <w:rPr>
          <w:rFonts w:cs="Arial"/>
          <w:b/>
          <w:color w:val="232120"/>
        </w:rPr>
      </w:pPr>
    </w:p>
    <w:p w14:paraId="4B87C72A" w14:textId="77777777" w:rsidR="0093364F" w:rsidRPr="00331C61" w:rsidRDefault="0093364F" w:rsidP="00E171D7">
      <w:pPr>
        <w:pStyle w:val="Default"/>
        <w:spacing w:line="276" w:lineRule="auto"/>
        <w:rPr>
          <w:rFonts w:cs="Arial"/>
          <w:b/>
          <w:color w:val="232120"/>
        </w:rPr>
      </w:pPr>
    </w:p>
    <w:p w14:paraId="37D6F201" w14:textId="77777777" w:rsidR="00705833" w:rsidRDefault="00705833" w:rsidP="00E171D7">
      <w:pPr>
        <w:pStyle w:val="BasicParagraph"/>
        <w:suppressAutoHyphens/>
        <w:spacing w:line="276" w:lineRule="auto"/>
        <w:jc w:val="center"/>
        <w:rPr>
          <w:rFonts w:ascii="Verdana" w:hAnsi="Verdana" w:cs="Arial"/>
          <w:b/>
          <w:bCs/>
          <w:color w:val="77328A"/>
          <w:sz w:val="36"/>
          <w:szCs w:val="36"/>
        </w:rPr>
      </w:pPr>
      <w:r w:rsidRPr="00331C61">
        <w:rPr>
          <w:rFonts w:ascii="Verdana" w:hAnsi="Verdana" w:cs="Arial"/>
          <w:b/>
          <w:bCs/>
          <w:color w:val="77328A"/>
          <w:sz w:val="36"/>
          <w:szCs w:val="36"/>
        </w:rPr>
        <w:t>Co</w:t>
      </w:r>
      <w:r w:rsidR="0096459E">
        <w:rPr>
          <w:rFonts w:ascii="Verdana" w:hAnsi="Verdana" w:cs="Arial"/>
          <w:b/>
          <w:bCs/>
          <w:color w:val="77328A"/>
          <w:sz w:val="36"/>
          <w:szCs w:val="36"/>
        </w:rPr>
        <w:t xml:space="preserve">ntact us </w:t>
      </w:r>
    </w:p>
    <w:p w14:paraId="4C0ED36C" w14:textId="77777777" w:rsidR="00A96B63" w:rsidRDefault="00A96B63" w:rsidP="00E171D7">
      <w:pPr>
        <w:pStyle w:val="BasicParagraph"/>
        <w:suppressAutoHyphens/>
        <w:spacing w:line="276" w:lineRule="auto"/>
        <w:jc w:val="center"/>
        <w:rPr>
          <w:rFonts w:ascii="Verdana" w:hAnsi="Verdana" w:cs="Arial"/>
          <w:b/>
          <w:bCs/>
          <w:color w:val="77328A"/>
          <w:sz w:val="36"/>
          <w:szCs w:val="36"/>
        </w:rPr>
      </w:pPr>
    </w:p>
    <w:p w14:paraId="6FD1C5E0" w14:textId="77777777" w:rsidR="00331C61" w:rsidRPr="00331C61" w:rsidRDefault="00331C61" w:rsidP="00E171D7">
      <w:pPr>
        <w:pStyle w:val="BasicParagraph"/>
        <w:suppressAutoHyphens/>
        <w:spacing w:line="276" w:lineRule="auto"/>
        <w:jc w:val="center"/>
        <w:rPr>
          <w:rFonts w:ascii="Verdana" w:hAnsi="Verdana" w:cs="Arial"/>
          <w:b/>
          <w:color w:val="77328A"/>
          <w:sz w:val="36"/>
          <w:szCs w:val="36"/>
        </w:rPr>
      </w:pPr>
    </w:p>
    <w:p w14:paraId="5DA114F0" w14:textId="77777777" w:rsidR="00374699" w:rsidRDefault="00A96B63" w:rsidP="00E171D7">
      <w:pPr>
        <w:spacing w:line="276" w:lineRule="auto"/>
        <w:jc w:val="center"/>
        <w:rPr>
          <w:rFonts w:cs="Arial"/>
          <w:b/>
          <w:color w:val="232120"/>
          <w:sz w:val="30"/>
          <w:szCs w:val="30"/>
        </w:rPr>
      </w:pPr>
      <w:r>
        <w:rPr>
          <w:rFonts w:cs="Arial"/>
          <w:b/>
          <w:color w:val="232120"/>
          <w:sz w:val="30"/>
          <w:szCs w:val="30"/>
        </w:rPr>
        <w:t xml:space="preserve">For inquiries please contact: </w:t>
      </w:r>
    </w:p>
    <w:p w14:paraId="07AD310E" w14:textId="66A13F2B" w:rsidR="004672AC" w:rsidRDefault="004670C6" w:rsidP="00E171D7">
      <w:pPr>
        <w:spacing w:line="276" w:lineRule="auto"/>
        <w:jc w:val="center"/>
        <w:rPr>
          <w:rFonts w:cs="Arial"/>
          <w:b/>
          <w:color w:val="232120"/>
          <w:sz w:val="30"/>
          <w:szCs w:val="30"/>
        </w:rPr>
      </w:pPr>
      <w:hyperlink r:id="rId9" w:history="1">
        <w:r w:rsidR="00DD17A3">
          <w:rPr>
            <w:rStyle w:val="Hyperlink"/>
            <w:rFonts w:cs="Arial"/>
            <w:b/>
            <w:sz w:val="30"/>
            <w:szCs w:val="30"/>
          </w:rPr>
          <w:t>Colin.caughey@nihrc.org</w:t>
        </w:r>
      </w:hyperlink>
    </w:p>
    <w:p w14:paraId="1A3F8ED9" w14:textId="77777777" w:rsidR="00A96B63" w:rsidRPr="00331C61" w:rsidRDefault="00A96B63" w:rsidP="00E171D7">
      <w:pPr>
        <w:spacing w:line="276" w:lineRule="auto"/>
        <w:jc w:val="center"/>
        <w:rPr>
          <w:rFonts w:cs="Arial"/>
          <w:b/>
          <w:color w:val="232120"/>
          <w:sz w:val="30"/>
          <w:szCs w:val="30"/>
        </w:rPr>
      </w:pPr>
    </w:p>
    <w:p w14:paraId="1357ED7B" w14:textId="77777777" w:rsidR="00331C61" w:rsidRPr="00331C61" w:rsidRDefault="00331C61" w:rsidP="00E171D7">
      <w:pPr>
        <w:spacing w:line="276" w:lineRule="auto"/>
        <w:jc w:val="center"/>
        <w:rPr>
          <w:rFonts w:cs="Arial"/>
          <w:b/>
          <w:color w:val="232120"/>
          <w:sz w:val="30"/>
          <w:szCs w:val="30"/>
        </w:rPr>
      </w:pPr>
    </w:p>
    <w:p w14:paraId="2F3E4893" w14:textId="77777777" w:rsidR="00331C61" w:rsidRPr="00331C61" w:rsidRDefault="00331C61" w:rsidP="00E171D7">
      <w:pPr>
        <w:spacing w:line="276" w:lineRule="auto"/>
        <w:jc w:val="center"/>
        <w:rPr>
          <w:rFonts w:cs="Arial"/>
          <w:b/>
          <w:color w:val="232120"/>
          <w:sz w:val="30"/>
          <w:szCs w:val="30"/>
        </w:rPr>
      </w:pPr>
    </w:p>
    <w:p w14:paraId="0372EE6C" w14:textId="77777777" w:rsidR="00331C61" w:rsidRPr="00331C61" w:rsidRDefault="004670C6" w:rsidP="00E171D7">
      <w:pPr>
        <w:spacing w:line="276" w:lineRule="auto"/>
        <w:jc w:val="center"/>
        <w:rPr>
          <w:rFonts w:cs="Arial"/>
          <w:color w:val="232120"/>
          <w:sz w:val="28"/>
          <w:szCs w:val="28"/>
        </w:rPr>
      </w:pPr>
      <w:hyperlink r:id="rId10" w:history="1">
        <w:r w:rsidR="00331C61" w:rsidRPr="00331C61">
          <w:rPr>
            <w:rStyle w:val="Hyperlink"/>
            <w:rFonts w:cs="Arial"/>
            <w:color w:val="232120"/>
            <w:sz w:val="28"/>
            <w:szCs w:val="28"/>
            <w:u w:val="none"/>
            <w:lang w:val="en-US"/>
          </w:rPr>
          <w:t>www.nihrc.org</w:t>
        </w:r>
      </w:hyperlink>
      <w:r w:rsidR="00331C61" w:rsidRPr="00331C61">
        <w:rPr>
          <w:rFonts w:cs="Arial"/>
          <w:color w:val="232120"/>
          <w:sz w:val="28"/>
          <w:szCs w:val="28"/>
          <w:lang w:val="en-US"/>
        </w:rPr>
        <w:t xml:space="preserve">  |  </w:t>
      </w:r>
      <w:hyperlink r:id="rId11" w:history="1">
        <w:r w:rsidR="00331C61" w:rsidRPr="00331C61">
          <w:rPr>
            <w:rStyle w:val="Hyperlink"/>
            <w:rFonts w:cs="Arial"/>
            <w:color w:val="232120"/>
            <w:sz w:val="28"/>
            <w:szCs w:val="28"/>
            <w:u w:val="none"/>
            <w:lang w:val="en-US"/>
          </w:rPr>
          <w:t>info@nihrc.org</w:t>
        </w:r>
      </w:hyperlink>
      <w:r w:rsidR="00331C61" w:rsidRPr="00331C61">
        <w:rPr>
          <w:rFonts w:cs="Arial"/>
          <w:color w:val="232120"/>
          <w:sz w:val="28"/>
          <w:szCs w:val="28"/>
          <w:lang w:val="en-US"/>
        </w:rPr>
        <w:t xml:space="preserve">  |  +44 (0)28 9024 3987</w:t>
      </w:r>
    </w:p>
    <w:p w14:paraId="6B314F7E" w14:textId="77777777" w:rsidR="00F56C78" w:rsidRPr="00331C61" w:rsidRDefault="00331C61" w:rsidP="00E171D7">
      <w:pPr>
        <w:spacing w:line="276" w:lineRule="auto"/>
        <w:jc w:val="center"/>
        <w:rPr>
          <w:rFonts w:cs="Arial"/>
          <w:color w:val="232120"/>
          <w:sz w:val="28"/>
          <w:szCs w:val="28"/>
        </w:rPr>
      </w:pPr>
      <w:r w:rsidRPr="00331C61">
        <w:rPr>
          <w:rFonts w:cs="Arial"/>
          <w:color w:val="232120"/>
          <w:sz w:val="28"/>
          <w:szCs w:val="28"/>
          <w:lang w:val="en-US"/>
        </w:rPr>
        <w:t>Temple Court, 39 North Street, Belfast, BT1NA</w:t>
      </w:r>
    </w:p>
    <w:p w14:paraId="5DC37FB2" w14:textId="77777777" w:rsidR="00F56C78" w:rsidRPr="00331C61" w:rsidRDefault="00F56C78" w:rsidP="00E171D7">
      <w:pPr>
        <w:spacing w:line="276" w:lineRule="auto"/>
        <w:jc w:val="center"/>
        <w:rPr>
          <w:rFonts w:cs="Arial"/>
          <w:b/>
          <w:color w:val="232120"/>
          <w:sz w:val="28"/>
          <w:szCs w:val="28"/>
        </w:rPr>
      </w:pPr>
    </w:p>
    <w:p w14:paraId="3006B14C" w14:textId="77777777" w:rsidR="00F56C78" w:rsidRPr="00331C61" w:rsidRDefault="00F56C78" w:rsidP="00E171D7">
      <w:pPr>
        <w:spacing w:line="276" w:lineRule="auto"/>
        <w:jc w:val="center"/>
        <w:rPr>
          <w:rFonts w:cs="Arial"/>
          <w:color w:val="232120"/>
          <w:sz w:val="20"/>
          <w:szCs w:val="20"/>
        </w:rPr>
      </w:pPr>
    </w:p>
    <w:p w14:paraId="0BCC7E17" w14:textId="77777777" w:rsidR="00705833" w:rsidRPr="00331C61" w:rsidRDefault="00F56C78" w:rsidP="00E171D7">
      <w:pPr>
        <w:pStyle w:val="BasicParagraph"/>
        <w:suppressAutoHyphens/>
        <w:spacing w:line="276"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3DEF1664" wp14:editId="183ACBB4">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3B7D0E">
      <w:footerReference w:type="default" r:id="rId13"/>
      <w:footerReference w:type="first" r:id="rId14"/>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23D53" w14:textId="77777777" w:rsidR="00830AB3" w:rsidRDefault="00830AB3" w:rsidP="00962B2B">
      <w:r>
        <w:separator/>
      </w:r>
    </w:p>
  </w:endnote>
  <w:endnote w:type="continuationSeparator" w:id="0">
    <w:p w14:paraId="2C8A9DAE" w14:textId="77777777" w:rsidR="00830AB3" w:rsidRDefault="00830AB3" w:rsidP="0096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8609E" w14:textId="77777777" w:rsidR="005C2345" w:rsidRDefault="005C2345" w:rsidP="00656ECD">
    <w:pPr>
      <w:pStyle w:val="Footer"/>
      <w:jc w:val="right"/>
      <w:rPr>
        <w:rStyle w:val="PageNumber"/>
        <w:rFonts w:ascii="Arial" w:hAnsi="Arial" w:cs="Arial"/>
        <w:b/>
        <w:sz w:val="16"/>
        <w:szCs w:val="16"/>
      </w:rPr>
    </w:pPr>
  </w:p>
  <w:p w14:paraId="250F4A51" w14:textId="6DE0C948" w:rsidR="005C2345" w:rsidRPr="00722C09" w:rsidRDefault="005C2345" w:rsidP="00656ECD">
    <w:pPr>
      <w:pStyle w:val="Footer"/>
      <w:jc w:val="right"/>
      <w:rPr>
        <w:rFonts w:cs="Arial"/>
        <w:color w:val="77328A"/>
      </w:rPr>
    </w:pPr>
    <w:r w:rsidRPr="00722C09">
      <w:rPr>
        <w:rStyle w:val="PageNumber"/>
        <w:rFonts w:cs="Arial"/>
        <w:color w:val="77328A"/>
      </w:rPr>
      <w:fldChar w:fldCharType="begin"/>
    </w:r>
    <w:r w:rsidRPr="00722C09">
      <w:rPr>
        <w:rStyle w:val="PageNumber"/>
        <w:rFonts w:cs="Arial"/>
        <w:color w:val="77328A"/>
      </w:rPr>
      <w:instrText xml:space="preserve"> PAGE </w:instrText>
    </w:r>
    <w:r w:rsidRPr="00722C09">
      <w:rPr>
        <w:rStyle w:val="PageNumber"/>
        <w:rFonts w:cs="Arial"/>
        <w:color w:val="77328A"/>
      </w:rPr>
      <w:fldChar w:fldCharType="separate"/>
    </w:r>
    <w:r w:rsidR="00B32055">
      <w:rPr>
        <w:rStyle w:val="PageNumber"/>
        <w:rFonts w:cs="Arial"/>
        <w:noProof/>
        <w:color w:val="77328A"/>
      </w:rPr>
      <w:t>2</w:t>
    </w:r>
    <w:r w:rsidRPr="00722C09">
      <w:rPr>
        <w:rStyle w:val="PageNumber"/>
        <w:rFonts w:cs="Arial"/>
        <w:color w:val="77328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BFAF9" w14:textId="77777777" w:rsidR="005C2345" w:rsidRDefault="005C2345" w:rsidP="00046705">
    <w:pPr>
      <w:pStyle w:val="Footer"/>
      <w:jc w:val="right"/>
      <w:rPr>
        <w:rStyle w:val="PageNumber"/>
        <w:rFonts w:ascii="Arial" w:hAnsi="Arial" w:cs="Arial"/>
        <w:b/>
        <w:sz w:val="16"/>
        <w:szCs w:val="16"/>
      </w:rPr>
    </w:pPr>
  </w:p>
  <w:p w14:paraId="1257F987" w14:textId="77777777" w:rsidR="005C2345" w:rsidRPr="00D12EF8" w:rsidRDefault="005C2345"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187F6" w14:textId="77777777" w:rsidR="00830AB3" w:rsidRDefault="00830AB3" w:rsidP="00B96D34">
      <w:r>
        <w:continuationSeparator/>
      </w:r>
    </w:p>
    <w:p w14:paraId="04F9A9B5" w14:textId="77777777" w:rsidR="00830AB3" w:rsidRPr="00B96D34" w:rsidRDefault="00830AB3" w:rsidP="00B96D34">
      <w:pPr>
        <w:pStyle w:val="Footer"/>
      </w:pPr>
    </w:p>
  </w:footnote>
  <w:footnote w:type="continuationSeparator" w:id="0">
    <w:p w14:paraId="34E8E73E" w14:textId="77777777" w:rsidR="00830AB3" w:rsidRDefault="00830AB3" w:rsidP="00962B2B">
      <w:r>
        <w:continuationSeparator/>
      </w:r>
    </w:p>
  </w:footnote>
  <w:footnote w:type="continuationNotice" w:id="1">
    <w:p w14:paraId="0F11D50D" w14:textId="77777777" w:rsidR="00830AB3" w:rsidRDefault="00830AB3"/>
  </w:footnote>
  <w:footnote w:id="2">
    <w:p w14:paraId="3EB51FF7" w14:textId="77777777" w:rsidR="003E5F2A" w:rsidRPr="004B5E11" w:rsidRDefault="003E5F2A" w:rsidP="003E5F2A">
      <w:pPr>
        <w:spacing w:line="240" w:lineRule="auto"/>
        <w:rPr>
          <w:color w:val="7030A0"/>
          <w:sz w:val="16"/>
          <w:szCs w:val="16"/>
        </w:rPr>
      </w:pPr>
      <w:r w:rsidRPr="004B5E11">
        <w:rPr>
          <w:rStyle w:val="FootnoteReference"/>
          <w:color w:val="7030A0"/>
          <w:sz w:val="16"/>
          <w:szCs w:val="16"/>
        </w:rPr>
        <w:footnoteRef/>
      </w:r>
      <w:r w:rsidRPr="004B5E11">
        <w:rPr>
          <w:color w:val="7030A0"/>
          <w:sz w:val="16"/>
          <w:szCs w:val="16"/>
        </w:rPr>
        <w:t xml:space="preserve"> Directive 2000/43/EC, ‘EU Council Directive on Implementing the Principle of Equal Treatment between Persons Irrespective of Racial or Ethnic Origin’, 29 June 2000; Directive 2000/78/EC, ‘EU Council Directive on Establishing a General Framework for Equal Treatment in Employment and Occupation’, 27 November 2000; Directive 2004/113/EC, ‘EU Council Directive on Implementing the Principle of Equal Treatment between Men and Women in the access to and supply of goods and Services’, 13 December 2004;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between Men and Women Engaged in an Activity in a Self-employed Capacity’, 7 July 2010.; Directive 79/7/EEC, ‘EU Council Directive on the Progressive Implementation of the Principle of Equal Treatment for Men and Women in Matters of Social Security’, 19 December 1978.</w:t>
      </w:r>
    </w:p>
  </w:footnote>
  <w:footnote w:id="3">
    <w:p w14:paraId="45980F56" w14:textId="77777777" w:rsidR="003E5F2A" w:rsidRPr="004B5E11" w:rsidRDefault="003E5F2A" w:rsidP="003E5F2A">
      <w:pPr>
        <w:spacing w:line="240" w:lineRule="auto"/>
        <w:rPr>
          <w:color w:val="7030A0"/>
          <w:sz w:val="16"/>
          <w:szCs w:val="16"/>
        </w:rPr>
      </w:pPr>
      <w:r w:rsidRPr="004B5E11">
        <w:rPr>
          <w:rStyle w:val="FootnoteReference"/>
          <w:color w:val="7030A0"/>
          <w:sz w:val="16"/>
          <w:szCs w:val="16"/>
        </w:rPr>
        <w:footnoteRef/>
      </w:r>
      <w:r w:rsidRPr="004B5E11">
        <w:rPr>
          <w:color w:val="7030A0"/>
          <w:sz w:val="16"/>
          <w:szCs w:val="16"/>
        </w:rPr>
        <w:t xml:space="preserve"> Belfast (Good Friday) Agreement, 10 April 1998, Part 6 on Rights, Safeguards and Equality of Opportunity.</w:t>
      </w:r>
    </w:p>
  </w:footnote>
  <w:footnote w:id="4">
    <w:p w14:paraId="75913074" w14:textId="77777777" w:rsidR="003E5F2A" w:rsidRPr="004B5E11" w:rsidRDefault="003E5F2A" w:rsidP="003E5F2A">
      <w:pPr>
        <w:spacing w:line="240" w:lineRule="auto"/>
        <w:rPr>
          <w:color w:val="7030A0"/>
          <w:sz w:val="16"/>
          <w:szCs w:val="16"/>
        </w:rPr>
      </w:pPr>
      <w:r w:rsidRPr="004B5E11">
        <w:rPr>
          <w:rStyle w:val="FootnoteReference"/>
          <w:color w:val="7030A0"/>
          <w:sz w:val="16"/>
          <w:szCs w:val="16"/>
        </w:rPr>
        <w:footnoteRef/>
      </w:r>
      <w:r w:rsidRPr="004B5E11">
        <w:rPr>
          <w:color w:val="7030A0"/>
          <w:sz w:val="16"/>
          <w:szCs w:val="16"/>
        </w:rPr>
        <w:t xml:space="preserve"> Directive 2012/29/EU, ‘Directive of the European Parliament and of the Council establishing minimum standards on the rights, support and protection of victims of crime’, 25 October 2012.</w:t>
      </w:r>
    </w:p>
  </w:footnote>
  <w:footnote w:id="5">
    <w:p w14:paraId="7959A8C6" w14:textId="6422AEFF" w:rsidR="00F56E94" w:rsidRPr="004B5E11" w:rsidRDefault="00F56E94" w:rsidP="00F56E94">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Directive 2010/64/EU, </w:t>
      </w:r>
      <w:r w:rsidR="002F23E0" w:rsidRPr="004B5E11">
        <w:rPr>
          <w:color w:val="7030A0"/>
          <w:sz w:val="16"/>
          <w:szCs w:val="16"/>
        </w:rPr>
        <w:t>‘</w:t>
      </w:r>
      <w:r w:rsidRPr="004B5E11">
        <w:rPr>
          <w:color w:val="7030A0"/>
          <w:sz w:val="16"/>
          <w:szCs w:val="16"/>
        </w:rPr>
        <w:t>Directive of the European Parliament and of the Council on the right to interpretation and translation in criminal proceedings’, 20 October 2010.</w:t>
      </w:r>
    </w:p>
  </w:footnote>
  <w:footnote w:id="6">
    <w:p w14:paraId="7FACB4E1" w14:textId="21A04607" w:rsidR="00F56E94" w:rsidRPr="004B5E11" w:rsidRDefault="00F56E94" w:rsidP="00F56E94">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Recital 14, Directive 2010/64/EU, ‘Directive of the European Parliament and of the Council on the right to interpretation and translation in criminal proceedings’, 20 October 2010.</w:t>
      </w:r>
    </w:p>
  </w:footnote>
  <w:footnote w:id="7">
    <w:p w14:paraId="41881492" w14:textId="1CAB48C5" w:rsidR="002A2462" w:rsidRPr="004B5E11" w:rsidRDefault="002A2462" w:rsidP="002A2462">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Recital 35, Directive 2010/64/EU, ‘Directive of the European Parliament and of the Council on the right to interpretation and translation in criminal proceedings’, 20 October 2010.</w:t>
      </w:r>
    </w:p>
  </w:footnote>
  <w:footnote w:id="8">
    <w:p w14:paraId="2C83DD5B" w14:textId="50DCC5CB" w:rsidR="00035B77" w:rsidRPr="004B5E11" w:rsidRDefault="00035B77">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w:t>
      </w:r>
      <w:r w:rsidR="006A7467" w:rsidRPr="004B5E11">
        <w:rPr>
          <w:color w:val="7030A0"/>
          <w:sz w:val="16"/>
          <w:szCs w:val="16"/>
        </w:rPr>
        <w:t xml:space="preserve">International Committee of Jurists, ‘Videoconferencing, Courts and COVID-19 Recommendations Based on International Standards’ </w:t>
      </w:r>
      <w:r w:rsidR="007705A2" w:rsidRPr="004B5E11">
        <w:rPr>
          <w:color w:val="7030A0"/>
          <w:sz w:val="16"/>
          <w:szCs w:val="16"/>
        </w:rPr>
        <w:t>(</w:t>
      </w:r>
      <w:r w:rsidR="006A7467" w:rsidRPr="004B5E11">
        <w:rPr>
          <w:color w:val="7030A0"/>
          <w:sz w:val="16"/>
          <w:szCs w:val="16"/>
        </w:rPr>
        <w:t>November 2021</w:t>
      </w:r>
      <w:r w:rsidR="00AD7072" w:rsidRPr="004B5E11">
        <w:rPr>
          <w:color w:val="7030A0"/>
          <w:sz w:val="16"/>
          <w:szCs w:val="16"/>
        </w:rPr>
        <w:t>).</w:t>
      </w:r>
    </w:p>
  </w:footnote>
  <w:footnote w:id="9">
    <w:p w14:paraId="2AFE9DDE" w14:textId="6D158C2B" w:rsidR="00F13911" w:rsidRPr="004B5E11" w:rsidRDefault="00F13911">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w:t>
      </w:r>
      <w:r w:rsidR="00404EC0" w:rsidRPr="004B5E11">
        <w:rPr>
          <w:rStyle w:val="Strong"/>
          <w:rFonts w:cs="Arial"/>
          <w:b w:val="0"/>
          <w:bCs w:val="0"/>
          <w:color w:val="7030A0"/>
          <w:sz w:val="16"/>
          <w:szCs w:val="16"/>
          <w:shd w:val="clear" w:color="auto" w:fill="FFFFFF"/>
        </w:rPr>
        <w:t>Dijkhuizen v the Netherlands</w:t>
      </w:r>
      <w:r w:rsidR="00404EC0" w:rsidRPr="004B5E11">
        <w:rPr>
          <w:rFonts w:cs="Arial"/>
          <w:color w:val="7030A0"/>
          <w:sz w:val="16"/>
          <w:szCs w:val="16"/>
        </w:rPr>
        <w:t xml:space="preserve"> </w:t>
      </w:r>
      <w:r w:rsidR="00404EC0" w:rsidRPr="004B5E11">
        <w:rPr>
          <w:rStyle w:val="Emphasis"/>
          <w:rFonts w:cs="Arial"/>
          <w:color w:val="7030A0"/>
          <w:sz w:val="16"/>
          <w:szCs w:val="16"/>
          <w:shd w:val="clear" w:color="auto" w:fill="FFFFFF"/>
        </w:rPr>
        <w:t xml:space="preserve">(Application no. 61591/16) </w:t>
      </w:r>
      <w:r w:rsidR="00404EC0" w:rsidRPr="004B5E11">
        <w:rPr>
          <w:rFonts w:cs="Arial"/>
          <w:color w:val="7030A0"/>
          <w:sz w:val="16"/>
          <w:szCs w:val="16"/>
          <w:shd w:val="clear" w:color="auto" w:fill="FFFFFF"/>
        </w:rPr>
        <w:t xml:space="preserve">8 June 2021, </w:t>
      </w:r>
      <w:r w:rsidR="00AD7072" w:rsidRPr="004B5E11">
        <w:rPr>
          <w:rFonts w:cs="Arial"/>
          <w:color w:val="7030A0"/>
          <w:sz w:val="16"/>
          <w:szCs w:val="16"/>
          <w:shd w:val="clear" w:color="auto" w:fill="FFFFFF"/>
        </w:rPr>
        <w:t xml:space="preserve">at </w:t>
      </w:r>
      <w:r w:rsidR="00404EC0" w:rsidRPr="004B5E11">
        <w:rPr>
          <w:color w:val="7030A0"/>
          <w:sz w:val="16"/>
          <w:szCs w:val="16"/>
        </w:rPr>
        <w:t>p</w:t>
      </w:r>
      <w:r w:rsidRPr="004B5E11">
        <w:rPr>
          <w:color w:val="7030A0"/>
          <w:sz w:val="16"/>
          <w:szCs w:val="16"/>
        </w:rPr>
        <w:t>ara 50</w:t>
      </w:r>
      <w:r w:rsidR="00AD7072" w:rsidRPr="004B5E11">
        <w:rPr>
          <w:color w:val="7030A0"/>
          <w:sz w:val="16"/>
          <w:szCs w:val="16"/>
        </w:rPr>
        <w:t>.</w:t>
      </w:r>
    </w:p>
  </w:footnote>
  <w:footnote w:id="10">
    <w:p w14:paraId="55EB2FD1" w14:textId="52C5B1F4" w:rsidR="00C07C76" w:rsidRPr="004B5E11" w:rsidRDefault="00C07C76">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w:t>
      </w:r>
      <w:r w:rsidR="00404EC0" w:rsidRPr="004B5E11">
        <w:rPr>
          <w:rStyle w:val="Strong"/>
          <w:rFonts w:cs="Arial"/>
          <w:b w:val="0"/>
          <w:bCs w:val="0"/>
          <w:color w:val="7030A0"/>
          <w:sz w:val="16"/>
          <w:szCs w:val="16"/>
          <w:shd w:val="clear" w:color="auto" w:fill="FFFFFF"/>
        </w:rPr>
        <w:t>Dijkhuizen v the Netherlands</w:t>
      </w:r>
      <w:r w:rsidR="00404EC0" w:rsidRPr="004B5E11">
        <w:rPr>
          <w:rFonts w:cs="Arial"/>
          <w:color w:val="7030A0"/>
          <w:sz w:val="16"/>
          <w:szCs w:val="16"/>
        </w:rPr>
        <w:t xml:space="preserve"> </w:t>
      </w:r>
      <w:r w:rsidR="00E02A04" w:rsidRPr="004B5E11">
        <w:rPr>
          <w:rStyle w:val="Emphasis"/>
          <w:rFonts w:cs="Arial"/>
          <w:color w:val="7030A0"/>
          <w:sz w:val="16"/>
          <w:szCs w:val="16"/>
          <w:shd w:val="clear" w:color="auto" w:fill="FFFFFF"/>
        </w:rPr>
        <w:t>(Application no. 61591/16)</w:t>
      </w:r>
      <w:r w:rsidR="00404EC0" w:rsidRPr="004B5E11">
        <w:rPr>
          <w:rStyle w:val="Emphasis"/>
          <w:rFonts w:cs="Arial"/>
          <w:color w:val="7030A0"/>
          <w:sz w:val="16"/>
          <w:szCs w:val="16"/>
          <w:shd w:val="clear" w:color="auto" w:fill="FFFFFF"/>
        </w:rPr>
        <w:t xml:space="preserve"> </w:t>
      </w:r>
      <w:r w:rsidR="00404EC0" w:rsidRPr="004B5E11">
        <w:rPr>
          <w:rFonts w:cs="Arial"/>
          <w:color w:val="7030A0"/>
          <w:sz w:val="16"/>
          <w:szCs w:val="16"/>
          <w:shd w:val="clear" w:color="auto" w:fill="FFFFFF"/>
        </w:rPr>
        <w:t>8 June 2021,</w:t>
      </w:r>
      <w:r w:rsidR="00E02A04" w:rsidRPr="004B5E11">
        <w:rPr>
          <w:rStyle w:val="Emphasis"/>
          <w:rFonts w:cs="Arial"/>
          <w:i w:val="0"/>
          <w:iCs w:val="0"/>
          <w:color w:val="7030A0"/>
          <w:sz w:val="16"/>
          <w:szCs w:val="16"/>
          <w:shd w:val="clear" w:color="auto" w:fill="FFFFFF"/>
        </w:rPr>
        <w:t xml:space="preserve"> </w:t>
      </w:r>
      <w:r w:rsidR="00AD7072" w:rsidRPr="004B5E11">
        <w:rPr>
          <w:rStyle w:val="Emphasis"/>
          <w:rFonts w:cs="Arial"/>
          <w:i w:val="0"/>
          <w:iCs w:val="0"/>
          <w:color w:val="7030A0"/>
          <w:sz w:val="16"/>
          <w:szCs w:val="16"/>
          <w:shd w:val="clear" w:color="auto" w:fill="FFFFFF"/>
        </w:rPr>
        <w:t xml:space="preserve">at </w:t>
      </w:r>
      <w:r w:rsidR="00404EC0" w:rsidRPr="004B5E11">
        <w:rPr>
          <w:color w:val="7030A0"/>
          <w:sz w:val="16"/>
          <w:szCs w:val="16"/>
        </w:rPr>
        <w:t>p</w:t>
      </w:r>
      <w:r w:rsidRPr="004B5E11">
        <w:rPr>
          <w:color w:val="7030A0"/>
          <w:sz w:val="16"/>
          <w:szCs w:val="16"/>
        </w:rPr>
        <w:t>ara 53</w:t>
      </w:r>
      <w:r w:rsidR="00AD7072" w:rsidRPr="004B5E11">
        <w:rPr>
          <w:color w:val="7030A0"/>
          <w:sz w:val="16"/>
          <w:szCs w:val="16"/>
        </w:rPr>
        <w:t>.</w:t>
      </w:r>
    </w:p>
  </w:footnote>
  <w:footnote w:id="11">
    <w:p w14:paraId="5BF785A7" w14:textId="32AFBC99" w:rsidR="00515E0A" w:rsidRPr="004B5E11" w:rsidRDefault="00515E0A" w:rsidP="00515E0A">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w:t>
      </w:r>
      <w:r w:rsidR="00404EC0" w:rsidRPr="004B5E11">
        <w:rPr>
          <w:color w:val="7030A0"/>
          <w:sz w:val="16"/>
          <w:szCs w:val="16"/>
        </w:rPr>
        <w:t xml:space="preserve">Yevdokimov and Others v Russia (Applications nos. 27236/05, 44223/05, 53304/07, 40232/11, 60052/11, 76438/11, 14919/12, 19929/12, 42389/12, 57043/12 and 67481/12) 16 February 2016, </w:t>
      </w:r>
      <w:r w:rsidR="002258E5" w:rsidRPr="004B5E11">
        <w:rPr>
          <w:color w:val="7030A0"/>
          <w:sz w:val="16"/>
          <w:szCs w:val="16"/>
        </w:rPr>
        <w:t xml:space="preserve">at </w:t>
      </w:r>
      <w:r w:rsidR="00404EC0" w:rsidRPr="004B5E11">
        <w:rPr>
          <w:color w:val="7030A0"/>
          <w:sz w:val="16"/>
          <w:szCs w:val="16"/>
        </w:rPr>
        <w:t>p</w:t>
      </w:r>
      <w:r w:rsidRPr="004B5E11">
        <w:rPr>
          <w:color w:val="7030A0"/>
          <w:sz w:val="16"/>
          <w:szCs w:val="16"/>
        </w:rPr>
        <w:t>ara 43</w:t>
      </w:r>
      <w:r w:rsidR="00404EC0" w:rsidRPr="004B5E11">
        <w:rPr>
          <w:color w:val="7030A0"/>
          <w:sz w:val="16"/>
          <w:szCs w:val="16"/>
        </w:rPr>
        <w:t>.</w:t>
      </w:r>
      <w:r w:rsidRPr="004B5E11">
        <w:rPr>
          <w:color w:val="7030A0"/>
          <w:sz w:val="16"/>
          <w:szCs w:val="16"/>
        </w:rPr>
        <w:t xml:space="preserve"> See further, </w:t>
      </w:r>
      <w:r w:rsidRPr="004B5E11">
        <w:rPr>
          <w:rStyle w:val="s6b621b36"/>
          <w:rFonts w:cs="Arial"/>
          <w:i/>
          <w:iCs/>
          <w:color w:val="7030A0"/>
          <w:sz w:val="16"/>
          <w:szCs w:val="16"/>
          <w:shd w:val="clear" w:color="auto" w:fill="FFFFFF"/>
        </w:rPr>
        <w:t>Sakhnovskiy v. Russia </w:t>
      </w:r>
      <w:r w:rsidRPr="004B5E11">
        <w:rPr>
          <w:rStyle w:val="sb8d990e2"/>
          <w:rFonts w:cs="Arial"/>
          <w:color w:val="7030A0"/>
          <w:sz w:val="16"/>
          <w:szCs w:val="16"/>
          <w:shd w:val="clear" w:color="auto" w:fill="FFFFFF"/>
        </w:rPr>
        <w:t xml:space="preserve">[GC], </w:t>
      </w:r>
      <w:r w:rsidR="00404EC0" w:rsidRPr="004B5E11">
        <w:rPr>
          <w:rStyle w:val="sb8d990e2"/>
          <w:rFonts w:cs="Arial"/>
          <w:color w:val="7030A0"/>
          <w:sz w:val="16"/>
          <w:szCs w:val="16"/>
          <w:shd w:val="clear" w:color="auto" w:fill="FFFFFF"/>
        </w:rPr>
        <w:t xml:space="preserve">(Application </w:t>
      </w:r>
      <w:r w:rsidRPr="004B5E11">
        <w:rPr>
          <w:rStyle w:val="sb8d990e2"/>
          <w:rFonts w:cs="Arial"/>
          <w:color w:val="7030A0"/>
          <w:sz w:val="16"/>
          <w:szCs w:val="16"/>
          <w:shd w:val="clear" w:color="auto" w:fill="FFFFFF"/>
        </w:rPr>
        <w:t>no. </w:t>
      </w:r>
      <w:hyperlink r:id="rId1" w:anchor="{%22appno%22:[%2221272/03%22]}" w:tgtFrame="_blank" w:history="1">
        <w:r w:rsidRPr="004B5E11">
          <w:rPr>
            <w:rStyle w:val="Hyperlink"/>
            <w:rFonts w:cs="Arial"/>
            <w:color w:val="7030A0"/>
            <w:sz w:val="16"/>
            <w:szCs w:val="16"/>
          </w:rPr>
          <w:t>21272/03</w:t>
        </w:r>
      </w:hyperlink>
      <w:r w:rsidR="00404EC0" w:rsidRPr="004B5E11">
        <w:rPr>
          <w:rStyle w:val="Hyperlink"/>
          <w:rFonts w:cs="Arial"/>
          <w:color w:val="7030A0"/>
          <w:sz w:val="16"/>
          <w:szCs w:val="16"/>
        </w:rPr>
        <w:t>)</w:t>
      </w:r>
      <w:r w:rsidR="00404EC0" w:rsidRPr="004B5E11">
        <w:rPr>
          <w:rStyle w:val="sb8d990e2"/>
          <w:rFonts w:cs="Arial"/>
          <w:color w:val="7030A0"/>
          <w:sz w:val="16"/>
          <w:szCs w:val="16"/>
          <w:shd w:val="clear" w:color="auto" w:fill="FFFFFF"/>
        </w:rPr>
        <w:t xml:space="preserve"> 2 November 2010, </w:t>
      </w:r>
      <w:r w:rsidR="002258E5" w:rsidRPr="004B5E11">
        <w:rPr>
          <w:rStyle w:val="sb8d990e2"/>
          <w:rFonts w:cs="Arial"/>
          <w:color w:val="7030A0"/>
          <w:sz w:val="16"/>
          <w:szCs w:val="16"/>
          <w:shd w:val="clear" w:color="auto" w:fill="FFFFFF"/>
        </w:rPr>
        <w:t xml:space="preserve">at </w:t>
      </w:r>
      <w:r w:rsidR="00404EC0" w:rsidRPr="004B5E11">
        <w:rPr>
          <w:rStyle w:val="sb8d990e2"/>
          <w:rFonts w:cs="Arial"/>
          <w:color w:val="7030A0"/>
          <w:sz w:val="16"/>
          <w:szCs w:val="16"/>
          <w:shd w:val="clear" w:color="auto" w:fill="FFFFFF"/>
        </w:rPr>
        <w:t>para</w:t>
      </w:r>
      <w:r w:rsidRPr="004B5E11">
        <w:rPr>
          <w:rStyle w:val="sb8d990e2"/>
          <w:rFonts w:cs="Arial"/>
          <w:color w:val="7030A0"/>
          <w:sz w:val="16"/>
          <w:szCs w:val="16"/>
          <w:shd w:val="clear" w:color="auto" w:fill="FFFFFF"/>
        </w:rPr>
        <w:t> 98</w:t>
      </w:r>
      <w:r w:rsidR="002258E5" w:rsidRPr="004B5E11">
        <w:rPr>
          <w:rStyle w:val="sb8d990e2"/>
          <w:rFonts w:cs="Arial"/>
          <w:color w:val="7030A0"/>
          <w:sz w:val="16"/>
          <w:szCs w:val="16"/>
          <w:shd w:val="clear" w:color="auto" w:fill="FFFFFF"/>
        </w:rPr>
        <w:t>.</w:t>
      </w:r>
    </w:p>
  </w:footnote>
  <w:footnote w:id="12">
    <w:p w14:paraId="4131F751" w14:textId="0950F6DE" w:rsidR="00515E0A" w:rsidRPr="004B5E11" w:rsidRDefault="00515E0A" w:rsidP="00515E0A">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w:t>
      </w:r>
      <w:r w:rsidR="00404EC0" w:rsidRPr="004B5E11">
        <w:rPr>
          <w:color w:val="7030A0"/>
          <w:sz w:val="16"/>
          <w:szCs w:val="16"/>
        </w:rPr>
        <w:t xml:space="preserve">Yevdokimov and Others v Russia </w:t>
      </w:r>
      <w:r w:rsidRPr="004B5E11">
        <w:rPr>
          <w:color w:val="7030A0"/>
          <w:sz w:val="16"/>
          <w:szCs w:val="16"/>
        </w:rPr>
        <w:t>(Applications nos. 27236/05, 44223/05, 53304/07, 40232/11, 60052/11, 76438/11, 14919/12, 19929/12, 42389/12, 57043/12 and 67481/12)</w:t>
      </w:r>
      <w:r w:rsidR="00404EC0" w:rsidRPr="004B5E11">
        <w:rPr>
          <w:color w:val="7030A0"/>
          <w:sz w:val="16"/>
          <w:szCs w:val="16"/>
        </w:rPr>
        <w:t xml:space="preserve"> 16 February 2016</w:t>
      </w:r>
      <w:r w:rsidRPr="004B5E11">
        <w:rPr>
          <w:color w:val="7030A0"/>
          <w:sz w:val="16"/>
          <w:szCs w:val="16"/>
        </w:rPr>
        <w:t xml:space="preserve">, </w:t>
      </w:r>
      <w:r w:rsidR="002258E5" w:rsidRPr="004B5E11">
        <w:rPr>
          <w:color w:val="7030A0"/>
          <w:sz w:val="16"/>
          <w:szCs w:val="16"/>
        </w:rPr>
        <w:t xml:space="preserve">at </w:t>
      </w:r>
      <w:r w:rsidRPr="004B5E11">
        <w:rPr>
          <w:color w:val="7030A0"/>
          <w:sz w:val="16"/>
          <w:szCs w:val="16"/>
        </w:rPr>
        <w:t>para 51</w:t>
      </w:r>
      <w:r w:rsidR="002258E5" w:rsidRPr="004B5E11">
        <w:rPr>
          <w:color w:val="7030A0"/>
          <w:sz w:val="16"/>
          <w:szCs w:val="16"/>
        </w:rPr>
        <w:t>.</w:t>
      </w:r>
    </w:p>
  </w:footnote>
  <w:footnote w:id="13">
    <w:p w14:paraId="027C8DB8" w14:textId="4F492406" w:rsidR="007B3E0B" w:rsidRPr="004B5E11" w:rsidRDefault="007B3E0B" w:rsidP="007B3E0B">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w:t>
      </w:r>
      <w:r w:rsidR="00404EC0" w:rsidRPr="004B5E11">
        <w:rPr>
          <w:color w:val="7030A0"/>
          <w:sz w:val="16"/>
          <w:szCs w:val="16"/>
        </w:rPr>
        <w:t xml:space="preserve">Asadbeyli and Others v (Applications nos. 3653/05, 14729/05, 20908/05, 26242/05, 36083/05 and 16519/06) 11 December 2012, </w:t>
      </w:r>
      <w:r w:rsidR="002258E5" w:rsidRPr="004B5E11">
        <w:rPr>
          <w:color w:val="7030A0"/>
          <w:sz w:val="16"/>
          <w:szCs w:val="16"/>
        </w:rPr>
        <w:t xml:space="preserve">at </w:t>
      </w:r>
      <w:r w:rsidR="00404EC0" w:rsidRPr="004B5E11">
        <w:rPr>
          <w:color w:val="7030A0"/>
          <w:sz w:val="16"/>
          <w:szCs w:val="16"/>
        </w:rPr>
        <w:t>p</w:t>
      </w:r>
      <w:r w:rsidRPr="004B5E11">
        <w:rPr>
          <w:color w:val="7030A0"/>
          <w:sz w:val="16"/>
          <w:szCs w:val="16"/>
        </w:rPr>
        <w:t>ara 134</w:t>
      </w:r>
      <w:r w:rsidR="002258E5" w:rsidRPr="004B5E11">
        <w:rPr>
          <w:color w:val="7030A0"/>
          <w:sz w:val="16"/>
          <w:szCs w:val="16"/>
        </w:rPr>
        <w:t>.</w:t>
      </w:r>
    </w:p>
  </w:footnote>
  <w:footnote w:id="14">
    <w:p w14:paraId="7F558BFB" w14:textId="54D5AA58" w:rsidR="007B3E0B" w:rsidRPr="004B5E11" w:rsidRDefault="007B3E0B" w:rsidP="007B3E0B">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w:t>
      </w:r>
      <w:r w:rsidR="00323EB1" w:rsidRPr="004B5E11">
        <w:rPr>
          <w:color w:val="7030A0"/>
          <w:sz w:val="16"/>
          <w:szCs w:val="16"/>
        </w:rPr>
        <w:t>Gani v Spain</w:t>
      </w:r>
      <w:r w:rsidRPr="004B5E11">
        <w:rPr>
          <w:color w:val="7030A0"/>
          <w:sz w:val="16"/>
          <w:szCs w:val="16"/>
        </w:rPr>
        <w:t xml:space="preserve"> (Application no. 61800/08) </w:t>
      </w:r>
      <w:r w:rsidR="00404EC0" w:rsidRPr="004B5E11">
        <w:rPr>
          <w:color w:val="7030A0"/>
          <w:sz w:val="16"/>
          <w:szCs w:val="16"/>
        </w:rPr>
        <w:t xml:space="preserve">19 February 2013, </w:t>
      </w:r>
      <w:r w:rsidR="002258E5" w:rsidRPr="004B5E11">
        <w:rPr>
          <w:color w:val="7030A0"/>
          <w:sz w:val="16"/>
          <w:szCs w:val="16"/>
        </w:rPr>
        <w:t xml:space="preserve">at </w:t>
      </w:r>
      <w:r w:rsidRPr="004B5E11">
        <w:rPr>
          <w:color w:val="7030A0"/>
          <w:sz w:val="16"/>
          <w:szCs w:val="16"/>
        </w:rPr>
        <w:t>para 38</w:t>
      </w:r>
      <w:r w:rsidR="002258E5" w:rsidRPr="004B5E11">
        <w:rPr>
          <w:color w:val="7030A0"/>
          <w:sz w:val="16"/>
          <w:szCs w:val="16"/>
        </w:rPr>
        <w:t>.</w:t>
      </w:r>
    </w:p>
  </w:footnote>
  <w:footnote w:id="15">
    <w:p w14:paraId="0FE8089C" w14:textId="18148B2C" w:rsidR="007B3E0B" w:rsidRPr="004B5E11" w:rsidRDefault="007B3E0B" w:rsidP="007B3E0B">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Ibid</w:t>
      </w:r>
      <w:r w:rsidR="002258E5" w:rsidRPr="004B5E11">
        <w:rPr>
          <w:color w:val="7030A0"/>
          <w:sz w:val="16"/>
          <w:szCs w:val="16"/>
        </w:rPr>
        <w:t>.</w:t>
      </w:r>
    </w:p>
  </w:footnote>
  <w:footnote w:id="16">
    <w:p w14:paraId="758B582A" w14:textId="253DF872" w:rsidR="00CD30F3" w:rsidRPr="004B5E11" w:rsidRDefault="00CD30F3" w:rsidP="00CD30F3">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w:t>
      </w:r>
      <w:r w:rsidR="00323EB1" w:rsidRPr="004B5E11">
        <w:rPr>
          <w:color w:val="7030A0"/>
          <w:sz w:val="16"/>
          <w:szCs w:val="16"/>
        </w:rPr>
        <w:t xml:space="preserve">Asadbeyli and Others v </w:t>
      </w:r>
      <w:r w:rsidRPr="004B5E11">
        <w:rPr>
          <w:color w:val="7030A0"/>
          <w:sz w:val="16"/>
          <w:szCs w:val="16"/>
        </w:rPr>
        <w:t>(Applications nos. 3653/05, 14729/05, 20908/05, 26242/05, 36083/05 and 16519/06) 11 December 2012</w:t>
      </w:r>
      <w:r w:rsidR="00404EC0" w:rsidRPr="004B5E11">
        <w:rPr>
          <w:color w:val="7030A0"/>
          <w:sz w:val="16"/>
          <w:szCs w:val="16"/>
        </w:rPr>
        <w:t>,</w:t>
      </w:r>
      <w:r w:rsidR="002258E5" w:rsidRPr="004B5E11">
        <w:rPr>
          <w:color w:val="7030A0"/>
          <w:sz w:val="16"/>
          <w:szCs w:val="16"/>
        </w:rPr>
        <w:t xml:space="preserve"> at</w:t>
      </w:r>
      <w:r w:rsidRPr="004B5E11">
        <w:rPr>
          <w:color w:val="7030A0"/>
          <w:sz w:val="16"/>
          <w:szCs w:val="16"/>
        </w:rPr>
        <w:t xml:space="preserve"> </w:t>
      </w:r>
      <w:r w:rsidR="00404EC0" w:rsidRPr="004B5E11">
        <w:rPr>
          <w:color w:val="7030A0"/>
          <w:sz w:val="16"/>
          <w:szCs w:val="16"/>
        </w:rPr>
        <w:t>p</w:t>
      </w:r>
      <w:r w:rsidRPr="004B5E11">
        <w:rPr>
          <w:color w:val="7030A0"/>
          <w:sz w:val="16"/>
          <w:szCs w:val="16"/>
        </w:rPr>
        <w:t>ara 134</w:t>
      </w:r>
      <w:r w:rsidR="002258E5" w:rsidRPr="004B5E11">
        <w:rPr>
          <w:color w:val="7030A0"/>
          <w:sz w:val="16"/>
          <w:szCs w:val="16"/>
        </w:rPr>
        <w:t>.</w:t>
      </w:r>
    </w:p>
  </w:footnote>
  <w:footnote w:id="17">
    <w:p w14:paraId="2693571E" w14:textId="5571042E" w:rsidR="00F905C5" w:rsidRPr="004B5E11" w:rsidRDefault="00F905C5" w:rsidP="00F905C5">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w:t>
      </w:r>
      <w:r w:rsidRPr="004B5E11">
        <w:rPr>
          <w:color w:val="7030A0"/>
          <w:sz w:val="16"/>
          <w:szCs w:val="16"/>
        </w:rPr>
        <w:t>Sakhnovskiy v. Russia [GC] - 21272/03 November 2010</w:t>
      </w:r>
      <w:r w:rsidR="002258E5" w:rsidRPr="004B5E11">
        <w:rPr>
          <w:color w:val="7030A0"/>
          <w:sz w:val="16"/>
          <w:szCs w:val="16"/>
        </w:rPr>
        <w:t>.</w:t>
      </w:r>
    </w:p>
  </w:footnote>
  <w:footnote w:id="18">
    <w:p w14:paraId="5045E61D" w14:textId="13785357" w:rsidR="00F932B9" w:rsidRPr="004B5E11" w:rsidRDefault="00F932B9" w:rsidP="00F876FB">
      <w:pPr>
        <w:pStyle w:val="NIHRCFootnotes"/>
        <w:rPr>
          <w:color w:val="7030A0"/>
        </w:rPr>
      </w:pPr>
      <w:r w:rsidRPr="004B5E11">
        <w:rPr>
          <w:rStyle w:val="FootnoteReference"/>
          <w:color w:val="7030A0"/>
        </w:rPr>
        <w:footnoteRef/>
      </w:r>
      <w:r w:rsidRPr="004B5E11">
        <w:rPr>
          <w:color w:val="7030A0"/>
        </w:rPr>
        <w:t xml:space="preserve"> </w:t>
      </w:r>
      <w:r w:rsidRPr="004B5E11">
        <w:rPr>
          <w:iCs/>
          <w:color w:val="7030A0"/>
        </w:rPr>
        <w:t>Altay v Turkey</w:t>
      </w:r>
      <w:r w:rsidR="001C1EC3" w:rsidRPr="004B5E11">
        <w:rPr>
          <w:color w:val="7030A0"/>
        </w:rPr>
        <w:t xml:space="preserve"> (No 2) (2019) ECHR 276</w:t>
      </w:r>
      <w:r w:rsidR="00FA3686" w:rsidRPr="004B5E11">
        <w:rPr>
          <w:color w:val="7030A0"/>
        </w:rPr>
        <w:t>,</w:t>
      </w:r>
      <w:r w:rsidR="001C1EC3" w:rsidRPr="004B5E11">
        <w:rPr>
          <w:color w:val="7030A0"/>
        </w:rPr>
        <w:t xml:space="preserve"> at</w:t>
      </w:r>
      <w:r w:rsidR="00FA3686" w:rsidRPr="004B5E11">
        <w:rPr>
          <w:color w:val="7030A0"/>
        </w:rPr>
        <w:t xml:space="preserve"> para 49</w:t>
      </w:r>
      <w:r w:rsidR="001C1EC3" w:rsidRPr="004B5E11">
        <w:rPr>
          <w:color w:val="7030A0"/>
        </w:rPr>
        <w:t>.</w:t>
      </w:r>
    </w:p>
  </w:footnote>
  <w:footnote w:id="19">
    <w:p w14:paraId="4B545D25" w14:textId="238C5C1C" w:rsidR="0025434C" w:rsidRPr="004B5E11" w:rsidRDefault="0025434C">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w:t>
      </w:r>
      <w:r w:rsidR="007705A2" w:rsidRPr="004B5E11">
        <w:rPr>
          <w:color w:val="7030A0"/>
          <w:sz w:val="16"/>
          <w:szCs w:val="16"/>
        </w:rPr>
        <w:t>CCPR/C/GC/32, ‘UN Human Rights Committee</w:t>
      </w:r>
      <w:r w:rsidRPr="004B5E11">
        <w:rPr>
          <w:color w:val="7030A0"/>
          <w:sz w:val="16"/>
          <w:szCs w:val="16"/>
        </w:rPr>
        <w:t xml:space="preserve"> </w:t>
      </w:r>
      <w:r w:rsidR="00EF16FE" w:rsidRPr="004B5E11">
        <w:rPr>
          <w:color w:val="7030A0"/>
          <w:sz w:val="16"/>
          <w:szCs w:val="16"/>
        </w:rPr>
        <w:t>General comment no. 32: Article 14, Right to equality before courts and tribunals and to fair trial</w:t>
      </w:r>
      <w:r w:rsidR="007705A2" w:rsidRPr="004B5E11">
        <w:rPr>
          <w:color w:val="7030A0"/>
          <w:sz w:val="16"/>
          <w:szCs w:val="16"/>
        </w:rPr>
        <w:t>’ (23 August 2007)</w:t>
      </w:r>
      <w:r w:rsidRPr="004B5E11">
        <w:rPr>
          <w:color w:val="7030A0"/>
          <w:sz w:val="16"/>
          <w:szCs w:val="16"/>
        </w:rPr>
        <w:t>,</w:t>
      </w:r>
      <w:r w:rsidR="00160BAD" w:rsidRPr="004B5E11">
        <w:rPr>
          <w:color w:val="7030A0"/>
          <w:sz w:val="16"/>
          <w:szCs w:val="16"/>
        </w:rPr>
        <w:t xml:space="preserve"> at</w:t>
      </w:r>
      <w:r w:rsidRPr="004B5E11">
        <w:rPr>
          <w:color w:val="7030A0"/>
          <w:sz w:val="16"/>
          <w:szCs w:val="16"/>
        </w:rPr>
        <w:t xml:space="preserve"> paras 32</w:t>
      </w:r>
      <w:r w:rsidR="00160BAD" w:rsidRPr="004B5E11">
        <w:rPr>
          <w:color w:val="7030A0"/>
          <w:sz w:val="16"/>
          <w:szCs w:val="16"/>
        </w:rPr>
        <w:t xml:space="preserve"> and</w:t>
      </w:r>
      <w:r w:rsidRPr="004B5E11">
        <w:rPr>
          <w:color w:val="7030A0"/>
          <w:sz w:val="16"/>
          <w:szCs w:val="16"/>
        </w:rPr>
        <w:t xml:space="preserve"> 34.</w:t>
      </w:r>
    </w:p>
  </w:footnote>
  <w:footnote w:id="20">
    <w:p w14:paraId="7FAD6678" w14:textId="77777777" w:rsidR="00F905C5" w:rsidRPr="004B5E11" w:rsidRDefault="00F905C5" w:rsidP="00F905C5">
      <w:pPr>
        <w:pStyle w:val="NIHRCFootnotes"/>
        <w:rPr>
          <w:color w:val="7030A0"/>
        </w:rPr>
      </w:pPr>
      <w:r w:rsidRPr="004B5E11">
        <w:rPr>
          <w:rStyle w:val="FootnoteReference"/>
          <w:color w:val="7030A0"/>
        </w:rPr>
        <w:footnoteRef/>
      </w:r>
      <w:r w:rsidRPr="004B5E11">
        <w:rPr>
          <w:color w:val="7030A0"/>
        </w:rPr>
        <w:t xml:space="preserve"> CRPD/C/GBR/CO/1, ‘UN CRPD Committee Concluding Observations on the Initial Report of the UK of Great Britain and NI’, 29 August 2017, at para 33(a).</w:t>
      </w:r>
    </w:p>
  </w:footnote>
  <w:footnote w:id="21">
    <w:p w14:paraId="201043FF" w14:textId="0191CC15" w:rsidR="007B3E0B" w:rsidRPr="004B5E11" w:rsidRDefault="007B3E0B">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w:t>
      </w:r>
      <w:r w:rsidR="00323EB1" w:rsidRPr="004B5E11">
        <w:rPr>
          <w:color w:val="7030A0"/>
          <w:sz w:val="16"/>
          <w:szCs w:val="16"/>
        </w:rPr>
        <w:t xml:space="preserve">Department of Justice, </w:t>
      </w:r>
      <w:r w:rsidR="002F23E0" w:rsidRPr="004B5E11">
        <w:rPr>
          <w:color w:val="7030A0"/>
          <w:sz w:val="16"/>
          <w:szCs w:val="16"/>
        </w:rPr>
        <w:t>‘</w:t>
      </w:r>
      <w:r w:rsidR="00323EB1" w:rsidRPr="004B5E11">
        <w:rPr>
          <w:color w:val="7030A0"/>
          <w:sz w:val="16"/>
          <w:szCs w:val="16"/>
        </w:rPr>
        <w:t>Consultation paper: Audio and Video links (Live Links) for Northern Ireland Court and Tribunal Hearings</w:t>
      </w:r>
      <w:r w:rsidR="002F23E0" w:rsidRPr="004B5E11">
        <w:rPr>
          <w:color w:val="7030A0"/>
          <w:sz w:val="16"/>
          <w:szCs w:val="16"/>
        </w:rPr>
        <w:t>’</w:t>
      </w:r>
      <w:r w:rsidR="00323EB1" w:rsidRPr="004B5E11">
        <w:rPr>
          <w:color w:val="7030A0"/>
          <w:sz w:val="16"/>
          <w:szCs w:val="16"/>
        </w:rPr>
        <w:t xml:space="preserve"> </w:t>
      </w:r>
      <w:r w:rsidR="002F23E0" w:rsidRPr="004B5E11">
        <w:rPr>
          <w:color w:val="7030A0"/>
          <w:sz w:val="16"/>
          <w:szCs w:val="16"/>
        </w:rPr>
        <w:t xml:space="preserve">(DOJ, </w:t>
      </w:r>
      <w:r w:rsidR="00323EB1" w:rsidRPr="004B5E11">
        <w:rPr>
          <w:color w:val="7030A0"/>
          <w:sz w:val="16"/>
          <w:szCs w:val="16"/>
        </w:rPr>
        <w:t>2022</w:t>
      </w:r>
      <w:r w:rsidR="002F23E0" w:rsidRPr="004B5E11">
        <w:rPr>
          <w:color w:val="7030A0"/>
          <w:sz w:val="16"/>
          <w:szCs w:val="16"/>
        </w:rPr>
        <w:t>)</w:t>
      </w:r>
      <w:r w:rsidR="00323EB1" w:rsidRPr="004B5E11">
        <w:rPr>
          <w:color w:val="7030A0"/>
          <w:sz w:val="16"/>
          <w:szCs w:val="16"/>
        </w:rPr>
        <w:t>,</w:t>
      </w:r>
      <w:r w:rsidR="00A217DF" w:rsidRPr="004B5E11">
        <w:rPr>
          <w:color w:val="7030A0"/>
          <w:sz w:val="16"/>
          <w:szCs w:val="16"/>
        </w:rPr>
        <w:t xml:space="preserve"> at</w:t>
      </w:r>
      <w:r w:rsidR="00323EB1" w:rsidRPr="004B5E11">
        <w:rPr>
          <w:color w:val="7030A0"/>
          <w:sz w:val="16"/>
          <w:szCs w:val="16"/>
        </w:rPr>
        <w:t xml:space="preserve"> p</w:t>
      </w:r>
      <w:r w:rsidRPr="004B5E11">
        <w:rPr>
          <w:color w:val="7030A0"/>
          <w:sz w:val="16"/>
          <w:szCs w:val="16"/>
        </w:rPr>
        <w:t>ara 8.18</w:t>
      </w:r>
      <w:r w:rsidR="00160BAD" w:rsidRPr="004B5E11">
        <w:rPr>
          <w:color w:val="7030A0"/>
          <w:sz w:val="16"/>
          <w:szCs w:val="16"/>
        </w:rPr>
        <w:t>.</w:t>
      </w:r>
    </w:p>
  </w:footnote>
  <w:footnote w:id="22">
    <w:p w14:paraId="25666E49" w14:textId="1F15549F" w:rsidR="002179AE" w:rsidRPr="004B5E11" w:rsidRDefault="002179AE">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w:t>
      </w:r>
      <w:r w:rsidR="00A217DF" w:rsidRPr="004B5E11">
        <w:rPr>
          <w:color w:val="7030A0"/>
          <w:sz w:val="16"/>
          <w:szCs w:val="16"/>
        </w:rPr>
        <w:t>Magistrate’s Association, ‘Magistrates’ courts and Covid-19: Magistrates’ experiences in criminal courts during the pandemic’ (April 2022).</w:t>
      </w:r>
    </w:p>
  </w:footnote>
  <w:footnote w:id="23">
    <w:p w14:paraId="1B338922" w14:textId="74918C71" w:rsidR="008A7EB3" w:rsidRPr="004B5E11" w:rsidRDefault="008A7EB3">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Ibid, </w:t>
      </w:r>
      <w:r w:rsidR="00A217DF" w:rsidRPr="004B5E11">
        <w:rPr>
          <w:color w:val="7030A0"/>
          <w:sz w:val="16"/>
          <w:szCs w:val="16"/>
        </w:rPr>
        <w:t>at</w:t>
      </w:r>
      <w:r w:rsidRPr="004B5E11">
        <w:rPr>
          <w:color w:val="7030A0"/>
          <w:sz w:val="16"/>
          <w:szCs w:val="16"/>
        </w:rPr>
        <w:t xml:space="preserve"> 30</w:t>
      </w:r>
      <w:r w:rsidR="00A217DF" w:rsidRPr="004B5E11">
        <w:rPr>
          <w:color w:val="7030A0"/>
          <w:sz w:val="16"/>
          <w:szCs w:val="16"/>
        </w:rPr>
        <w:t>.</w:t>
      </w:r>
    </w:p>
  </w:footnote>
  <w:footnote w:id="24">
    <w:p w14:paraId="4BB5A7D0" w14:textId="5383C043" w:rsidR="00AE4B1B" w:rsidRPr="004B5E11" w:rsidRDefault="00AE4B1B">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w:t>
      </w:r>
      <w:r w:rsidR="008A7EB3" w:rsidRPr="004B5E11">
        <w:rPr>
          <w:color w:val="7030A0"/>
          <w:sz w:val="16"/>
          <w:szCs w:val="16"/>
        </w:rPr>
        <w:t xml:space="preserve">Law Society of England &amp; </w:t>
      </w:r>
      <w:r w:rsidR="008A7EB3" w:rsidRPr="004B5E11">
        <w:rPr>
          <w:color w:val="7030A0"/>
          <w:sz w:val="16"/>
          <w:szCs w:val="16"/>
        </w:rPr>
        <w:t>Wales ,</w:t>
      </w:r>
      <w:r w:rsidR="00A217DF" w:rsidRPr="004B5E11">
        <w:rPr>
          <w:color w:val="7030A0"/>
          <w:sz w:val="16"/>
          <w:szCs w:val="16"/>
        </w:rPr>
        <w:t>’</w:t>
      </w:r>
      <w:r w:rsidR="008A7EB3" w:rsidRPr="004B5E11">
        <w:rPr>
          <w:color w:val="7030A0"/>
          <w:sz w:val="16"/>
          <w:szCs w:val="16"/>
        </w:rPr>
        <w:t xml:space="preserve"> </w:t>
      </w:r>
      <w:r w:rsidRPr="004B5E11">
        <w:rPr>
          <w:color w:val="7030A0"/>
          <w:sz w:val="16"/>
          <w:szCs w:val="16"/>
        </w:rPr>
        <w:t>Law under lockdown: the impact of COVID-19 measures on access to justice and vulnerable people</w:t>
      </w:r>
      <w:r w:rsidR="00A217DF" w:rsidRPr="004B5E11">
        <w:rPr>
          <w:color w:val="7030A0"/>
          <w:sz w:val="16"/>
          <w:szCs w:val="16"/>
        </w:rPr>
        <w:t>’ (</w:t>
      </w:r>
      <w:r w:rsidR="008A7EB3" w:rsidRPr="004B5E11">
        <w:rPr>
          <w:color w:val="7030A0"/>
          <w:sz w:val="16"/>
          <w:szCs w:val="16"/>
        </w:rPr>
        <w:t>2020</w:t>
      </w:r>
      <w:r w:rsidR="00A217DF" w:rsidRPr="004B5E11">
        <w:rPr>
          <w:color w:val="7030A0"/>
          <w:sz w:val="16"/>
          <w:szCs w:val="16"/>
        </w:rPr>
        <w:t>).</w:t>
      </w:r>
    </w:p>
  </w:footnote>
  <w:footnote w:id="25">
    <w:p w14:paraId="38BEE036" w14:textId="6234614D" w:rsidR="00703ED9" w:rsidRPr="004B5E11" w:rsidRDefault="00703ED9" w:rsidP="006A7467">
      <w:pPr>
        <w:pStyle w:val="NIHRCFootnotes"/>
        <w:rPr>
          <w:color w:val="7030A0"/>
        </w:rPr>
      </w:pPr>
      <w:r w:rsidRPr="004B5E11">
        <w:rPr>
          <w:rStyle w:val="FootnoteReference"/>
          <w:color w:val="7030A0"/>
        </w:rPr>
        <w:footnoteRef/>
      </w:r>
      <w:r w:rsidRPr="004B5E11">
        <w:rPr>
          <w:color w:val="7030A0"/>
        </w:rPr>
        <w:t xml:space="preserve"> Equality and Human Rights Commission, ‘Interim Evidence Report on ‘Inclusive Justice: A System Designed for All’ (ECHR, 2020).</w:t>
      </w:r>
    </w:p>
  </w:footnote>
  <w:footnote w:id="26">
    <w:p w14:paraId="31122BC4" w14:textId="77777777" w:rsidR="00527929" w:rsidRPr="004B5E11" w:rsidRDefault="00527929" w:rsidP="00527929">
      <w:pPr>
        <w:pStyle w:val="NIHRCFootnotes"/>
        <w:rPr>
          <w:color w:val="7030A0"/>
        </w:rPr>
      </w:pPr>
      <w:r w:rsidRPr="004B5E11">
        <w:rPr>
          <w:rStyle w:val="FootnoteReference"/>
          <w:color w:val="7030A0"/>
        </w:rPr>
        <w:footnoteRef/>
      </w:r>
      <w:r w:rsidRPr="004B5E11">
        <w:rPr>
          <w:color w:val="7030A0"/>
        </w:rPr>
        <w:t xml:space="preserve"> Article 1, </w:t>
      </w:r>
      <w:bookmarkStart w:id="7" w:name="_Hlk113447436"/>
      <w:bookmarkStart w:id="8" w:name="_Hlk113531562"/>
      <w:r w:rsidRPr="004B5E11">
        <w:rPr>
          <w:color w:val="7030A0"/>
        </w:rPr>
        <w:t>Directive 2012/29/EU, ‘Directive of the European Parliament and of the Council establishing minimum standards on the rights, support and protection of victims of crime’, 25 October 2012.</w:t>
      </w:r>
      <w:bookmarkEnd w:id="7"/>
      <w:bookmarkEnd w:id="8"/>
    </w:p>
  </w:footnote>
  <w:footnote w:id="27">
    <w:p w14:paraId="663C1277" w14:textId="77777777" w:rsidR="003701FB" w:rsidRPr="004B5E11" w:rsidRDefault="003701FB" w:rsidP="003701FB">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w:t>
      </w:r>
      <w:r w:rsidRPr="004B5E11">
        <w:rPr>
          <w:rFonts w:cstheme="minorHAnsi"/>
          <w:color w:val="7030A0"/>
          <w:sz w:val="16"/>
          <w:szCs w:val="16"/>
        </w:rPr>
        <w:t>Recitals 34-36, Directive 2012/29/EU, ‘Directive of the European Parliament and of the Council establishing minimum standards on the rights, support and protection of victims of crime’, 25 October 2012.</w:t>
      </w:r>
    </w:p>
  </w:footnote>
  <w:footnote w:id="28">
    <w:p w14:paraId="6B51C96A" w14:textId="77777777" w:rsidR="003701FB" w:rsidRPr="004B5E11" w:rsidRDefault="003701FB" w:rsidP="003701FB">
      <w:pPr>
        <w:pStyle w:val="NIHRCFootnotes"/>
        <w:rPr>
          <w:color w:val="7030A0"/>
        </w:rPr>
      </w:pPr>
      <w:r w:rsidRPr="004B5E11">
        <w:rPr>
          <w:rStyle w:val="FootnoteReference"/>
          <w:color w:val="7030A0"/>
        </w:rPr>
        <w:footnoteRef/>
      </w:r>
      <w:r w:rsidRPr="004B5E11">
        <w:rPr>
          <w:color w:val="7030A0"/>
        </w:rPr>
        <w:t xml:space="preserve"> Recital 15 and 21, Directive 2012/29/EU, ‘Directive of the European Parliament and of the Council establishing minimum standards on the rights, support and protection of victims of crime’, 25 October 2012.</w:t>
      </w:r>
    </w:p>
  </w:footnote>
  <w:footnote w:id="29">
    <w:p w14:paraId="3BA8C5FE" w14:textId="77777777" w:rsidR="003701FB" w:rsidRPr="004B5E11" w:rsidRDefault="003701FB" w:rsidP="003701FB">
      <w:pPr>
        <w:pStyle w:val="NIHRCFootnotes"/>
        <w:rPr>
          <w:color w:val="7030A0"/>
        </w:rPr>
      </w:pPr>
      <w:r w:rsidRPr="004B5E11">
        <w:rPr>
          <w:rStyle w:val="FootnoteReference"/>
          <w:color w:val="7030A0"/>
        </w:rPr>
        <w:footnoteRef/>
      </w:r>
      <w:r w:rsidRPr="004B5E11">
        <w:rPr>
          <w:color w:val="7030A0"/>
        </w:rPr>
        <w:t xml:space="preserve"> Article 3, Directive 2012/29/EU, ‘Directive of the European Parliament and of the Council establishing minimum standards on the rights, support and protection of victims of crime’, 25 October 2012.</w:t>
      </w:r>
    </w:p>
  </w:footnote>
  <w:footnote w:id="30">
    <w:p w14:paraId="74B6A2D3" w14:textId="1199F16D" w:rsidR="00464328" w:rsidRPr="004B5E11" w:rsidRDefault="00464328" w:rsidP="00464328">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Department of Justice, ‘Consultation paper: Audio and Video links (Live Links) for Northern Ireland Court and Tribunal Hearings’ (DOJ, 2022), </w:t>
      </w:r>
      <w:r w:rsidR="00994666" w:rsidRPr="004B5E11">
        <w:rPr>
          <w:color w:val="7030A0"/>
          <w:sz w:val="16"/>
          <w:szCs w:val="16"/>
        </w:rPr>
        <w:t xml:space="preserve">at </w:t>
      </w:r>
      <w:r w:rsidRPr="004B5E11">
        <w:rPr>
          <w:color w:val="7030A0"/>
          <w:sz w:val="16"/>
          <w:szCs w:val="16"/>
        </w:rPr>
        <w:t>para 8.18</w:t>
      </w:r>
      <w:r w:rsidR="00082561" w:rsidRPr="004B5E11">
        <w:rPr>
          <w:color w:val="7030A0"/>
          <w:sz w:val="16"/>
          <w:szCs w:val="16"/>
        </w:rPr>
        <w:t>.</w:t>
      </w:r>
    </w:p>
  </w:footnote>
  <w:footnote w:id="31">
    <w:p w14:paraId="7E2FB110" w14:textId="09763887" w:rsidR="000358E9" w:rsidRPr="004B5E11" w:rsidRDefault="000358E9" w:rsidP="000358E9">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w:t>
      </w:r>
      <w:bookmarkStart w:id="13" w:name="_Hlk114064974"/>
      <w:r w:rsidRPr="004B5E11">
        <w:rPr>
          <w:color w:val="7030A0"/>
          <w:sz w:val="16"/>
          <w:szCs w:val="16"/>
        </w:rPr>
        <w:t xml:space="preserve">Magistrate’s Association, </w:t>
      </w:r>
      <w:r w:rsidR="00082561" w:rsidRPr="004B5E11">
        <w:rPr>
          <w:color w:val="7030A0"/>
          <w:sz w:val="16"/>
          <w:szCs w:val="16"/>
        </w:rPr>
        <w:t>‘</w:t>
      </w:r>
      <w:r w:rsidR="002B37AC" w:rsidRPr="004B5E11">
        <w:rPr>
          <w:color w:val="7030A0"/>
          <w:sz w:val="16"/>
          <w:szCs w:val="16"/>
        </w:rPr>
        <w:t xml:space="preserve">Magistrates’ courts and Covid-19: </w:t>
      </w:r>
      <w:r w:rsidRPr="004B5E11">
        <w:rPr>
          <w:color w:val="7030A0"/>
          <w:sz w:val="16"/>
          <w:szCs w:val="16"/>
        </w:rPr>
        <w:t>Magistrates’ experiences in criminal courts during the pandemic</w:t>
      </w:r>
      <w:r w:rsidR="00082561" w:rsidRPr="004B5E11">
        <w:rPr>
          <w:color w:val="7030A0"/>
          <w:sz w:val="16"/>
          <w:szCs w:val="16"/>
        </w:rPr>
        <w:t>’</w:t>
      </w:r>
      <w:r w:rsidR="00955B28" w:rsidRPr="004B5E11">
        <w:rPr>
          <w:color w:val="7030A0"/>
          <w:sz w:val="16"/>
          <w:szCs w:val="16"/>
        </w:rPr>
        <w:t xml:space="preserve"> (April 2022)</w:t>
      </w:r>
      <w:bookmarkEnd w:id="13"/>
      <w:r w:rsidR="00C1606B" w:rsidRPr="004B5E11">
        <w:rPr>
          <w:color w:val="7030A0"/>
          <w:sz w:val="16"/>
          <w:szCs w:val="16"/>
        </w:rPr>
        <w:t>, at 30.</w:t>
      </w:r>
    </w:p>
  </w:footnote>
  <w:footnote w:id="32">
    <w:p w14:paraId="7979C573" w14:textId="7DAC639A" w:rsidR="00E35E0D" w:rsidRPr="004B5E11" w:rsidRDefault="00E35E0D" w:rsidP="00EC578D">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w:t>
      </w:r>
      <w:r w:rsidR="00C76784" w:rsidRPr="004B5E11">
        <w:rPr>
          <w:color w:val="7030A0"/>
          <w:sz w:val="16"/>
          <w:szCs w:val="16"/>
        </w:rPr>
        <w:t>Department of Justice, ‘Equality Screening Form:</w:t>
      </w:r>
      <w:r w:rsidR="00EC578D" w:rsidRPr="004B5E11">
        <w:rPr>
          <w:color w:val="7030A0"/>
          <w:sz w:val="16"/>
          <w:szCs w:val="16"/>
        </w:rPr>
        <w:t xml:space="preserve"> Audio and Video links (Live Links) for Northern Ireland Court and Tribunal Hearings (July 2022)</w:t>
      </w:r>
      <w:r w:rsidR="00F24C2E" w:rsidRPr="004B5E11">
        <w:rPr>
          <w:color w:val="7030A0"/>
          <w:sz w:val="16"/>
          <w:szCs w:val="16"/>
        </w:rPr>
        <w:t>.</w:t>
      </w:r>
    </w:p>
  </w:footnote>
  <w:footnote w:id="33">
    <w:p w14:paraId="713E64FE" w14:textId="77777777" w:rsidR="00F24C2E" w:rsidRPr="004B5E11" w:rsidRDefault="00F24C2E" w:rsidP="00F24C2E">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See para 4.3.</w:t>
      </w:r>
    </w:p>
  </w:footnote>
  <w:footnote w:id="34">
    <w:p w14:paraId="62CB85EF" w14:textId="77777777" w:rsidR="00921945" w:rsidRPr="004B5E11" w:rsidRDefault="00921945" w:rsidP="00921945">
      <w:pPr>
        <w:pStyle w:val="NIHRCFootnotes"/>
        <w:rPr>
          <w:color w:val="7030A0"/>
        </w:rPr>
      </w:pPr>
      <w:r w:rsidRPr="004B5E11">
        <w:rPr>
          <w:rStyle w:val="FootnoteReference"/>
          <w:color w:val="7030A0"/>
        </w:rPr>
        <w:footnoteRef/>
      </w:r>
      <w:r w:rsidRPr="004B5E11">
        <w:rPr>
          <w:color w:val="7030A0"/>
        </w:rPr>
        <w:t xml:space="preserve"> Article 7, Directive 2012/29/EU, ‘Directive of the European Parliament and of the Council establishing minimum standards on the rights, support and protection of victims of crime’, 25 October 2012.</w:t>
      </w:r>
    </w:p>
  </w:footnote>
  <w:footnote w:id="35">
    <w:p w14:paraId="4634A7C0" w14:textId="7F693796" w:rsidR="00921945" w:rsidRPr="004B5E11" w:rsidRDefault="00921945" w:rsidP="00921945">
      <w:pPr>
        <w:pStyle w:val="NIHRCFootnotes"/>
        <w:rPr>
          <w:color w:val="7030A0"/>
        </w:rPr>
      </w:pPr>
      <w:r w:rsidRPr="004B5E11">
        <w:rPr>
          <w:rStyle w:val="FootnoteReference"/>
          <w:color w:val="7030A0"/>
        </w:rPr>
        <w:footnoteRef/>
      </w:r>
      <w:r w:rsidRPr="004B5E11">
        <w:rPr>
          <w:color w:val="7030A0"/>
        </w:rPr>
        <w:t xml:space="preserve"> Article 7(2)</w:t>
      </w:r>
      <w:r w:rsidR="002F23E0" w:rsidRPr="004B5E11">
        <w:rPr>
          <w:color w:val="7030A0"/>
        </w:rPr>
        <w:t>,</w:t>
      </w:r>
      <w:r w:rsidRPr="004B5E11">
        <w:rPr>
          <w:color w:val="7030A0"/>
        </w:rPr>
        <w:t xml:space="preserve"> Directive 2012/29/EU, ‘Directive of the European Parliament and of the Council establishing minimum standards on the rights, support and protection of victims of crime’, 25 October 2012.</w:t>
      </w:r>
    </w:p>
  </w:footnote>
  <w:footnote w:id="36">
    <w:p w14:paraId="39F7B0D9" w14:textId="70220AC4" w:rsidR="00527929" w:rsidRPr="004B5E11" w:rsidRDefault="00527929" w:rsidP="00527929">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Article 2</w:t>
      </w:r>
      <w:bookmarkStart w:id="16" w:name="_Hlk113531841"/>
      <w:r w:rsidRPr="004B5E11">
        <w:rPr>
          <w:color w:val="7030A0"/>
          <w:sz w:val="16"/>
          <w:szCs w:val="16"/>
        </w:rPr>
        <w:t>, Directive 2010/64/EU, ‘Directive of the European Parliament and of the Council on the right to interpretation and translation in criminal proceedings’, 20 October 2010.</w:t>
      </w:r>
    </w:p>
    <w:bookmarkEnd w:id="16"/>
  </w:footnote>
  <w:footnote w:id="37">
    <w:p w14:paraId="5C30D887" w14:textId="63BFA82F" w:rsidR="007E7651" w:rsidRPr="004B5E11" w:rsidRDefault="007E7651">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Article 2(6), Directive 2010/64/EU, ‘Directive of the European Parliament and of the Council on the right to interpretation and translation in criminal proceedings’, 20 October 2010.</w:t>
      </w:r>
    </w:p>
  </w:footnote>
  <w:footnote w:id="38">
    <w:p w14:paraId="188DC1C3" w14:textId="610AFA53" w:rsidR="00542331" w:rsidRPr="004B5E11" w:rsidRDefault="00542331" w:rsidP="00542331">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Recitals 27 and Article 2(6), Directive 2010/64/EU, ‘Directive of the European Parliament and of the Council on the right to interpretation and translation in criminal proceedings’, 20 October 2010.</w:t>
      </w:r>
    </w:p>
  </w:footnote>
  <w:footnote w:id="39">
    <w:p w14:paraId="1D8050A7" w14:textId="7D323CE2" w:rsidR="00E870DA" w:rsidRPr="004B5E11" w:rsidRDefault="00E870DA" w:rsidP="00E870DA">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Recitals 32, Directive 2010/64/EU, ‘Directive of the European Parliament and of the Council on the right to interpretation and translation in criminal proceedings’, 20 October 2010.</w:t>
      </w:r>
    </w:p>
  </w:footnote>
  <w:footnote w:id="40">
    <w:p w14:paraId="6C221C54" w14:textId="0B56982D" w:rsidR="00DD17A3" w:rsidRPr="004B5E11" w:rsidRDefault="00DD17A3">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w:t>
      </w:r>
      <w:r w:rsidR="008A7EB3" w:rsidRPr="004B5E11">
        <w:rPr>
          <w:color w:val="7030A0"/>
          <w:sz w:val="16"/>
          <w:szCs w:val="16"/>
        </w:rPr>
        <w:t xml:space="preserve">Department of Justice, </w:t>
      </w:r>
      <w:r w:rsidR="002F23E0" w:rsidRPr="004B5E11">
        <w:rPr>
          <w:color w:val="7030A0"/>
          <w:sz w:val="16"/>
          <w:szCs w:val="16"/>
        </w:rPr>
        <w:t>‘</w:t>
      </w:r>
      <w:r w:rsidR="0023451A" w:rsidRPr="004B5E11">
        <w:rPr>
          <w:color w:val="7030A0"/>
          <w:sz w:val="16"/>
          <w:szCs w:val="16"/>
        </w:rPr>
        <w:t>Consultation paper</w:t>
      </w:r>
      <w:r w:rsidR="008A7EB3" w:rsidRPr="004B5E11">
        <w:rPr>
          <w:color w:val="7030A0"/>
          <w:sz w:val="16"/>
          <w:szCs w:val="16"/>
        </w:rPr>
        <w:t>: Audio and Video links (Live Links) for Northern Ireland Court and Tribunal Hearings</w:t>
      </w:r>
      <w:r w:rsidR="002F23E0" w:rsidRPr="004B5E11">
        <w:rPr>
          <w:color w:val="7030A0"/>
          <w:sz w:val="16"/>
          <w:szCs w:val="16"/>
        </w:rPr>
        <w:t xml:space="preserve">’ (DOJ, </w:t>
      </w:r>
      <w:r w:rsidR="008A7EB3" w:rsidRPr="004B5E11">
        <w:rPr>
          <w:color w:val="7030A0"/>
          <w:sz w:val="16"/>
          <w:szCs w:val="16"/>
        </w:rPr>
        <w:t>2022</w:t>
      </w:r>
      <w:r w:rsidR="002F23E0" w:rsidRPr="004B5E11">
        <w:rPr>
          <w:color w:val="7030A0"/>
          <w:sz w:val="16"/>
          <w:szCs w:val="16"/>
        </w:rPr>
        <w:t>)</w:t>
      </w:r>
      <w:r w:rsidR="008A7EB3" w:rsidRPr="004B5E11">
        <w:rPr>
          <w:color w:val="7030A0"/>
          <w:sz w:val="16"/>
          <w:szCs w:val="16"/>
        </w:rPr>
        <w:t>, para 8.20</w:t>
      </w:r>
    </w:p>
  </w:footnote>
  <w:footnote w:id="41">
    <w:p w14:paraId="254A0917" w14:textId="56E0B0F8" w:rsidR="00397023" w:rsidRPr="004B5E11" w:rsidRDefault="00397023">
      <w:pPr>
        <w:pStyle w:val="FootnoteText"/>
        <w:rPr>
          <w:b/>
          <w:bCs/>
          <w:color w:val="7030A0"/>
          <w:sz w:val="16"/>
          <w:szCs w:val="16"/>
        </w:rPr>
      </w:pPr>
      <w:r w:rsidRPr="004B5E11">
        <w:rPr>
          <w:rStyle w:val="FootnoteReference"/>
          <w:color w:val="7030A0"/>
          <w:sz w:val="16"/>
          <w:szCs w:val="16"/>
        </w:rPr>
        <w:footnoteRef/>
      </w:r>
      <w:r w:rsidRPr="004B5E11">
        <w:rPr>
          <w:color w:val="7030A0"/>
          <w:sz w:val="16"/>
          <w:szCs w:val="16"/>
        </w:rPr>
        <w:t xml:space="preserve"> </w:t>
      </w:r>
      <w:r w:rsidR="0023451A" w:rsidRPr="004B5E11">
        <w:rPr>
          <w:color w:val="7030A0"/>
          <w:sz w:val="16"/>
          <w:szCs w:val="16"/>
        </w:rPr>
        <w:t xml:space="preserve">Janet Clark, </w:t>
      </w:r>
      <w:r w:rsidR="00ED6F53" w:rsidRPr="004B5E11">
        <w:rPr>
          <w:color w:val="7030A0"/>
          <w:sz w:val="16"/>
          <w:szCs w:val="16"/>
        </w:rPr>
        <w:t>‘</w:t>
      </w:r>
      <w:r w:rsidRPr="004B5E11">
        <w:rPr>
          <w:color w:val="7030A0"/>
          <w:sz w:val="16"/>
          <w:szCs w:val="16"/>
        </w:rPr>
        <w:t>Evaluation of remote hearings during the COVID 19 pandemic Research report</w:t>
      </w:r>
      <w:r w:rsidR="00ED6F53" w:rsidRPr="004B5E11">
        <w:rPr>
          <w:color w:val="7030A0"/>
          <w:sz w:val="16"/>
          <w:szCs w:val="16"/>
        </w:rPr>
        <w:t>’</w:t>
      </w:r>
      <w:r w:rsidRPr="004B5E11">
        <w:rPr>
          <w:color w:val="7030A0"/>
          <w:sz w:val="16"/>
          <w:szCs w:val="16"/>
        </w:rPr>
        <w:t xml:space="preserve"> </w:t>
      </w:r>
      <w:r w:rsidR="00ED6F53" w:rsidRPr="004B5E11">
        <w:rPr>
          <w:color w:val="7030A0"/>
          <w:sz w:val="16"/>
          <w:szCs w:val="16"/>
        </w:rPr>
        <w:t>(</w:t>
      </w:r>
      <w:r w:rsidRPr="004B5E11">
        <w:rPr>
          <w:color w:val="7030A0"/>
          <w:sz w:val="16"/>
          <w:szCs w:val="16"/>
        </w:rPr>
        <w:t>HMCTS</w:t>
      </w:r>
      <w:r w:rsidR="00ED6F53" w:rsidRPr="004B5E11">
        <w:rPr>
          <w:color w:val="7030A0"/>
          <w:sz w:val="16"/>
          <w:szCs w:val="16"/>
        </w:rPr>
        <w:t>,</w:t>
      </w:r>
      <w:r w:rsidR="00323EB1" w:rsidRPr="004B5E11">
        <w:rPr>
          <w:color w:val="7030A0"/>
          <w:sz w:val="16"/>
          <w:szCs w:val="16"/>
        </w:rPr>
        <w:t xml:space="preserve"> 2021</w:t>
      </w:r>
      <w:r w:rsidR="00ED6F53" w:rsidRPr="004B5E11">
        <w:rPr>
          <w:color w:val="7030A0"/>
          <w:sz w:val="16"/>
          <w:szCs w:val="16"/>
        </w:rPr>
        <w:t>).</w:t>
      </w:r>
    </w:p>
  </w:footnote>
  <w:footnote w:id="42">
    <w:p w14:paraId="5E016F65" w14:textId="77777777" w:rsidR="001150A2" w:rsidRPr="004B5E11" w:rsidRDefault="001150A2" w:rsidP="001150A2">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w:t>
      </w:r>
      <w:bookmarkStart w:id="18" w:name="_Hlk114070125"/>
      <w:r w:rsidRPr="004B5E11">
        <w:rPr>
          <w:color w:val="7030A0"/>
          <w:sz w:val="16"/>
          <w:szCs w:val="16"/>
        </w:rPr>
        <w:t>UN CRPD, Article 3(b).</w:t>
      </w:r>
      <w:bookmarkEnd w:id="18"/>
    </w:p>
  </w:footnote>
  <w:footnote w:id="43">
    <w:p w14:paraId="781B6FF9" w14:textId="77777777" w:rsidR="001150A2" w:rsidRPr="004B5E11" w:rsidRDefault="001150A2" w:rsidP="001150A2">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UN CRPD, Article 27(1)(</w:t>
      </w:r>
      <w:r w:rsidRPr="004B5E11">
        <w:rPr>
          <w:color w:val="7030A0"/>
          <w:sz w:val="16"/>
          <w:szCs w:val="16"/>
        </w:rPr>
        <w:t>i).</w:t>
      </w:r>
    </w:p>
  </w:footnote>
  <w:footnote w:id="44">
    <w:p w14:paraId="4FA38E14" w14:textId="77777777" w:rsidR="001150A2" w:rsidRPr="004B5E11" w:rsidRDefault="001150A2" w:rsidP="001150A2">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UN CRPD, Article 3(f).</w:t>
      </w:r>
    </w:p>
  </w:footnote>
  <w:footnote w:id="45">
    <w:p w14:paraId="508E8163" w14:textId="77777777" w:rsidR="001150A2" w:rsidRPr="004B5E11" w:rsidRDefault="001150A2" w:rsidP="001150A2">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CRPD/C/GC/2, ‘UN CRPD Committee General Comment No. 2 - Article </w:t>
      </w:r>
      <w:r w:rsidRPr="004B5E11">
        <w:rPr>
          <w:color w:val="7030A0"/>
          <w:sz w:val="16"/>
          <w:szCs w:val="16"/>
        </w:rPr>
        <w:t>9 : Accessibility’, (11 April 2014), at para 22.</w:t>
      </w:r>
    </w:p>
  </w:footnote>
  <w:footnote w:id="46">
    <w:p w14:paraId="060690EE" w14:textId="77777777" w:rsidR="001150A2" w:rsidRPr="004B5E11" w:rsidRDefault="001150A2" w:rsidP="001150A2">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CRPD/C/GC/8, ‘UN CRPD Committee General comment No. 8 (2022) on the right of persons with disabilities to work and employment’, (09 September 2022), at para 5.</w:t>
      </w:r>
    </w:p>
  </w:footnote>
  <w:footnote w:id="47">
    <w:p w14:paraId="3E48FBB3" w14:textId="77777777" w:rsidR="00BC2459" w:rsidRPr="004B5E11" w:rsidRDefault="00BC2459" w:rsidP="00BC2459">
      <w:pPr>
        <w:pStyle w:val="FootnoteText"/>
        <w:rPr>
          <w:rFonts w:cstheme="majorHAnsi"/>
          <w:color w:val="7030A0"/>
          <w:sz w:val="16"/>
          <w:szCs w:val="16"/>
        </w:rPr>
      </w:pPr>
      <w:r w:rsidRPr="004B5E11">
        <w:rPr>
          <w:rStyle w:val="FootnoteReference"/>
          <w:rFonts w:cstheme="majorHAnsi"/>
          <w:color w:val="7030A0"/>
          <w:sz w:val="16"/>
          <w:szCs w:val="16"/>
        </w:rPr>
        <w:footnoteRef/>
      </w:r>
      <w:r w:rsidRPr="004B5E11">
        <w:rPr>
          <w:rFonts w:cstheme="majorHAnsi"/>
          <w:color w:val="7030A0"/>
          <w:sz w:val="16"/>
          <w:szCs w:val="16"/>
        </w:rPr>
        <w:t xml:space="preserve"> The Law Society of England and Wales, ‘New research into the impact of COVID-19 on disabled people in the legal profession’ (2 November 2020).</w:t>
      </w:r>
    </w:p>
  </w:footnote>
  <w:footnote w:id="48">
    <w:p w14:paraId="10ECE935" w14:textId="77777777" w:rsidR="00BC2459" w:rsidRPr="004B5E11" w:rsidRDefault="00BC2459" w:rsidP="00BC2459">
      <w:pPr>
        <w:pStyle w:val="FootnoteText"/>
        <w:rPr>
          <w:color w:val="7030A0"/>
          <w:sz w:val="16"/>
          <w:szCs w:val="16"/>
        </w:rPr>
      </w:pPr>
      <w:r w:rsidRPr="004B5E11">
        <w:rPr>
          <w:rStyle w:val="FootnoteReference"/>
          <w:color w:val="7030A0"/>
          <w:sz w:val="16"/>
          <w:szCs w:val="16"/>
        </w:rPr>
        <w:footnoteRef/>
      </w:r>
      <w:r w:rsidRPr="004B5E11">
        <w:rPr>
          <w:color w:val="7030A0"/>
          <w:sz w:val="16"/>
          <w:szCs w:val="16"/>
        </w:rPr>
        <w:t xml:space="preserve"> Debbie Foster and Natasha Hirst, ‘Legally Disabled? The impact of Covid-19 on the employment and training of disabled lawyers in England and Wales: Opportunities for job-redesign and best practice’ (The Law Society of England and Wales, October 2020), at 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27822"/>
    <w:multiLevelType w:val="multilevel"/>
    <w:tmpl w:val="EAD6C452"/>
    <w:lvl w:ilvl="0">
      <w:start w:val="4"/>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440"/>
      </w:pPr>
      <w:rPr>
        <w:rFonts w:hint="default"/>
      </w:rPr>
    </w:lvl>
    <w:lvl w:ilvl="4">
      <w:start w:val="1"/>
      <w:numFmt w:val="decimal"/>
      <w:lvlText w:val="%1.%2.%3.%4.%5"/>
      <w:lvlJc w:val="left"/>
      <w:pPr>
        <w:ind w:left="5400" w:hanging="1800"/>
      </w:pPr>
      <w:rPr>
        <w:rFonts w:hint="default"/>
      </w:rPr>
    </w:lvl>
    <w:lvl w:ilvl="5">
      <w:start w:val="1"/>
      <w:numFmt w:val="decimal"/>
      <w:lvlText w:val="%1.%2.%3.%4.%5.%6"/>
      <w:lvlJc w:val="left"/>
      <w:pPr>
        <w:ind w:left="6480" w:hanging="2160"/>
      </w:pPr>
      <w:rPr>
        <w:rFonts w:hint="default"/>
      </w:rPr>
    </w:lvl>
    <w:lvl w:ilvl="6">
      <w:start w:val="1"/>
      <w:numFmt w:val="decimal"/>
      <w:lvlText w:val="%1.%2.%3.%4.%5.%6.%7"/>
      <w:lvlJc w:val="left"/>
      <w:pPr>
        <w:ind w:left="7560" w:hanging="2520"/>
      </w:pPr>
      <w:rPr>
        <w:rFonts w:hint="default"/>
      </w:rPr>
    </w:lvl>
    <w:lvl w:ilvl="7">
      <w:start w:val="1"/>
      <w:numFmt w:val="decimal"/>
      <w:lvlText w:val="%1.%2.%3.%4.%5.%6.%7.%8"/>
      <w:lvlJc w:val="left"/>
      <w:pPr>
        <w:ind w:left="8640" w:hanging="2880"/>
      </w:pPr>
      <w:rPr>
        <w:rFonts w:hint="default"/>
      </w:rPr>
    </w:lvl>
    <w:lvl w:ilvl="8">
      <w:start w:val="1"/>
      <w:numFmt w:val="decimal"/>
      <w:lvlText w:val="%1.%2.%3.%4.%5.%6.%7.%8.%9"/>
      <w:lvlJc w:val="left"/>
      <w:pPr>
        <w:ind w:left="9720" w:hanging="3240"/>
      </w:pPr>
      <w:rPr>
        <w:rFonts w:hint="default"/>
      </w:rPr>
    </w:lvl>
  </w:abstractNum>
  <w:abstractNum w:abstractNumId="1" w15:restartNumberingAfterBreak="0">
    <w:nsid w:val="0FEB4C74"/>
    <w:multiLevelType w:val="multilevel"/>
    <w:tmpl w:val="7384EE3A"/>
    <w:lvl w:ilvl="0">
      <w:start w:val="1"/>
      <w:numFmt w:val="decimal"/>
      <w:lvlText w:val="%1.0"/>
      <w:lvlJc w:val="left"/>
      <w:pPr>
        <w:ind w:left="720" w:hanging="72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 w15:restartNumberingAfterBreak="0">
    <w:nsid w:val="105D7334"/>
    <w:multiLevelType w:val="multilevel"/>
    <w:tmpl w:val="B556210E"/>
    <w:lvl w:ilvl="0">
      <w:start w:val="5"/>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440"/>
      </w:pPr>
      <w:rPr>
        <w:rFonts w:hint="default"/>
      </w:rPr>
    </w:lvl>
    <w:lvl w:ilvl="4">
      <w:start w:val="1"/>
      <w:numFmt w:val="decimal"/>
      <w:lvlText w:val="%1.%2.%3.%4.%5"/>
      <w:lvlJc w:val="left"/>
      <w:pPr>
        <w:ind w:left="5400" w:hanging="1800"/>
      </w:pPr>
      <w:rPr>
        <w:rFonts w:hint="default"/>
      </w:rPr>
    </w:lvl>
    <w:lvl w:ilvl="5">
      <w:start w:val="1"/>
      <w:numFmt w:val="decimal"/>
      <w:lvlText w:val="%1.%2.%3.%4.%5.%6"/>
      <w:lvlJc w:val="left"/>
      <w:pPr>
        <w:ind w:left="6480" w:hanging="2160"/>
      </w:pPr>
      <w:rPr>
        <w:rFonts w:hint="default"/>
      </w:rPr>
    </w:lvl>
    <w:lvl w:ilvl="6">
      <w:start w:val="1"/>
      <w:numFmt w:val="decimal"/>
      <w:lvlText w:val="%1.%2.%3.%4.%5.%6.%7"/>
      <w:lvlJc w:val="left"/>
      <w:pPr>
        <w:ind w:left="7560" w:hanging="2520"/>
      </w:pPr>
      <w:rPr>
        <w:rFonts w:hint="default"/>
      </w:rPr>
    </w:lvl>
    <w:lvl w:ilvl="7">
      <w:start w:val="1"/>
      <w:numFmt w:val="decimal"/>
      <w:lvlText w:val="%1.%2.%3.%4.%5.%6.%7.%8"/>
      <w:lvlJc w:val="left"/>
      <w:pPr>
        <w:ind w:left="8640" w:hanging="2880"/>
      </w:pPr>
      <w:rPr>
        <w:rFonts w:hint="default"/>
      </w:rPr>
    </w:lvl>
    <w:lvl w:ilvl="8">
      <w:start w:val="1"/>
      <w:numFmt w:val="decimal"/>
      <w:lvlText w:val="%1.%2.%3.%4.%5.%6.%7.%8.%9"/>
      <w:lvlJc w:val="left"/>
      <w:pPr>
        <w:ind w:left="9720" w:hanging="3240"/>
      </w:pPr>
      <w:rPr>
        <w:rFonts w:hint="default"/>
      </w:rPr>
    </w:lvl>
  </w:abstractNum>
  <w:abstractNum w:abstractNumId="3" w15:restartNumberingAfterBreak="0">
    <w:nsid w:val="119E7BF8"/>
    <w:multiLevelType w:val="hybridMultilevel"/>
    <w:tmpl w:val="633447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30F5D89"/>
    <w:multiLevelType w:val="multilevel"/>
    <w:tmpl w:val="2AD0F22C"/>
    <w:lvl w:ilvl="0">
      <w:start w:val="4"/>
      <w:numFmt w:val="decimal"/>
      <w:lvlText w:val="%1"/>
      <w:lvlJc w:val="left"/>
      <w:pPr>
        <w:ind w:left="435" w:hanging="43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135B4B1D"/>
    <w:multiLevelType w:val="multilevel"/>
    <w:tmpl w:val="EAD6C452"/>
    <w:lvl w:ilvl="0">
      <w:start w:val="4"/>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440"/>
      </w:pPr>
      <w:rPr>
        <w:rFonts w:hint="default"/>
      </w:rPr>
    </w:lvl>
    <w:lvl w:ilvl="4">
      <w:start w:val="1"/>
      <w:numFmt w:val="decimal"/>
      <w:lvlText w:val="%1.%2.%3.%4.%5"/>
      <w:lvlJc w:val="left"/>
      <w:pPr>
        <w:ind w:left="5400" w:hanging="1800"/>
      </w:pPr>
      <w:rPr>
        <w:rFonts w:hint="default"/>
      </w:rPr>
    </w:lvl>
    <w:lvl w:ilvl="5">
      <w:start w:val="1"/>
      <w:numFmt w:val="decimal"/>
      <w:lvlText w:val="%1.%2.%3.%4.%5.%6"/>
      <w:lvlJc w:val="left"/>
      <w:pPr>
        <w:ind w:left="6480" w:hanging="2160"/>
      </w:pPr>
      <w:rPr>
        <w:rFonts w:hint="default"/>
      </w:rPr>
    </w:lvl>
    <w:lvl w:ilvl="6">
      <w:start w:val="1"/>
      <w:numFmt w:val="decimal"/>
      <w:lvlText w:val="%1.%2.%3.%4.%5.%6.%7"/>
      <w:lvlJc w:val="left"/>
      <w:pPr>
        <w:ind w:left="7560" w:hanging="2520"/>
      </w:pPr>
      <w:rPr>
        <w:rFonts w:hint="default"/>
      </w:rPr>
    </w:lvl>
    <w:lvl w:ilvl="7">
      <w:start w:val="1"/>
      <w:numFmt w:val="decimal"/>
      <w:lvlText w:val="%1.%2.%3.%4.%5.%6.%7.%8"/>
      <w:lvlJc w:val="left"/>
      <w:pPr>
        <w:ind w:left="8640" w:hanging="2880"/>
      </w:pPr>
      <w:rPr>
        <w:rFonts w:hint="default"/>
      </w:rPr>
    </w:lvl>
    <w:lvl w:ilvl="8">
      <w:start w:val="1"/>
      <w:numFmt w:val="decimal"/>
      <w:lvlText w:val="%1.%2.%3.%4.%5.%6.%7.%8.%9"/>
      <w:lvlJc w:val="left"/>
      <w:pPr>
        <w:ind w:left="9720" w:hanging="3240"/>
      </w:pPr>
      <w:rPr>
        <w:rFonts w:hint="default"/>
      </w:rPr>
    </w:lvl>
  </w:abstractNum>
  <w:abstractNum w:abstractNumId="6" w15:restartNumberingAfterBreak="0">
    <w:nsid w:val="15470589"/>
    <w:multiLevelType w:val="multilevel"/>
    <w:tmpl w:val="E1F27E6E"/>
    <w:lvl w:ilvl="0">
      <w:start w:val="1"/>
      <w:numFmt w:val="decimal"/>
      <w:lvlText w:val="%1.0"/>
      <w:lvlJc w:val="left"/>
      <w:pPr>
        <w:ind w:left="720" w:hanging="720"/>
      </w:pPr>
      <w:rPr>
        <w:rFonts w:hint="default"/>
      </w:rPr>
    </w:lvl>
    <w:lvl w:ilvl="1">
      <w:numFmt w:val="decimal"/>
      <w:lvlText w:val="%1.%2"/>
      <w:lvlJc w:val="left"/>
      <w:pPr>
        <w:ind w:left="720" w:hanging="720"/>
      </w:pPr>
      <w:rPr>
        <w:rFonts w:hint="default"/>
        <w:b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7"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2252FE"/>
    <w:multiLevelType w:val="multilevel"/>
    <w:tmpl w:val="46FCB016"/>
    <w:lvl w:ilvl="0">
      <w:start w:val="3"/>
      <w:numFmt w:val="decimal"/>
      <w:lvlText w:val="%1.0"/>
      <w:lvlJc w:val="left"/>
      <w:pPr>
        <w:ind w:left="720" w:hanging="720"/>
      </w:pPr>
      <w:rPr>
        <w:rFonts w:hint="default"/>
        <w:color w:val="7030A0"/>
      </w:rPr>
    </w:lvl>
    <w:lvl w:ilvl="1">
      <w:start w:val="1"/>
      <w:numFmt w:val="decimal"/>
      <w:lvlText w:val="%1.%2"/>
      <w:lvlJc w:val="left"/>
      <w:pPr>
        <w:ind w:left="1440" w:hanging="720"/>
      </w:pPr>
      <w:rPr>
        <w:rFonts w:hint="default"/>
        <w:color w:val="7030A0"/>
      </w:rPr>
    </w:lvl>
    <w:lvl w:ilvl="2">
      <w:start w:val="1"/>
      <w:numFmt w:val="decimal"/>
      <w:lvlText w:val="%1.%2.%3"/>
      <w:lvlJc w:val="left"/>
      <w:pPr>
        <w:ind w:left="2520" w:hanging="1080"/>
      </w:pPr>
      <w:rPr>
        <w:rFonts w:hint="default"/>
        <w:color w:val="7030A0"/>
      </w:rPr>
    </w:lvl>
    <w:lvl w:ilvl="3">
      <w:start w:val="1"/>
      <w:numFmt w:val="decimal"/>
      <w:lvlText w:val="%1.%2.%3.%4"/>
      <w:lvlJc w:val="left"/>
      <w:pPr>
        <w:ind w:left="3240" w:hanging="1080"/>
      </w:pPr>
      <w:rPr>
        <w:rFonts w:hint="default"/>
        <w:color w:val="7030A0"/>
      </w:rPr>
    </w:lvl>
    <w:lvl w:ilvl="4">
      <w:start w:val="1"/>
      <w:numFmt w:val="decimal"/>
      <w:lvlText w:val="%1.%2.%3.%4.%5"/>
      <w:lvlJc w:val="left"/>
      <w:pPr>
        <w:ind w:left="4320" w:hanging="1440"/>
      </w:pPr>
      <w:rPr>
        <w:rFonts w:hint="default"/>
        <w:color w:val="7030A0"/>
      </w:rPr>
    </w:lvl>
    <w:lvl w:ilvl="5">
      <w:start w:val="1"/>
      <w:numFmt w:val="decimal"/>
      <w:lvlText w:val="%1.%2.%3.%4.%5.%6"/>
      <w:lvlJc w:val="left"/>
      <w:pPr>
        <w:ind w:left="5400" w:hanging="1800"/>
      </w:pPr>
      <w:rPr>
        <w:rFonts w:hint="default"/>
        <w:color w:val="7030A0"/>
      </w:rPr>
    </w:lvl>
    <w:lvl w:ilvl="6">
      <w:start w:val="1"/>
      <w:numFmt w:val="decimal"/>
      <w:lvlText w:val="%1.%2.%3.%4.%5.%6.%7"/>
      <w:lvlJc w:val="left"/>
      <w:pPr>
        <w:ind w:left="6480" w:hanging="2160"/>
      </w:pPr>
      <w:rPr>
        <w:rFonts w:hint="default"/>
        <w:color w:val="7030A0"/>
      </w:rPr>
    </w:lvl>
    <w:lvl w:ilvl="7">
      <w:start w:val="1"/>
      <w:numFmt w:val="decimal"/>
      <w:lvlText w:val="%1.%2.%3.%4.%5.%6.%7.%8"/>
      <w:lvlJc w:val="left"/>
      <w:pPr>
        <w:ind w:left="7560" w:hanging="2520"/>
      </w:pPr>
      <w:rPr>
        <w:rFonts w:hint="default"/>
        <w:color w:val="7030A0"/>
      </w:rPr>
    </w:lvl>
    <w:lvl w:ilvl="8">
      <w:start w:val="1"/>
      <w:numFmt w:val="decimal"/>
      <w:lvlText w:val="%1.%2.%3.%4.%5.%6.%7.%8.%9"/>
      <w:lvlJc w:val="left"/>
      <w:pPr>
        <w:ind w:left="8280" w:hanging="2520"/>
      </w:pPr>
      <w:rPr>
        <w:rFonts w:hint="default"/>
        <w:color w:val="7030A0"/>
      </w:rPr>
    </w:lvl>
  </w:abstractNum>
  <w:abstractNum w:abstractNumId="9" w15:restartNumberingAfterBreak="0">
    <w:nsid w:val="1D310777"/>
    <w:multiLevelType w:val="multilevel"/>
    <w:tmpl w:val="11A4FFDA"/>
    <w:lvl w:ilvl="0">
      <w:start w:val="4"/>
      <w:numFmt w:val="decimal"/>
      <w:lvlText w:val="%1"/>
      <w:lvlJc w:val="left"/>
      <w:pPr>
        <w:ind w:left="608" w:hanging="608"/>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E1744C"/>
    <w:multiLevelType w:val="multilevel"/>
    <w:tmpl w:val="9E2A3A2A"/>
    <w:lvl w:ilvl="0">
      <w:start w:val="4"/>
      <w:numFmt w:val="decimal"/>
      <w:lvlText w:val="%1"/>
      <w:lvlJc w:val="left"/>
      <w:pPr>
        <w:ind w:left="608" w:hanging="608"/>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2A635E3C"/>
    <w:multiLevelType w:val="hybridMultilevel"/>
    <w:tmpl w:val="2F42440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08090019">
      <w:start w:val="1"/>
      <w:numFmt w:val="lowerLetter"/>
      <w:lvlText w:val="%3."/>
      <w:lvlJc w:val="left"/>
      <w:pPr>
        <w:ind w:left="2160" w:hanging="180"/>
      </w:pPr>
    </w:lvl>
    <w:lvl w:ilvl="3" w:tplc="2090B1F0">
      <w:numFmt w:val="bullet"/>
      <w:lvlText w:val="-"/>
      <w:lvlJc w:val="left"/>
      <w:pPr>
        <w:ind w:left="2880" w:hanging="360"/>
      </w:pPr>
      <w:rPr>
        <w:rFonts w:ascii="Calibri" w:eastAsiaTheme="minorHAnsi" w:hAnsi="Calibri" w:cs="Calibri" w:hint="default"/>
      </w:rPr>
    </w:lvl>
    <w:lvl w:ilvl="4" w:tplc="AB94F52C">
      <w:start w:val="1"/>
      <w:numFmt w:val="decimal"/>
      <w:lvlText w:val="%5."/>
      <w:lvlJc w:val="left"/>
      <w:pPr>
        <w:ind w:left="3600" w:hanging="360"/>
      </w:pPr>
      <w:rPr>
        <w:rFonts w:hint="default"/>
        <w:u w:val="none"/>
      </w:rPr>
    </w:lvl>
    <w:lvl w:ilvl="5" w:tplc="F25083FA">
      <w:start w:val="1"/>
      <w:numFmt w:val="lowerLetter"/>
      <w:lvlText w:val="(%6)"/>
      <w:lvlJc w:val="left"/>
      <w:pPr>
        <w:ind w:left="4860" w:hanging="72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F9262C"/>
    <w:multiLevelType w:val="hybridMultilevel"/>
    <w:tmpl w:val="31D41118"/>
    <w:lvl w:ilvl="0" w:tplc="41A6F478">
      <w:start w:val="1"/>
      <w:numFmt w:val="lowerLetter"/>
      <w:lvlText w:val="%1)"/>
      <w:lvlJc w:val="left"/>
      <w:pPr>
        <w:ind w:left="1233" w:hanging="360"/>
      </w:pPr>
      <w:rPr>
        <w:rFonts w:hint="default"/>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14" w15:restartNumberingAfterBreak="0">
    <w:nsid w:val="31456FAE"/>
    <w:multiLevelType w:val="hybridMultilevel"/>
    <w:tmpl w:val="2B7EC9D6"/>
    <w:lvl w:ilvl="0" w:tplc="41605B24">
      <w:start w:val="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633DBB"/>
    <w:multiLevelType w:val="hybridMultilevel"/>
    <w:tmpl w:val="25440FF2"/>
    <w:lvl w:ilvl="0" w:tplc="08F62DF2">
      <w:numFmt w:val="bullet"/>
      <w:lvlText w:val="-"/>
      <w:lvlJc w:val="left"/>
      <w:pPr>
        <w:ind w:left="720" w:hanging="360"/>
      </w:pPr>
      <w:rPr>
        <w:rFonts w:ascii="Verdana" w:eastAsiaTheme="minorHAnsi" w:hAnsi="Verdan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BB453F"/>
    <w:multiLevelType w:val="hybridMultilevel"/>
    <w:tmpl w:val="A2D446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B14488"/>
    <w:multiLevelType w:val="multilevel"/>
    <w:tmpl w:val="BF1AD834"/>
    <w:lvl w:ilvl="0">
      <w:start w:val="2"/>
      <w:numFmt w:val="decimal"/>
      <w:lvlText w:val="%1"/>
      <w:lvlJc w:val="left"/>
      <w:pPr>
        <w:ind w:left="608" w:hanging="608"/>
      </w:pPr>
      <w:rPr>
        <w:rFonts w:hint="default"/>
      </w:rPr>
    </w:lvl>
    <w:lvl w:ilvl="1">
      <w:start w:val="3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47E96C28"/>
    <w:multiLevelType w:val="multilevel"/>
    <w:tmpl w:val="12EA0D1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1" w15:restartNumberingAfterBreak="0">
    <w:nsid w:val="47EC5BB5"/>
    <w:multiLevelType w:val="multilevel"/>
    <w:tmpl w:val="EAD6C452"/>
    <w:lvl w:ilvl="0">
      <w:start w:val="4"/>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440"/>
      </w:pPr>
      <w:rPr>
        <w:rFonts w:hint="default"/>
      </w:rPr>
    </w:lvl>
    <w:lvl w:ilvl="4">
      <w:start w:val="1"/>
      <w:numFmt w:val="decimal"/>
      <w:lvlText w:val="%1.%2.%3.%4.%5"/>
      <w:lvlJc w:val="left"/>
      <w:pPr>
        <w:ind w:left="5400" w:hanging="1800"/>
      </w:pPr>
      <w:rPr>
        <w:rFonts w:hint="default"/>
      </w:rPr>
    </w:lvl>
    <w:lvl w:ilvl="5">
      <w:start w:val="1"/>
      <w:numFmt w:val="decimal"/>
      <w:lvlText w:val="%1.%2.%3.%4.%5.%6"/>
      <w:lvlJc w:val="left"/>
      <w:pPr>
        <w:ind w:left="6480" w:hanging="2160"/>
      </w:pPr>
      <w:rPr>
        <w:rFonts w:hint="default"/>
      </w:rPr>
    </w:lvl>
    <w:lvl w:ilvl="6">
      <w:start w:val="1"/>
      <w:numFmt w:val="decimal"/>
      <w:lvlText w:val="%1.%2.%3.%4.%5.%6.%7"/>
      <w:lvlJc w:val="left"/>
      <w:pPr>
        <w:ind w:left="7560" w:hanging="2520"/>
      </w:pPr>
      <w:rPr>
        <w:rFonts w:hint="default"/>
      </w:rPr>
    </w:lvl>
    <w:lvl w:ilvl="7">
      <w:start w:val="1"/>
      <w:numFmt w:val="decimal"/>
      <w:lvlText w:val="%1.%2.%3.%4.%5.%6.%7.%8"/>
      <w:lvlJc w:val="left"/>
      <w:pPr>
        <w:ind w:left="8640" w:hanging="2880"/>
      </w:pPr>
      <w:rPr>
        <w:rFonts w:hint="default"/>
      </w:rPr>
    </w:lvl>
    <w:lvl w:ilvl="8">
      <w:start w:val="1"/>
      <w:numFmt w:val="decimal"/>
      <w:lvlText w:val="%1.%2.%3.%4.%5.%6.%7.%8.%9"/>
      <w:lvlJc w:val="left"/>
      <w:pPr>
        <w:ind w:left="9720" w:hanging="3240"/>
      </w:pPr>
      <w:rPr>
        <w:rFonts w:hint="default"/>
      </w:rPr>
    </w:lvl>
  </w:abstractNum>
  <w:abstractNum w:abstractNumId="22" w15:restartNumberingAfterBreak="0">
    <w:nsid w:val="4978482C"/>
    <w:multiLevelType w:val="multilevel"/>
    <w:tmpl w:val="267259E6"/>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3"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0E1CA0"/>
    <w:multiLevelType w:val="multilevel"/>
    <w:tmpl w:val="3FF4CCFA"/>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54F61BEA"/>
    <w:multiLevelType w:val="multilevel"/>
    <w:tmpl w:val="51AC8E42"/>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6" w15:restartNumberingAfterBreak="0">
    <w:nsid w:val="69634772"/>
    <w:multiLevelType w:val="hybridMultilevel"/>
    <w:tmpl w:val="7A4634B4"/>
    <w:lvl w:ilvl="0" w:tplc="2D42A28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0638C8"/>
    <w:multiLevelType w:val="multilevel"/>
    <w:tmpl w:val="3FF4CCFA"/>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8" w15:restartNumberingAfterBreak="0">
    <w:nsid w:val="71BC7688"/>
    <w:multiLevelType w:val="multilevel"/>
    <w:tmpl w:val="47028E3A"/>
    <w:lvl w:ilvl="0">
      <w:start w:val="1"/>
      <w:numFmt w:val="decimal"/>
      <w:lvlText w:val="%1.0"/>
      <w:lvlJc w:val="left"/>
      <w:pPr>
        <w:ind w:left="720" w:hanging="720"/>
      </w:pPr>
      <w:rPr>
        <w:rFonts w:hint="default"/>
      </w:rPr>
    </w:lvl>
    <w:lvl w:ilvl="1">
      <w:start w:val="1"/>
      <w:numFmt w:val="decimal"/>
      <w:lvlText w:val="%1.%2"/>
      <w:lvlJc w:val="left"/>
      <w:pPr>
        <w:ind w:left="9084" w:hanging="720"/>
      </w:pPr>
      <w:rPr>
        <w:rFonts w:hint="default"/>
        <w:b w:val="0"/>
        <w:bCs w:val="0"/>
        <w:sz w:val="24"/>
        <w:szCs w:val="24"/>
        <w:vertAlign w:val="baseline"/>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9"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D9B06A8"/>
    <w:multiLevelType w:val="multilevel"/>
    <w:tmpl w:val="F8B25986"/>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120" w:hanging="1800"/>
      </w:pPr>
      <w:rPr>
        <w:rFonts w:hint="default"/>
      </w:rPr>
    </w:lvl>
    <w:lvl w:ilvl="6">
      <w:start w:val="1"/>
      <w:numFmt w:val="decimal"/>
      <w:lvlText w:val="%1.%2.%3.%4.%5.%6.%7"/>
      <w:lvlJc w:val="left"/>
      <w:pPr>
        <w:ind w:left="7200" w:hanging="2160"/>
      </w:pPr>
      <w:rPr>
        <w:rFonts w:hint="default"/>
      </w:rPr>
    </w:lvl>
    <w:lvl w:ilvl="7">
      <w:start w:val="1"/>
      <w:numFmt w:val="decimal"/>
      <w:lvlText w:val="%1.%2.%3.%4.%5.%6.%7.%8"/>
      <w:lvlJc w:val="left"/>
      <w:pPr>
        <w:ind w:left="8280" w:hanging="2520"/>
      </w:pPr>
      <w:rPr>
        <w:rFonts w:hint="default"/>
      </w:rPr>
    </w:lvl>
    <w:lvl w:ilvl="8">
      <w:start w:val="1"/>
      <w:numFmt w:val="decimal"/>
      <w:lvlText w:val="%1.%2.%3.%4.%5.%6.%7.%8.%9"/>
      <w:lvlJc w:val="left"/>
      <w:pPr>
        <w:ind w:left="9000" w:hanging="2520"/>
      </w:pPr>
      <w:rPr>
        <w:rFonts w:hint="default"/>
      </w:rPr>
    </w:lvl>
  </w:abstractNum>
  <w:abstractNum w:abstractNumId="31"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32953339">
    <w:abstractNumId w:val="23"/>
  </w:num>
  <w:num w:numId="2" w16cid:durableId="659502367">
    <w:abstractNumId w:val="31"/>
  </w:num>
  <w:num w:numId="3" w16cid:durableId="1400592236">
    <w:abstractNumId w:val="7"/>
  </w:num>
  <w:num w:numId="4" w16cid:durableId="1451706752">
    <w:abstractNumId w:val="16"/>
  </w:num>
  <w:num w:numId="5" w16cid:durableId="1464543351">
    <w:abstractNumId w:val="29"/>
  </w:num>
  <w:num w:numId="6" w16cid:durableId="1976906224">
    <w:abstractNumId w:val="10"/>
  </w:num>
  <w:num w:numId="7" w16cid:durableId="156773493">
    <w:abstractNumId w:val="18"/>
  </w:num>
  <w:num w:numId="8" w16cid:durableId="1863517799">
    <w:abstractNumId w:val="6"/>
  </w:num>
  <w:num w:numId="9" w16cid:durableId="726533715">
    <w:abstractNumId w:val="15"/>
  </w:num>
  <w:num w:numId="10" w16cid:durableId="1497719907">
    <w:abstractNumId w:val="17"/>
  </w:num>
  <w:num w:numId="11" w16cid:durableId="559946735">
    <w:abstractNumId w:val="3"/>
  </w:num>
  <w:num w:numId="12" w16cid:durableId="1504934486">
    <w:abstractNumId w:val="19"/>
  </w:num>
  <w:num w:numId="13" w16cid:durableId="540477357">
    <w:abstractNumId w:val="13"/>
  </w:num>
  <w:num w:numId="14" w16cid:durableId="632255151">
    <w:abstractNumId w:val="22"/>
  </w:num>
  <w:num w:numId="15" w16cid:durableId="138421080">
    <w:abstractNumId w:val="1"/>
  </w:num>
  <w:num w:numId="16" w16cid:durableId="1088304407">
    <w:abstractNumId w:val="20"/>
  </w:num>
  <w:num w:numId="17" w16cid:durableId="427041570">
    <w:abstractNumId w:val="26"/>
  </w:num>
  <w:num w:numId="18" w16cid:durableId="1897234047">
    <w:abstractNumId w:val="28"/>
  </w:num>
  <w:num w:numId="19" w16cid:durableId="1862352859">
    <w:abstractNumId w:val="25"/>
  </w:num>
  <w:num w:numId="20" w16cid:durableId="1967158653">
    <w:abstractNumId w:val="8"/>
  </w:num>
  <w:num w:numId="21" w16cid:durableId="279915810">
    <w:abstractNumId w:val="0"/>
  </w:num>
  <w:num w:numId="22" w16cid:durableId="2095079461">
    <w:abstractNumId w:val="21"/>
  </w:num>
  <w:num w:numId="23" w16cid:durableId="230236172">
    <w:abstractNumId w:val="14"/>
  </w:num>
  <w:num w:numId="24" w16cid:durableId="536310740">
    <w:abstractNumId w:val="12"/>
  </w:num>
  <w:num w:numId="25" w16cid:durableId="1652250056">
    <w:abstractNumId w:val="30"/>
  </w:num>
  <w:num w:numId="26" w16cid:durableId="196893365">
    <w:abstractNumId w:val="5"/>
  </w:num>
  <w:num w:numId="27" w16cid:durableId="359670592">
    <w:abstractNumId w:val="27"/>
  </w:num>
  <w:num w:numId="28" w16cid:durableId="164131389">
    <w:abstractNumId w:val="24"/>
  </w:num>
  <w:num w:numId="29" w16cid:durableId="1135413020">
    <w:abstractNumId w:val="2"/>
  </w:num>
  <w:num w:numId="30" w16cid:durableId="217667137">
    <w:abstractNumId w:val="4"/>
  </w:num>
  <w:num w:numId="31" w16cid:durableId="1902402253">
    <w:abstractNumId w:val="9"/>
  </w:num>
  <w:num w:numId="32" w16cid:durableId="17069784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B63"/>
    <w:rsid w:val="0000616A"/>
    <w:rsid w:val="0000676D"/>
    <w:rsid w:val="00007061"/>
    <w:rsid w:val="000136A8"/>
    <w:rsid w:val="00013DB6"/>
    <w:rsid w:val="00014485"/>
    <w:rsid w:val="0001656C"/>
    <w:rsid w:val="00020CC2"/>
    <w:rsid w:val="00024AA4"/>
    <w:rsid w:val="0002700C"/>
    <w:rsid w:val="00032A6D"/>
    <w:rsid w:val="00033805"/>
    <w:rsid w:val="000358E9"/>
    <w:rsid w:val="00035B77"/>
    <w:rsid w:val="0003628A"/>
    <w:rsid w:val="00036B7B"/>
    <w:rsid w:val="000430B2"/>
    <w:rsid w:val="00046705"/>
    <w:rsid w:val="00046FC7"/>
    <w:rsid w:val="00051062"/>
    <w:rsid w:val="0005379E"/>
    <w:rsid w:val="00066D5F"/>
    <w:rsid w:val="0006701A"/>
    <w:rsid w:val="00071FEE"/>
    <w:rsid w:val="000721E4"/>
    <w:rsid w:val="00073BCA"/>
    <w:rsid w:val="00075E63"/>
    <w:rsid w:val="0007759E"/>
    <w:rsid w:val="00082561"/>
    <w:rsid w:val="00085409"/>
    <w:rsid w:val="0008662F"/>
    <w:rsid w:val="00086F5E"/>
    <w:rsid w:val="00087C91"/>
    <w:rsid w:val="00087F57"/>
    <w:rsid w:val="00090E44"/>
    <w:rsid w:val="00092C30"/>
    <w:rsid w:val="0009560D"/>
    <w:rsid w:val="000A27F3"/>
    <w:rsid w:val="000B24CB"/>
    <w:rsid w:val="000B3D7F"/>
    <w:rsid w:val="000B486A"/>
    <w:rsid w:val="000B596F"/>
    <w:rsid w:val="000B5D7E"/>
    <w:rsid w:val="000B643D"/>
    <w:rsid w:val="000C0A9B"/>
    <w:rsid w:val="000C4422"/>
    <w:rsid w:val="000C591F"/>
    <w:rsid w:val="000C59A2"/>
    <w:rsid w:val="000D1FBA"/>
    <w:rsid w:val="000D2108"/>
    <w:rsid w:val="000E1F61"/>
    <w:rsid w:val="000E7F0C"/>
    <w:rsid w:val="000F0C0E"/>
    <w:rsid w:val="000F0C42"/>
    <w:rsid w:val="000F4712"/>
    <w:rsid w:val="000F4E76"/>
    <w:rsid w:val="000F4FF7"/>
    <w:rsid w:val="000F5641"/>
    <w:rsid w:val="000F5910"/>
    <w:rsid w:val="001015CD"/>
    <w:rsid w:val="00106324"/>
    <w:rsid w:val="001100CD"/>
    <w:rsid w:val="001119C5"/>
    <w:rsid w:val="0011246B"/>
    <w:rsid w:val="001150A2"/>
    <w:rsid w:val="00115FD2"/>
    <w:rsid w:val="00117DAC"/>
    <w:rsid w:val="00120571"/>
    <w:rsid w:val="001219EA"/>
    <w:rsid w:val="00124A71"/>
    <w:rsid w:val="00124CD8"/>
    <w:rsid w:val="00132598"/>
    <w:rsid w:val="001330CF"/>
    <w:rsid w:val="00134168"/>
    <w:rsid w:val="001366EE"/>
    <w:rsid w:val="00143787"/>
    <w:rsid w:val="00143AA2"/>
    <w:rsid w:val="00143FE0"/>
    <w:rsid w:val="00144FD8"/>
    <w:rsid w:val="00145F55"/>
    <w:rsid w:val="0015186C"/>
    <w:rsid w:val="00153185"/>
    <w:rsid w:val="001542A4"/>
    <w:rsid w:val="00155964"/>
    <w:rsid w:val="00155A66"/>
    <w:rsid w:val="00155CBF"/>
    <w:rsid w:val="00157E11"/>
    <w:rsid w:val="00160BAD"/>
    <w:rsid w:val="00162D80"/>
    <w:rsid w:val="00164C59"/>
    <w:rsid w:val="0018031A"/>
    <w:rsid w:val="0018683E"/>
    <w:rsid w:val="00190745"/>
    <w:rsid w:val="00190D04"/>
    <w:rsid w:val="0019132E"/>
    <w:rsid w:val="00191614"/>
    <w:rsid w:val="00193110"/>
    <w:rsid w:val="001931E5"/>
    <w:rsid w:val="0019459A"/>
    <w:rsid w:val="00196305"/>
    <w:rsid w:val="001A39C0"/>
    <w:rsid w:val="001A5753"/>
    <w:rsid w:val="001A6B23"/>
    <w:rsid w:val="001B460E"/>
    <w:rsid w:val="001B62F9"/>
    <w:rsid w:val="001B6B62"/>
    <w:rsid w:val="001B776E"/>
    <w:rsid w:val="001C1EC3"/>
    <w:rsid w:val="001C3087"/>
    <w:rsid w:val="001C365C"/>
    <w:rsid w:val="001C4100"/>
    <w:rsid w:val="001C663C"/>
    <w:rsid w:val="001D4D5D"/>
    <w:rsid w:val="001D746E"/>
    <w:rsid w:val="001E0DAA"/>
    <w:rsid w:val="001E35CC"/>
    <w:rsid w:val="001E4700"/>
    <w:rsid w:val="001E6C0C"/>
    <w:rsid w:val="001E79A9"/>
    <w:rsid w:val="001E7F99"/>
    <w:rsid w:val="001F15B0"/>
    <w:rsid w:val="00200A03"/>
    <w:rsid w:val="00200E7A"/>
    <w:rsid w:val="00202479"/>
    <w:rsid w:val="00203556"/>
    <w:rsid w:val="0020455D"/>
    <w:rsid w:val="002048DE"/>
    <w:rsid w:val="00212D96"/>
    <w:rsid w:val="00213B8A"/>
    <w:rsid w:val="0021443B"/>
    <w:rsid w:val="002153AE"/>
    <w:rsid w:val="0021660F"/>
    <w:rsid w:val="002179AE"/>
    <w:rsid w:val="00222E59"/>
    <w:rsid w:val="00224140"/>
    <w:rsid w:val="002258E5"/>
    <w:rsid w:val="0023451A"/>
    <w:rsid w:val="0023511E"/>
    <w:rsid w:val="002351CB"/>
    <w:rsid w:val="002361E0"/>
    <w:rsid w:val="0023630E"/>
    <w:rsid w:val="00236784"/>
    <w:rsid w:val="002428EC"/>
    <w:rsid w:val="00244361"/>
    <w:rsid w:val="00244A72"/>
    <w:rsid w:val="00246F69"/>
    <w:rsid w:val="00247DEB"/>
    <w:rsid w:val="0025434C"/>
    <w:rsid w:val="002555FA"/>
    <w:rsid w:val="002556AD"/>
    <w:rsid w:val="002563A3"/>
    <w:rsid w:val="002574A0"/>
    <w:rsid w:val="0026076E"/>
    <w:rsid w:val="00263F3A"/>
    <w:rsid w:val="00266793"/>
    <w:rsid w:val="002705D7"/>
    <w:rsid w:val="00273773"/>
    <w:rsid w:val="00280F8D"/>
    <w:rsid w:val="00282953"/>
    <w:rsid w:val="00283C6C"/>
    <w:rsid w:val="00285CD3"/>
    <w:rsid w:val="0028752F"/>
    <w:rsid w:val="002922ED"/>
    <w:rsid w:val="00293B29"/>
    <w:rsid w:val="00297172"/>
    <w:rsid w:val="002A03B6"/>
    <w:rsid w:val="002A2462"/>
    <w:rsid w:val="002A29CD"/>
    <w:rsid w:val="002A2DD1"/>
    <w:rsid w:val="002A3934"/>
    <w:rsid w:val="002B1272"/>
    <w:rsid w:val="002B12B0"/>
    <w:rsid w:val="002B37AC"/>
    <w:rsid w:val="002B522B"/>
    <w:rsid w:val="002B5706"/>
    <w:rsid w:val="002C5AD5"/>
    <w:rsid w:val="002D2332"/>
    <w:rsid w:val="002D531A"/>
    <w:rsid w:val="002D5D89"/>
    <w:rsid w:val="002D70B3"/>
    <w:rsid w:val="002E0843"/>
    <w:rsid w:val="002E312C"/>
    <w:rsid w:val="002E5587"/>
    <w:rsid w:val="002E5CBE"/>
    <w:rsid w:val="002E61D1"/>
    <w:rsid w:val="002E7CC1"/>
    <w:rsid w:val="002F23E0"/>
    <w:rsid w:val="002F501D"/>
    <w:rsid w:val="003031EA"/>
    <w:rsid w:val="003032B1"/>
    <w:rsid w:val="00306317"/>
    <w:rsid w:val="00311E7F"/>
    <w:rsid w:val="003225CF"/>
    <w:rsid w:val="00323EB1"/>
    <w:rsid w:val="00330473"/>
    <w:rsid w:val="00331C61"/>
    <w:rsid w:val="00334B28"/>
    <w:rsid w:val="00336181"/>
    <w:rsid w:val="0033654B"/>
    <w:rsid w:val="003410C2"/>
    <w:rsid w:val="003417AC"/>
    <w:rsid w:val="00341BFE"/>
    <w:rsid w:val="003427F0"/>
    <w:rsid w:val="00345B02"/>
    <w:rsid w:val="00347188"/>
    <w:rsid w:val="00347BC9"/>
    <w:rsid w:val="00352885"/>
    <w:rsid w:val="00353A26"/>
    <w:rsid w:val="0035607C"/>
    <w:rsid w:val="003575BB"/>
    <w:rsid w:val="003603D7"/>
    <w:rsid w:val="00360A70"/>
    <w:rsid w:val="00366080"/>
    <w:rsid w:val="00367168"/>
    <w:rsid w:val="00367CCA"/>
    <w:rsid w:val="003701FB"/>
    <w:rsid w:val="00374699"/>
    <w:rsid w:val="00376EEB"/>
    <w:rsid w:val="00376F79"/>
    <w:rsid w:val="00380D89"/>
    <w:rsid w:val="00392510"/>
    <w:rsid w:val="00392588"/>
    <w:rsid w:val="003936D4"/>
    <w:rsid w:val="0039377B"/>
    <w:rsid w:val="00393B34"/>
    <w:rsid w:val="0039424E"/>
    <w:rsid w:val="00394A8A"/>
    <w:rsid w:val="00394B40"/>
    <w:rsid w:val="00397023"/>
    <w:rsid w:val="003A2507"/>
    <w:rsid w:val="003A64D0"/>
    <w:rsid w:val="003B2B14"/>
    <w:rsid w:val="003B7D0E"/>
    <w:rsid w:val="003C01FC"/>
    <w:rsid w:val="003C0B08"/>
    <w:rsid w:val="003C36A8"/>
    <w:rsid w:val="003C3AAE"/>
    <w:rsid w:val="003C6DFB"/>
    <w:rsid w:val="003D09D2"/>
    <w:rsid w:val="003D3AD7"/>
    <w:rsid w:val="003D4A25"/>
    <w:rsid w:val="003D56FF"/>
    <w:rsid w:val="003D7E96"/>
    <w:rsid w:val="003E0D2C"/>
    <w:rsid w:val="003E1152"/>
    <w:rsid w:val="003E249C"/>
    <w:rsid w:val="003E306D"/>
    <w:rsid w:val="003E37ED"/>
    <w:rsid w:val="003E5B44"/>
    <w:rsid w:val="003E5F2A"/>
    <w:rsid w:val="003E6F11"/>
    <w:rsid w:val="003E7BD0"/>
    <w:rsid w:val="003F04D7"/>
    <w:rsid w:val="003F1D6C"/>
    <w:rsid w:val="003F63C3"/>
    <w:rsid w:val="003F794F"/>
    <w:rsid w:val="00400B0B"/>
    <w:rsid w:val="00400B46"/>
    <w:rsid w:val="0040137C"/>
    <w:rsid w:val="004032B8"/>
    <w:rsid w:val="00404C7D"/>
    <w:rsid w:val="00404EC0"/>
    <w:rsid w:val="00406E4E"/>
    <w:rsid w:val="004137A0"/>
    <w:rsid w:val="00414829"/>
    <w:rsid w:val="004156E2"/>
    <w:rsid w:val="00420DE6"/>
    <w:rsid w:val="00422416"/>
    <w:rsid w:val="00425DA5"/>
    <w:rsid w:val="00426969"/>
    <w:rsid w:val="00430402"/>
    <w:rsid w:val="00430770"/>
    <w:rsid w:val="004339E5"/>
    <w:rsid w:val="004417B4"/>
    <w:rsid w:val="00442E94"/>
    <w:rsid w:val="0044685B"/>
    <w:rsid w:val="0044784D"/>
    <w:rsid w:val="00454C94"/>
    <w:rsid w:val="00462685"/>
    <w:rsid w:val="00463528"/>
    <w:rsid w:val="00463D6B"/>
    <w:rsid w:val="00464328"/>
    <w:rsid w:val="0046457E"/>
    <w:rsid w:val="004657B0"/>
    <w:rsid w:val="00466A2E"/>
    <w:rsid w:val="004670C6"/>
    <w:rsid w:val="004672AC"/>
    <w:rsid w:val="00467338"/>
    <w:rsid w:val="0047026B"/>
    <w:rsid w:val="004705ED"/>
    <w:rsid w:val="0047183D"/>
    <w:rsid w:val="00473D68"/>
    <w:rsid w:val="0047796D"/>
    <w:rsid w:val="00482B47"/>
    <w:rsid w:val="00487EEB"/>
    <w:rsid w:val="00490C03"/>
    <w:rsid w:val="0049207A"/>
    <w:rsid w:val="0049210A"/>
    <w:rsid w:val="0049475E"/>
    <w:rsid w:val="0049595D"/>
    <w:rsid w:val="0049745B"/>
    <w:rsid w:val="004A178E"/>
    <w:rsid w:val="004A6B67"/>
    <w:rsid w:val="004A712D"/>
    <w:rsid w:val="004B18DB"/>
    <w:rsid w:val="004B29C5"/>
    <w:rsid w:val="004B5E11"/>
    <w:rsid w:val="004B7618"/>
    <w:rsid w:val="004C046C"/>
    <w:rsid w:val="004C4390"/>
    <w:rsid w:val="004C5849"/>
    <w:rsid w:val="004C65D9"/>
    <w:rsid w:val="004D3340"/>
    <w:rsid w:val="004D5589"/>
    <w:rsid w:val="004E3FE1"/>
    <w:rsid w:val="004E6FBF"/>
    <w:rsid w:val="004F30A0"/>
    <w:rsid w:val="004F5E2A"/>
    <w:rsid w:val="004F5EC4"/>
    <w:rsid w:val="00513F66"/>
    <w:rsid w:val="005154A8"/>
    <w:rsid w:val="00515E0A"/>
    <w:rsid w:val="00520CC7"/>
    <w:rsid w:val="00521B48"/>
    <w:rsid w:val="00527929"/>
    <w:rsid w:val="005325A1"/>
    <w:rsid w:val="00542331"/>
    <w:rsid w:val="00542BDD"/>
    <w:rsid w:val="00546F2C"/>
    <w:rsid w:val="00550B7A"/>
    <w:rsid w:val="00552293"/>
    <w:rsid w:val="00552D20"/>
    <w:rsid w:val="0056340E"/>
    <w:rsid w:val="00563AE9"/>
    <w:rsid w:val="005651FC"/>
    <w:rsid w:val="005663F8"/>
    <w:rsid w:val="00566574"/>
    <w:rsid w:val="0056751B"/>
    <w:rsid w:val="00567F84"/>
    <w:rsid w:val="00576782"/>
    <w:rsid w:val="005801FE"/>
    <w:rsid w:val="0058130B"/>
    <w:rsid w:val="00581F9F"/>
    <w:rsid w:val="00582E17"/>
    <w:rsid w:val="00590A9D"/>
    <w:rsid w:val="005A621B"/>
    <w:rsid w:val="005A6DC4"/>
    <w:rsid w:val="005B4AD5"/>
    <w:rsid w:val="005B4BB7"/>
    <w:rsid w:val="005B723E"/>
    <w:rsid w:val="005C2345"/>
    <w:rsid w:val="005C39BF"/>
    <w:rsid w:val="005C495E"/>
    <w:rsid w:val="005C54F1"/>
    <w:rsid w:val="005C64CB"/>
    <w:rsid w:val="005D1596"/>
    <w:rsid w:val="005E00C2"/>
    <w:rsid w:val="005E21A6"/>
    <w:rsid w:val="005E2538"/>
    <w:rsid w:val="005E5330"/>
    <w:rsid w:val="005E6220"/>
    <w:rsid w:val="005F05C8"/>
    <w:rsid w:val="005F5D9E"/>
    <w:rsid w:val="006026F4"/>
    <w:rsid w:val="0060385E"/>
    <w:rsid w:val="00604767"/>
    <w:rsid w:val="00607451"/>
    <w:rsid w:val="00610BED"/>
    <w:rsid w:val="00612830"/>
    <w:rsid w:val="00615836"/>
    <w:rsid w:val="006231F1"/>
    <w:rsid w:val="006234B6"/>
    <w:rsid w:val="00636D43"/>
    <w:rsid w:val="006377A6"/>
    <w:rsid w:val="00641174"/>
    <w:rsid w:val="00641839"/>
    <w:rsid w:val="00646F97"/>
    <w:rsid w:val="00647B29"/>
    <w:rsid w:val="00652979"/>
    <w:rsid w:val="00656D92"/>
    <w:rsid w:val="00656ECD"/>
    <w:rsid w:val="00663300"/>
    <w:rsid w:val="00664815"/>
    <w:rsid w:val="0066631E"/>
    <w:rsid w:val="00666776"/>
    <w:rsid w:val="0066707C"/>
    <w:rsid w:val="00670DB6"/>
    <w:rsid w:val="0067163E"/>
    <w:rsid w:val="006721A1"/>
    <w:rsid w:val="00674CD1"/>
    <w:rsid w:val="00675D13"/>
    <w:rsid w:val="0067616B"/>
    <w:rsid w:val="00680C87"/>
    <w:rsid w:val="00681CC4"/>
    <w:rsid w:val="00684DB3"/>
    <w:rsid w:val="00685A34"/>
    <w:rsid w:val="00687C75"/>
    <w:rsid w:val="006902A7"/>
    <w:rsid w:val="0069667B"/>
    <w:rsid w:val="00697BE9"/>
    <w:rsid w:val="006A1662"/>
    <w:rsid w:val="006A1B4F"/>
    <w:rsid w:val="006A45B3"/>
    <w:rsid w:val="006A5FA2"/>
    <w:rsid w:val="006A6AA9"/>
    <w:rsid w:val="006A7467"/>
    <w:rsid w:val="006A7755"/>
    <w:rsid w:val="006B24EA"/>
    <w:rsid w:val="006C1664"/>
    <w:rsid w:val="006C1BCE"/>
    <w:rsid w:val="006C521A"/>
    <w:rsid w:val="006D34D3"/>
    <w:rsid w:val="006E3CBA"/>
    <w:rsid w:val="006E5EE5"/>
    <w:rsid w:val="006E74EC"/>
    <w:rsid w:val="006E7A0A"/>
    <w:rsid w:val="006E7B61"/>
    <w:rsid w:val="006F4975"/>
    <w:rsid w:val="006F69A8"/>
    <w:rsid w:val="006F6A7A"/>
    <w:rsid w:val="006F6D56"/>
    <w:rsid w:val="006F7425"/>
    <w:rsid w:val="006F7714"/>
    <w:rsid w:val="0070051D"/>
    <w:rsid w:val="00703ED9"/>
    <w:rsid w:val="007044AA"/>
    <w:rsid w:val="00704AC4"/>
    <w:rsid w:val="0070551B"/>
    <w:rsid w:val="00705833"/>
    <w:rsid w:val="00705FC8"/>
    <w:rsid w:val="0070797B"/>
    <w:rsid w:val="007112CB"/>
    <w:rsid w:val="0071721D"/>
    <w:rsid w:val="007179E5"/>
    <w:rsid w:val="00721F55"/>
    <w:rsid w:val="00722C09"/>
    <w:rsid w:val="007234BF"/>
    <w:rsid w:val="00724D75"/>
    <w:rsid w:val="007321A8"/>
    <w:rsid w:val="007347C3"/>
    <w:rsid w:val="0073502C"/>
    <w:rsid w:val="00735A44"/>
    <w:rsid w:val="00735F12"/>
    <w:rsid w:val="007367A0"/>
    <w:rsid w:val="00746543"/>
    <w:rsid w:val="007508A2"/>
    <w:rsid w:val="00752383"/>
    <w:rsid w:val="007555E6"/>
    <w:rsid w:val="0075572E"/>
    <w:rsid w:val="007569C1"/>
    <w:rsid w:val="007569CF"/>
    <w:rsid w:val="00762B48"/>
    <w:rsid w:val="0076777E"/>
    <w:rsid w:val="007705A2"/>
    <w:rsid w:val="007724EC"/>
    <w:rsid w:val="007727A0"/>
    <w:rsid w:val="00772890"/>
    <w:rsid w:val="007777E5"/>
    <w:rsid w:val="007777F9"/>
    <w:rsid w:val="007810A7"/>
    <w:rsid w:val="007813D8"/>
    <w:rsid w:val="007832B7"/>
    <w:rsid w:val="00783C82"/>
    <w:rsid w:val="007874D3"/>
    <w:rsid w:val="00790BFF"/>
    <w:rsid w:val="007914E7"/>
    <w:rsid w:val="007A4FE8"/>
    <w:rsid w:val="007B0AE7"/>
    <w:rsid w:val="007B1714"/>
    <w:rsid w:val="007B3E0B"/>
    <w:rsid w:val="007C2AC0"/>
    <w:rsid w:val="007C3560"/>
    <w:rsid w:val="007C4B21"/>
    <w:rsid w:val="007C6F72"/>
    <w:rsid w:val="007D0C75"/>
    <w:rsid w:val="007D28F6"/>
    <w:rsid w:val="007D5D9F"/>
    <w:rsid w:val="007D643F"/>
    <w:rsid w:val="007D7F9F"/>
    <w:rsid w:val="007E7651"/>
    <w:rsid w:val="007E7BD3"/>
    <w:rsid w:val="007F088E"/>
    <w:rsid w:val="007F0AD1"/>
    <w:rsid w:val="007F152A"/>
    <w:rsid w:val="007F266D"/>
    <w:rsid w:val="007F3CC6"/>
    <w:rsid w:val="00801641"/>
    <w:rsid w:val="008104BA"/>
    <w:rsid w:val="008107D1"/>
    <w:rsid w:val="00811333"/>
    <w:rsid w:val="00812D47"/>
    <w:rsid w:val="00812F66"/>
    <w:rsid w:val="00813B56"/>
    <w:rsid w:val="00814962"/>
    <w:rsid w:val="008159E8"/>
    <w:rsid w:val="00816069"/>
    <w:rsid w:val="008205B4"/>
    <w:rsid w:val="00820EA9"/>
    <w:rsid w:val="00827248"/>
    <w:rsid w:val="00830AB3"/>
    <w:rsid w:val="00832E55"/>
    <w:rsid w:val="00833AD0"/>
    <w:rsid w:val="00834C05"/>
    <w:rsid w:val="0084029A"/>
    <w:rsid w:val="0084226C"/>
    <w:rsid w:val="008475C3"/>
    <w:rsid w:val="008603BB"/>
    <w:rsid w:val="00861A66"/>
    <w:rsid w:val="00861FB5"/>
    <w:rsid w:val="00863D15"/>
    <w:rsid w:val="00865E90"/>
    <w:rsid w:val="00866086"/>
    <w:rsid w:val="00870B2C"/>
    <w:rsid w:val="0087161B"/>
    <w:rsid w:val="00872187"/>
    <w:rsid w:val="00873A59"/>
    <w:rsid w:val="00874101"/>
    <w:rsid w:val="00875B24"/>
    <w:rsid w:val="00875E68"/>
    <w:rsid w:val="00877843"/>
    <w:rsid w:val="00880992"/>
    <w:rsid w:val="00884379"/>
    <w:rsid w:val="00885B39"/>
    <w:rsid w:val="00886A4B"/>
    <w:rsid w:val="0089756C"/>
    <w:rsid w:val="008A3F12"/>
    <w:rsid w:val="008A7EB3"/>
    <w:rsid w:val="008B013C"/>
    <w:rsid w:val="008B28B4"/>
    <w:rsid w:val="008B3582"/>
    <w:rsid w:val="008B4197"/>
    <w:rsid w:val="008B5169"/>
    <w:rsid w:val="008B54BB"/>
    <w:rsid w:val="008C0388"/>
    <w:rsid w:val="008C0733"/>
    <w:rsid w:val="008C7827"/>
    <w:rsid w:val="008D2E74"/>
    <w:rsid w:val="008D346A"/>
    <w:rsid w:val="008D7C32"/>
    <w:rsid w:val="008E473E"/>
    <w:rsid w:val="008E7A49"/>
    <w:rsid w:val="008F3CC1"/>
    <w:rsid w:val="008F632A"/>
    <w:rsid w:val="008F6F9D"/>
    <w:rsid w:val="00905FC6"/>
    <w:rsid w:val="00907A0A"/>
    <w:rsid w:val="0091386F"/>
    <w:rsid w:val="00916C76"/>
    <w:rsid w:val="00921945"/>
    <w:rsid w:val="009250D8"/>
    <w:rsid w:val="00926BEF"/>
    <w:rsid w:val="0093364F"/>
    <w:rsid w:val="009342FD"/>
    <w:rsid w:val="00951FAE"/>
    <w:rsid w:val="00955B28"/>
    <w:rsid w:val="00956392"/>
    <w:rsid w:val="00961CAA"/>
    <w:rsid w:val="00962B2B"/>
    <w:rsid w:val="0096459E"/>
    <w:rsid w:val="00970D2C"/>
    <w:rsid w:val="00970E2B"/>
    <w:rsid w:val="00972DFD"/>
    <w:rsid w:val="00977466"/>
    <w:rsid w:val="00984720"/>
    <w:rsid w:val="00991F97"/>
    <w:rsid w:val="0099303E"/>
    <w:rsid w:val="009941D0"/>
    <w:rsid w:val="00994666"/>
    <w:rsid w:val="009A7590"/>
    <w:rsid w:val="009A7AA8"/>
    <w:rsid w:val="009A7E6F"/>
    <w:rsid w:val="009B0B5A"/>
    <w:rsid w:val="009B4146"/>
    <w:rsid w:val="009B5C6A"/>
    <w:rsid w:val="009C50FA"/>
    <w:rsid w:val="009C6869"/>
    <w:rsid w:val="009C6B9D"/>
    <w:rsid w:val="009D0044"/>
    <w:rsid w:val="009D0680"/>
    <w:rsid w:val="009D17F5"/>
    <w:rsid w:val="009D41B2"/>
    <w:rsid w:val="009D5898"/>
    <w:rsid w:val="009D6491"/>
    <w:rsid w:val="009D75CF"/>
    <w:rsid w:val="009E1D24"/>
    <w:rsid w:val="009E2613"/>
    <w:rsid w:val="009E47BC"/>
    <w:rsid w:val="009E4CC4"/>
    <w:rsid w:val="009E5888"/>
    <w:rsid w:val="009E6D4F"/>
    <w:rsid w:val="009F1A9B"/>
    <w:rsid w:val="009F1B64"/>
    <w:rsid w:val="009F2C81"/>
    <w:rsid w:val="00A027A6"/>
    <w:rsid w:val="00A05AAD"/>
    <w:rsid w:val="00A05C64"/>
    <w:rsid w:val="00A10FDB"/>
    <w:rsid w:val="00A121D6"/>
    <w:rsid w:val="00A1514C"/>
    <w:rsid w:val="00A1531A"/>
    <w:rsid w:val="00A217DF"/>
    <w:rsid w:val="00A240E8"/>
    <w:rsid w:val="00A304A4"/>
    <w:rsid w:val="00A30B8F"/>
    <w:rsid w:val="00A3138B"/>
    <w:rsid w:val="00A33337"/>
    <w:rsid w:val="00A349F7"/>
    <w:rsid w:val="00A42604"/>
    <w:rsid w:val="00A43A77"/>
    <w:rsid w:val="00A46787"/>
    <w:rsid w:val="00A473F4"/>
    <w:rsid w:val="00A529CF"/>
    <w:rsid w:val="00A534F8"/>
    <w:rsid w:val="00A575E5"/>
    <w:rsid w:val="00A601BC"/>
    <w:rsid w:val="00A60A0A"/>
    <w:rsid w:val="00A63EAF"/>
    <w:rsid w:val="00A7084E"/>
    <w:rsid w:val="00A73CB1"/>
    <w:rsid w:val="00A7452A"/>
    <w:rsid w:val="00A77694"/>
    <w:rsid w:val="00A81095"/>
    <w:rsid w:val="00A824AC"/>
    <w:rsid w:val="00A83948"/>
    <w:rsid w:val="00A84441"/>
    <w:rsid w:val="00A856F8"/>
    <w:rsid w:val="00A85DD6"/>
    <w:rsid w:val="00A85F9D"/>
    <w:rsid w:val="00A86AB2"/>
    <w:rsid w:val="00A91267"/>
    <w:rsid w:val="00A920E0"/>
    <w:rsid w:val="00A96B63"/>
    <w:rsid w:val="00AA02D1"/>
    <w:rsid w:val="00AA0F31"/>
    <w:rsid w:val="00AA6898"/>
    <w:rsid w:val="00AB0701"/>
    <w:rsid w:val="00AB338D"/>
    <w:rsid w:val="00AB371C"/>
    <w:rsid w:val="00AC2105"/>
    <w:rsid w:val="00AD270A"/>
    <w:rsid w:val="00AD50F9"/>
    <w:rsid w:val="00AD7072"/>
    <w:rsid w:val="00AD7FF5"/>
    <w:rsid w:val="00AE130E"/>
    <w:rsid w:val="00AE1B7C"/>
    <w:rsid w:val="00AE245E"/>
    <w:rsid w:val="00AE3669"/>
    <w:rsid w:val="00AE3733"/>
    <w:rsid w:val="00AE4190"/>
    <w:rsid w:val="00AE4B1B"/>
    <w:rsid w:val="00AE5470"/>
    <w:rsid w:val="00AE6605"/>
    <w:rsid w:val="00AE730E"/>
    <w:rsid w:val="00AF0F2B"/>
    <w:rsid w:val="00AF53F2"/>
    <w:rsid w:val="00AF6BEF"/>
    <w:rsid w:val="00AF6EBF"/>
    <w:rsid w:val="00B01B78"/>
    <w:rsid w:val="00B0554E"/>
    <w:rsid w:val="00B05769"/>
    <w:rsid w:val="00B11349"/>
    <w:rsid w:val="00B11C78"/>
    <w:rsid w:val="00B14F0C"/>
    <w:rsid w:val="00B21089"/>
    <w:rsid w:val="00B21744"/>
    <w:rsid w:val="00B21829"/>
    <w:rsid w:val="00B267B8"/>
    <w:rsid w:val="00B32055"/>
    <w:rsid w:val="00B3320D"/>
    <w:rsid w:val="00B3360E"/>
    <w:rsid w:val="00B33B5D"/>
    <w:rsid w:val="00B406D5"/>
    <w:rsid w:val="00B4362F"/>
    <w:rsid w:val="00B43725"/>
    <w:rsid w:val="00B45D1F"/>
    <w:rsid w:val="00B50B21"/>
    <w:rsid w:val="00B5178D"/>
    <w:rsid w:val="00B52AD0"/>
    <w:rsid w:val="00B55DBF"/>
    <w:rsid w:val="00B61693"/>
    <w:rsid w:val="00B66F0F"/>
    <w:rsid w:val="00B72ECC"/>
    <w:rsid w:val="00B7428D"/>
    <w:rsid w:val="00B80377"/>
    <w:rsid w:val="00B81E5B"/>
    <w:rsid w:val="00B92592"/>
    <w:rsid w:val="00B926AF"/>
    <w:rsid w:val="00B93BDF"/>
    <w:rsid w:val="00B93C81"/>
    <w:rsid w:val="00B96D34"/>
    <w:rsid w:val="00B974F1"/>
    <w:rsid w:val="00BA0A20"/>
    <w:rsid w:val="00BA5AA6"/>
    <w:rsid w:val="00BA73F5"/>
    <w:rsid w:val="00BB00A8"/>
    <w:rsid w:val="00BB1C19"/>
    <w:rsid w:val="00BB2840"/>
    <w:rsid w:val="00BB2B57"/>
    <w:rsid w:val="00BB6FEB"/>
    <w:rsid w:val="00BC2459"/>
    <w:rsid w:val="00BC5AE4"/>
    <w:rsid w:val="00BC72AE"/>
    <w:rsid w:val="00BD0A12"/>
    <w:rsid w:val="00BD32BC"/>
    <w:rsid w:val="00BE471B"/>
    <w:rsid w:val="00BE5849"/>
    <w:rsid w:val="00BE59C8"/>
    <w:rsid w:val="00BE5E0D"/>
    <w:rsid w:val="00BE6826"/>
    <w:rsid w:val="00BF0DDE"/>
    <w:rsid w:val="00BF20F6"/>
    <w:rsid w:val="00BF2558"/>
    <w:rsid w:val="00BF42CB"/>
    <w:rsid w:val="00C00B82"/>
    <w:rsid w:val="00C01B71"/>
    <w:rsid w:val="00C022D8"/>
    <w:rsid w:val="00C02678"/>
    <w:rsid w:val="00C07C76"/>
    <w:rsid w:val="00C1298E"/>
    <w:rsid w:val="00C157E9"/>
    <w:rsid w:val="00C1606B"/>
    <w:rsid w:val="00C16E37"/>
    <w:rsid w:val="00C20886"/>
    <w:rsid w:val="00C240AA"/>
    <w:rsid w:val="00C2459E"/>
    <w:rsid w:val="00C254FA"/>
    <w:rsid w:val="00C2725D"/>
    <w:rsid w:val="00C4120A"/>
    <w:rsid w:val="00C47AE3"/>
    <w:rsid w:val="00C57940"/>
    <w:rsid w:val="00C62323"/>
    <w:rsid w:val="00C6297E"/>
    <w:rsid w:val="00C6383A"/>
    <w:rsid w:val="00C673F8"/>
    <w:rsid w:val="00C67D75"/>
    <w:rsid w:val="00C73D46"/>
    <w:rsid w:val="00C76784"/>
    <w:rsid w:val="00C76E49"/>
    <w:rsid w:val="00C772DD"/>
    <w:rsid w:val="00C7755B"/>
    <w:rsid w:val="00C82EDD"/>
    <w:rsid w:val="00C83840"/>
    <w:rsid w:val="00C83B74"/>
    <w:rsid w:val="00C86254"/>
    <w:rsid w:val="00C93A32"/>
    <w:rsid w:val="00CA0615"/>
    <w:rsid w:val="00CA3AEF"/>
    <w:rsid w:val="00CA4DF3"/>
    <w:rsid w:val="00CB0CDF"/>
    <w:rsid w:val="00CC3A3B"/>
    <w:rsid w:val="00CC43DB"/>
    <w:rsid w:val="00CC7681"/>
    <w:rsid w:val="00CC7D7A"/>
    <w:rsid w:val="00CD1BEC"/>
    <w:rsid w:val="00CD3038"/>
    <w:rsid w:val="00CD30F3"/>
    <w:rsid w:val="00CE2777"/>
    <w:rsid w:val="00CE3039"/>
    <w:rsid w:val="00CE3F14"/>
    <w:rsid w:val="00CE5008"/>
    <w:rsid w:val="00CF0261"/>
    <w:rsid w:val="00D025C0"/>
    <w:rsid w:val="00D0309F"/>
    <w:rsid w:val="00D0395B"/>
    <w:rsid w:val="00D06F4B"/>
    <w:rsid w:val="00D1128F"/>
    <w:rsid w:val="00D12EF8"/>
    <w:rsid w:val="00D1748C"/>
    <w:rsid w:val="00D23C78"/>
    <w:rsid w:val="00D24ED0"/>
    <w:rsid w:val="00D25048"/>
    <w:rsid w:val="00D2770F"/>
    <w:rsid w:val="00D32C69"/>
    <w:rsid w:val="00D3319C"/>
    <w:rsid w:val="00D35832"/>
    <w:rsid w:val="00D438FA"/>
    <w:rsid w:val="00D45C78"/>
    <w:rsid w:val="00D50852"/>
    <w:rsid w:val="00D522D7"/>
    <w:rsid w:val="00D57263"/>
    <w:rsid w:val="00D605CF"/>
    <w:rsid w:val="00D6120A"/>
    <w:rsid w:val="00D70471"/>
    <w:rsid w:val="00D74F4A"/>
    <w:rsid w:val="00D82C17"/>
    <w:rsid w:val="00D8353B"/>
    <w:rsid w:val="00D83BEE"/>
    <w:rsid w:val="00D841A4"/>
    <w:rsid w:val="00D86B80"/>
    <w:rsid w:val="00D87FEA"/>
    <w:rsid w:val="00D910C2"/>
    <w:rsid w:val="00D93285"/>
    <w:rsid w:val="00D94259"/>
    <w:rsid w:val="00D948D2"/>
    <w:rsid w:val="00D95461"/>
    <w:rsid w:val="00D95B4C"/>
    <w:rsid w:val="00D96E66"/>
    <w:rsid w:val="00DA3C72"/>
    <w:rsid w:val="00DA57F8"/>
    <w:rsid w:val="00DA72C0"/>
    <w:rsid w:val="00DA79A9"/>
    <w:rsid w:val="00DB14C1"/>
    <w:rsid w:val="00DB2202"/>
    <w:rsid w:val="00DB49E0"/>
    <w:rsid w:val="00DB5DBF"/>
    <w:rsid w:val="00DB7D74"/>
    <w:rsid w:val="00DC050E"/>
    <w:rsid w:val="00DC71D2"/>
    <w:rsid w:val="00DD0AEA"/>
    <w:rsid w:val="00DD17A3"/>
    <w:rsid w:val="00DE455F"/>
    <w:rsid w:val="00DE494B"/>
    <w:rsid w:val="00DE7BFB"/>
    <w:rsid w:val="00DF0426"/>
    <w:rsid w:val="00DF1073"/>
    <w:rsid w:val="00DF411C"/>
    <w:rsid w:val="00E00E12"/>
    <w:rsid w:val="00E02A04"/>
    <w:rsid w:val="00E05054"/>
    <w:rsid w:val="00E1298F"/>
    <w:rsid w:val="00E136D7"/>
    <w:rsid w:val="00E162D1"/>
    <w:rsid w:val="00E171D7"/>
    <w:rsid w:val="00E221F3"/>
    <w:rsid w:val="00E2267C"/>
    <w:rsid w:val="00E230DD"/>
    <w:rsid w:val="00E23CC7"/>
    <w:rsid w:val="00E262B8"/>
    <w:rsid w:val="00E26BC4"/>
    <w:rsid w:val="00E26FBB"/>
    <w:rsid w:val="00E301DD"/>
    <w:rsid w:val="00E3501B"/>
    <w:rsid w:val="00E35E0D"/>
    <w:rsid w:val="00E36B06"/>
    <w:rsid w:val="00E40837"/>
    <w:rsid w:val="00E40FDB"/>
    <w:rsid w:val="00E41758"/>
    <w:rsid w:val="00E441CF"/>
    <w:rsid w:val="00E44BBD"/>
    <w:rsid w:val="00E46024"/>
    <w:rsid w:val="00E4656E"/>
    <w:rsid w:val="00E52A5A"/>
    <w:rsid w:val="00E60039"/>
    <w:rsid w:val="00E60F20"/>
    <w:rsid w:val="00E6242D"/>
    <w:rsid w:val="00E723D3"/>
    <w:rsid w:val="00E76BA4"/>
    <w:rsid w:val="00E80C2A"/>
    <w:rsid w:val="00E816F9"/>
    <w:rsid w:val="00E8385B"/>
    <w:rsid w:val="00E85760"/>
    <w:rsid w:val="00E86C6D"/>
    <w:rsid w:val="00E870DA"/>
    <w:rsid w:val="00E878D0"/>
    <w:rsid w:val="00E92B81"/>
    <w:rsid w:val="00E9759A"/>
    <w:rsid w:val="00EA10EC"/>
    <w:rsid w:val="00EA12CE"/>
    <w:rsid w:val="00EA2409"/>
    <w:rsid w:val="00EA2EB7"/>
    <w:rsid w:val="00EA2F16"/>
    <w:rsid w:val="00EB06EE"/>
    <w:rsid w:val="00EB15AC"/>
    <w:rsid w:val="00EB3879"/>
    <w:rsid w:val="00EB3A57"/>
    <w:rsid w:val="00EB4B86"/>
    <w:rsid w:val="00EB4D0B"/>
    <w:rsid w:val="00EB5AB9"/>
    <w:rsid w:val="00EC07C7"/>
    <w:rsid w:val="00EC3EAE"/>
    <w:rsid w:val="00EC4D83"/>
    <w:rsid w:val="00EC578D"/>
    <w:rsid w:val="00ED6F53"/>
    <w:rsid w:val="00EE0CBC"/>
    <w:rsid w:val="00EE4EAD"/>
    <w:rsid w:val="00EF16FE"/>
    <w:rsid w:val="00EF1D5E"/>
    <w:rsid w:val="00EF2053"/>
    <w:rsid w:val="00EF2B73"/>
    <w:rsid w:val="00EF739D"/>
    <w:rsid w:val="00F0157A"/>
    <w:rsid w:val="00F02149"/>
    <w:rsid w:val="00F04576"/>
    <w:rsid w:val="00F06A33"/>
    <w:rsid w:val="00F06FD5"/>
    <w:rsid w:val="00F131A6"/>
    <w:rsid w:val="00F13911"/>
    <w:rsid w:val="00F15DBB"/>
    <w:rsid w:val="00F16F87"/>
    <w:rsid w:val="00F24C2E"/>
    <w:rsid w:val="00F2662E"/>
    <w:rsid w:val="00F27DEE"/>
    <w:rsid w:val="00F31387"/>
    <w:rsid w:val="00F329E9"/>
    <w:rsid w:val="00F3340D"/>
    <w:rsid w:val="00F343A7"/>
    <w:rsid w:val="00F356FB"/>
    <w:rsid w:val="00F4104B"/>
    <w:rsid w:val="00F41858"/>
    <w:rsid w:val="00F41AFC"/>
    <w:rsid w:val="00F43CE4"/>
    <w:rsid w:val="00F53884"/>
    <w:rsid w:val="00F5658C"/>
    <w:rsid w:val="00F56C78"/>
    <w:rsid w:val="00F56E94"/>
    <w:rsid w:val="00F60C45"/>
    <w:rsid w:val="00F663D0"/>
    <w:rsid w:val="00F700A3"/>
    <w:rsid w:val="00F816E9"/>
    <w:rsid w:val="00F81EAA"/>
    <w:rsid w:val="00F820CA"/>
    <w:rsid w:val="00F824C1"/>
    <w:rsid w:val="00F82638"/>
    <w:rsid w:val="00F83CEE"/>
    <w:rsid w:val="00F863C7"/>
    <w:rsid w:val="00F876FB"/>
    <w:rsid w:val="00F905C5"/>
    <w:rsid w:val="00F90B97"/>
    <w:rsid w:val="00F932B9"/>
    <w:rsid w:val="00F94410"/>
    <w:rsid w:val="00F965D3"/>
    <w:rsid w:val="00F97038"/>
    <w:rsid w:val="00FA298B"/>
    <w:rsid w:val="00FA2B07"/>
    <w:rsid w:val="00FA3498"/>
    <w:rsid w:val="00FA3686"/>
    <w:rsid w:val="00FB14C4"/>
    <w:rsid w:val="00FB7E68"/>
    <w:rsid w:val="00FC1DA2"/>
    <w:rsid w:val="00FC28C5"/>
    <w:rsid w:val="00FC2ACD"/>
    <w:rsid w:val="00FC2F95"/>
    <w:rsid w:val="00FC5603"/>
    <w:rsid w:val="00FD16ED"/>
    <w:rsid w:val="00FD33C9"/>
    <w:rsid w:val="00FD551B"/>
    <w:rsid w:val="00FD5595"/>
    <w:rsid w:val="00FE237F"/>
    <w:rsid w:val="00FE4E7F"/>
    <w:rsid w:val="00FE7845"/>
    <w:rsid w:val="00FE7DAF"/>
    <w:rsid w:val="00FF061C"/>
    <w:rsid w:val="00FF0E1B"/>
    <w:rsid w:val="00FF11D7"/>
    <w:rsid w:val="00FF1927"/>
    <w:rsid w:val="00FF2124"/>
    <w:rsid w:val="00FF2BC3"/>
    <w:rsid w:val="00FF37C6"/>
    <w:rsid w:val="00FF3CBA"/>
    <w:rsid w:val="00FF4B6E"/>
    <w:rsid w:val="00FF6DBC"/>
    <w:rsid w:val="00FF7F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650FD8"/>
  <w14:defaultImageDpi w14:val="330"/>
  <w15:docId w15:val="{FDB961F5-146B-437D-A29B-81422405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98F"/>
    <w:pPr>
      <w:spacing w:line="288" w:lineRule="auto"/>
    </w:pPr>
    <w:rPr>
      <w:rFonts w:ascii="Verdana" w:hAnsi="Verdana"/>
    </w:rPr>
  </w:style>
  <w:style w:type="paragraph" w:styleId="Heading1">
    <w:name w:val="heading 1"/>
    <w:basedOn w:val="Normal"/>
    <w:next w:val="Normal"/>
    <w:link w:val="Heading1Char"/>
    <w:uiPriority w:val="9"/>
    <w:qFormat/>
    <w:rsid w:val="00D24ED0"/>
    <w:pPr>
      <w:keepNext/>
      <w:keepLines/>
      <w:spacing w:before="240" w:line="480" w:lineRule="auto"/>
      <w:outlineLvl w:val="0"/>
    </w:pPr>
    <w:rPr>
      <w:rFonts w:eastAsiaTheme="majorEastAsia" w:cstheme="majorBidi"/>
      <w:b/>
      <w:color w:val="7030A0"/>
      <w:sz w:val="30"/>
      <w:szCs w:val="32"/>
    </w:rPr>
  </w:style>
  <w:style w:type="paragraph" w:styleId="Heading2">
    <w:name w:val="heading 2"/>
    <w:basedOn w:val="Normal"/>
    <w:next w:val="Normal"/>
    <w:link w:val="Heading2Char"/>
    <w:uiPriority w:val="9"/>
    <w:unhideWhenUsed/>
    <w:qFormat/>
    <w:rsid w:val="00D23C78"/>
    <w:pPr>
      <w:spacing w:beforeLines="24" w:before="57" w:afterLines="24" w:after="57" w:line="360" w:lineRule="auto"/>
      <w:jc w:val="both"/>
      <w:outlineLvl w:val="1"/>
    </w:pPr>
    <w:rPr>
      <w:rFonts w:cstheme="minorHAnsi"/>
      <w:b/>
      <w:bCs/>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
    <w:basedOn w:val="Normal"/>
    <w:link w:val="FootnoteTextChar"/>
    <w:uiPriority w:val="99"/>
    <w:unhideWhenUsed/>
    <w:qFormat/>
    <w:rsid w:val="00224140"/>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character" w:customStyle="1" w:styleId="Heading1Char">
    <w:name w:val="Heading 1 Char"/>
    <w:basedOn w:val="DefaultParagraphFont"/>
    <w:link w:val="Heading1"/>
    <w:uiPriority w:val="9"/>
    <w:rsid w:val="00D24ED0"/>
    <w:rPr>
      <w:rFonts w:ascii="Verdana" w:eastAsiaTheme="majorEastAsia" w:hAnsi="Verdana" w:cstheme="majorBidi"/>
      <w:b/>
      <w:color w:val="7030A0"/>
      <w:sz w:val="30"/>
      <w:szCs w:val="32"/>
    </w:rPr>
  </w:style>
  <w:style w:type="character" w:customStyle="1" w:styleId="Heading2Char">
    <w:name w:val="Heading 2 Char"/>
    <w:basedOn w:val="DefaultParagraphFont"/>
    <w:link w:val="Heading2"/>
    <w:uiPriority w:val="9"/>
    <w:rsid w:val="00D23C78"/>
    <w:rPr>
      <w:rFonts w:ascii="Verdana" w:hAnsi="Verdana" w:cstheme="minorHAnsi"/>
      <w:b/>
      <w:bCs/>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Maire,L"/>
    <w:basedOn w:val="Normal"/>
    <w:link w:val="ListParagraphChar"/>
    <w:uiPriority w:val="34"/>
    <w:qFormat/>
    <w:rsid w:val="008205B4"/>
    <w:pPr>
      <w:ind w:left="720"/>
      <w:contextualSpacing/>
    </w:pPr>
  </w:style>
  <w:style w:type="paragraph" w:styleId="Quote">
    <w:name w:val="Quote"/>
    <w:basedOn w:val="Normal"/>
    <w:next w:val="Normal"/>
    <w:link w:val="QuoteChar"/>
    <w:uiPriority w:val="29"/>
    <w:qFormat/>
    <w:rsid w:val="00684DB3"/>
    <w:pPr>
      <w:spacing w:before="200" w:after="160"/>
      <w:ind w:left="864" w:right="864"/>
    </w:pPr>
    <w:rPr>
      <w:iCs/>
    </w:rPr>
  </w:style>
  <w:style w:type="character" w:customStyle="1" w:styleId="QuoteChar">
    <w:name w:val="Quote Char"/>
    <w:basedOn w:val="DefaultParagraphFont"/>
    <w:link w:val="Quote"/>
    <w:uiPriority w:val="29"/>
    <w:rsid w:val="00684DB3"/>
    <w:rPr>
      <w:rFonts w:ascii="Verdana" w:hAnsi="Verdana"/>
      <w:iCs/>
    </w:rPr>
  </w:style>
  <w:style w:type="character" w:styleId="CommentReference">
    <w:name w:val="annotation reference"/>
    <w:basedOn w:val="DefaultParagraphFont"/>
    <w:uiPriority w:val="99"/>
    <w:semiHidden/>
    <w:unhideWhenUsed/>
    <w:rsid w:val="00374699"/>
    <w:rPr>
      <w:sz w:val="16"/>
      <w:szCs w:val="16"/>
    </w:rPr>
  </w:style>
  <w:style w:type="paragraph" w:styleId="CommentText">
    <w:name w:val="annotation text"/>
    <w:basedOn w:val="Normal"/>
    <w:link w:val="CommentTextChar"/>
    <w:uiPriority w:val="99"/>
    <w:unhideWhenUsed/>
    <w:rsid w:val="00374699"/>
    <w:pPr>
      <w:spacing w:line="240" w:lineRule="auto"/>
    </w:pPr>
    <w:rPr>
      <w:sz w:val="20"/>
      <w:szCs w:val="20"/>
    </w:rPr>
  </w:style>
  <w:style w:type="character" w:customStyle="1" w:styleId="CommentTextChar">
    <w:name w:val="Comment Text Char"/>
    <w:basedOn w:val="DefaultParagraphFont"/>
    <w:link w:val="CommentText"/>
    <w:uiPriority w:val="99"/>
    <w:rsid w:val="0037469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374699"/>
    <w:rPr>
      <w:b/>
      <w:bCs/>
    </w:rPr>
  </w:style>
  <w:style w:type="character" w:customStyle="1" w:styleId="CommentSubjectChar">
    <w:name w:val="Comment Subject Char"/>
    <w:basedOn w:val="CommentTextChar"/>
    <w:link w:val="CommentSubject"/>
    <w:uiPriority w:val="99"/>
    <w:semiHidden/>
    <w:rsid w:val="00374699"/>
    <w:rPr>
      <w:rFonts w:ascii="Verdana" w:hAnsi="Verdana"/>
      <w:b/>
      <w:bCs/>
      <w:sz w:val="20"/>
      <w:szCs w:val="20"/>
    </w:rPr>
  </w:style>
  <w:style w:type="paragraph" w:styleId="TOCHeading">
    <w:name w:val="TOC Heading"/>
    <w:basedOn w:val="Heading1"/>
    <w:next w:val="Normal"/>
    <w:uiPriority w:val="39"/>
    <w:unhideWhenUsed/>
    <w:qFormat/>
    <w:rsid w:val="00E723D3"/>
    <w:p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246F69"/>
    <w:pPr>
      <w:tabs>
        <w:tab w:val="left" w:pos="660"/>
        <w:tab w:val="right" w:leader="dot" w:pos="9848"/>
      </w:tabs>
      <w:spacing w:after="100"/>
    </w:pPr>
    <w:rPr>
      <w:b/>
      <w:noProof/>
    </w:rPr>
  </w:style>
  <w:style w:type="paragraph" w:styleId="TOC2">
    <w:name w:val="toc 2"/>
    <w:basedOn w:val="Normal"/>
    <w:next w:val="Normal"/>
    <w:autoRedefine/>
    <w:uiPriority w:val="39"/>
    <w:unhideWhenUsed/>
    <w:rsid w:val="00E723D3"/>
    <w:pPr>
      <w:spacing w:after="100"/>
      <w:ind w:left="240"/>
    </w:pPr>
  </w:style>
  <w:style w:type="paragraph" w:customStyle="1" w:styleId="Footnote">
    <w:name w:val="Footnote"/>
    <w:basedOn w:val="FootnoteText"/>
    <w:link w:val="FootnoteChar"/>
    <w:rsid w:val="00BB1C19"/>
    <w:rPr>
      <w:color w:val="77328A"/>
      <w:sz w:val="16"/>
      <w:szCs w:val="16"/>
    </w:rPr>
  </w:style>
  <w:style w:type="character" w:customStyle="1" w:styleId="FootnoteChar">
    <w:name w:val="Footnote Char"/>
    <w:basedOn w:val="FootnoteTextChar"/>
    <w:link w:val="Footnote"/>
    <w:rsid w:val="00BB1C19"/>
    <w:rPr>
      <w:rFonts w:ascii="Verdana" w:hAnsi="Verdana"/>
      <w:color w:val="77328A"/>
      <w:sz w:val="16"/>
      <w:szCs w:val="16"/>
    </w:rPr>
  </w:style>
  <w:style w:type="table" w:styleId="TableGrid">
    <w:name w:val="Table Grid"/>
    <w:basedOn w:val="TableNormal"/>
    <w:uiPriority w:val="59"/>
    <w:rsid w:val="00521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79E5"/>
    <w:rPr>
      <w:rFonts w:ascii="Verdana" w:hAnsi="Verdana"/>
    </w:rPr>
  </w:style>
  <w:style w:type="character" w:customStyle="1" w:styleId="sb8d990e2">
    <w:name w:val="sb8d990e2"/>
    <w:basedOn w:val="DefaultParagraphFont"/>
    <w:rsid w:val="00D605CF"/>
  </w:style>
  <w:style w:type="character" w:customStyle="1" w:styleId="s6b621b36">
    <w:name w:val="s6b621b36"/>
    <w:basedOn w:val="DefaultParagraphFont"/>
    <w:rsid w:val="00D605CF"/>
  </w:style>
  <w:style w:type="character" w:customStyle="1" w:styleId="s7d2086b4">
    <w:name w:val="s7d2086b4"/>
    <w:basedOn w:val="DefaultParagraphFont"/>
    <w:rsid w:val="007813D8"/>
  </w:style>
  <w:style w:type="paragraph" w:customStyle="1" w:styleId="s30eec3f8">
    <w:name w:val="s30eec3f8"/>
    <w:basedOn w:val="Normal"/>
    <w:rsid w:val="00E441C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E02A04"/>
    <w:rPr>
      <w:b/>
      <w:bCs/>
    </w:rPr>
  </w:style>
  <w:style w:type="character" w:styleId="Emphasis">
    <w:name w:val="Emphasis"/>
    <w:basedOn w:val="DefaultParagraphFont"/>
    <w:uiPriority w:val="20"/>
    <w:qFormat/>
    <w:rsid w:val="00E02A04"/>
    <w:rPr>
      <w:i/>
      <w:iCs/>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6C1BCE"/>
    <w:pPr>
      <w:spacing w:after="160" w:line="240" w:lineRule="exact"/>
      <w:jc w:val="both"/>
    </w:pPr>
    <w:rPr>
      <w:rFonts w:asciiTheme="minorHAnsi" w:hAnsiTheme="minorHAnsi"/>
      <w:vertAlign w:val="superscript"/>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rsid w:val="006C1BCE"/>
    <w:rPr>
      <w:rFonts w:ascii="Verdana" w:hAnsi="Verdana"/>
    </w:rPr>
  </w:style>
  <w:style w:type="character" w:styleId="FollowedHyperlink">
    <w:name w:val="FollowedHyperlink"/>
    <w:basedOn w:val="DefaultParagraphFont"/>
    <w:uiPriority w:val="99"/>
    <w:semiHidden/>
    <w:unhideWhenUsed/>
    <w:rsid w:val="00AF6E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252368">
      <w:bodyDiv w:val="1"/>
      <w:marLeft w:val="0"/>
      <w:marRight w:val="0"/>
      <w:marTop w:val="0"/>
      <w:marBottom w:val="0"/>
      <w:divBdr>
        <w:top w:val="none" w:sz="0" w:space="0" w:color="auto"/>
        <w:left w:val="none" w:sz="0" w:space="0" w:color="auto"/>
        <w:bottom w:val="none" w:sz="0" w:space="0" w:color="auto"/>
        <w:right w:val="none" w:sz="0" w:space="0" w:color="auto"/>
      </w:divBdr>
    </w:div>
    <w:div w:id="714231091">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057700">
      <w:bodyDiv w:val="1"/>
      <w:marLeft w:val="0"/>
      <w:marRight w:val="0"/>
      <w:marTop w:val="0"/>
      <w:marBottom w:val="0"/>
      <w:divBdr>
        <w:top w:val="none" w:sz="0" w:space="0" w:color="auto"/>
        <w:left w:val="none" w:sz="0" w:space="0" w:color="auto"/>
        <w:bottom w:val="none" w:sz="0" w:space="0" w:color="auto"/>
        <w:right w:val="none" w:sz="0" w:space="0" w:color="auto"/>
      </w:divBdr>
    </w:div>
    <w:div w:id="1355614025">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623918900">
      <w:bodyDiv w:val="1"/>
      <w:marLeft w:val="0"/>
      <w:marRight w:val="0"/>
      <w:marTop w:val="0"/>
      <w:marBottom w:val="0"/>
      <w:divBdr>
        <w:top w:val="none" w:sz="0" w:space="0" w:color="auto"/>
        <w:left w:val="none" w:sz="0" w:space="0" w:color="auto"/>
        <w:bottom w:val="none" w:sz="0" w:space="0" w:color="auto"/>
        <w:right w:val="none" w:sz="0" w:space="0" w:color="auto"/>
      </w:divBdr>
      <w:divsChild>
        <w:div w:id="625233711">
          <w:marLeft w:val="0"/>
          <w:marRight w:val="0"/>
          <w:marTop w:val="0"/>
          <w:marBottom w:val="0"/>
          <w:divBdr>
            <w:top w:val="none" w:sz="0" w:space="0" w:color="auto"/>
            <w:left w:val="none" w:sz="0" w:space="0" w:color="auto"/>
            <w:bottom w:val="none" w:sz="0" w:space="0" w:color="auto"/>
            <w:right w:val="none" w:sz="0" w:space="0" w:color="auto"/>
          </w:divBdr>
          <w:divsChild>
            <w:div w:id="956177337">
              <w:marLeft w:val="0"/>
              <w:marRight w:val="0"/>
              <w:marTop w:val="0"/>
              <w:marBottom w:val="0"/>
              <w:divBdr>
                <w:top w:val="none" w:sz="0" w:space="0" w:color="auto"/>
                <w:left w:val="none" w:sz="0" w:space="0" w:color="auto"/>
                <w:bottom w:val="none" w:sz="0" w:space="0" w:color="auto"/>
                <w:right w:val="none" w:sz="0" w:space="0" w:color="auto"/>
              </w:divBdr>
            </w:div>
            <w:div w:id="7123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906">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ihrc.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ihrc.org" TargetMode="External"/><Relationship Id="rId4" Type="http://schemas.openxmlformats.org/officeDocument/2006/relationships/settings" Target="settings.xml"/><Relationship Id="rId9" Type="http://schemas.openxmlformats.org/officeDocument/2006/relationships/hyperlink" Target="mailto:Hannah.Russell@nihrc.org"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D12A7-5BEF-4E8A-B8EE-F5165A705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3640</Words>
  <Characters>20753</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24345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Russell</dc:creator>
  <cp:keywords/>
  <dc:description/>
  <cp:lastModifiedBy>Conor Boyle</cp:lastModifiedBy>
  <cp:revision>2</cp:revision>
  <cp:lastPrinted>2022-09-26T13:08:00Z</cp:lastPrinted>
  <dcterms:created xsi:type="dcterms:W3CDTF">2022-09-30T09:36:00Z</dcterms:created>
  <dcterms:modified xsi:type="dcterms:W3CDTF">2022-09-30T09:36:00Z</dcterms:modified>
</cp:coreProperties>
</file>