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A5" w14:textId="77777777" w:rsidR="00F31387" w:rsidRDefault="00F31387" w:rsidP="002B0AE2">
      <w:pPr>
        <w:pStyle w:val="BasicParagraph"/>
        <w:suppressAutoHyphens/>
        <w:spacing w:line="276" w:lineRule="auto"/>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FDB6C25" wp14:editId="4FD0C83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907946E" w14:textId="77777777" w:rsidR="003B7D0E" w:rsidRPr="00EA12CE" w:rsidRDefault="003B7D0E" w:rsidP="002B0AE2">
      <w:pPr>
        <w:pStyle w:val="BasicParagraph"/>
        <w:suppressAutoHyphens/>
        <w:spacing w:line="276" w:lineRule="auto"/>
        <w:jc w:val="center"/>
        <w:rPr>
          <w:rFonts w:ascii="Verdana" w:hAnsi="Verdana" w:cs="Arial"/>
          <w:b/>
          <w:bCs/>
          <w:color w:val="734791"/>
          <w:sz w:val="36"/>
          <w:szCs w:val="36"/>
        </w:rPr>
      </w:pPr>
    </w:p>
    <w:p w14:paraId="22D5F670" w14:textId="77777777" w:rsidR="0096459E" w:rsidRPr="003B7D0E" w:rsidRDefault="005D3E35" w:rsidP="002B0AE2">
      <w:pPr>
        <w:pStyle w:val="BasicParagraph"/>
        <w:suppressAutoHyphens/>
        <w:spacing w:line="276" w:lineRule="auto"/>
        <w:jc w:val="center"/>
        <w:rPr>
          <w:rFonts w:ascii="Verdana" w:hAnsi="Verdana" w:cs="Arial"/>
          <w:b/>
          <w:color w:val="77328A"/>
          <w:sz w:val="36"/>
          <w:szCs w:val="36"/>
        </w:rPr>
      </w:pPr>
      <w:r>
        <w:rPr>
          <w:rFonts w:ascii="Verdana" w:hAnsi="Verdana" w:cs="Arial"/>
          <w:b/>
          <w:bCs/>
          <w:color w:val="77328A"/>
          <w:sz w:val="36"/>
          <w:szCs w:val="36"/>
        </w:rPr>
        <w:t xml:space="preserve">NIHRC Response to Committee for Justice Call for Evidence </w:t>
      </w:r>
      <w:r w:rsidR="00E24D35">
        <w:rPr>
          <w:rFonts w:ascii="Verdana" w:hAnsi="Verdana" w:cs="Arial"/>
          <w:b/>
          <w:bCs/>
          <w:color w:val="77328A"/>
          <w:sz w:val="36"/>
          <w:szCs w:val="36"/>
        </w:rPr>
        <w:t xml:space="preserve">on the Justice (Sexual Offences and Trafficking Victims) Bill </w:t>
      </w:r>
    </w:p>
    <w:p w14:paraId="055BDC31" w14:textId="77777777" w:rsidR="00F31387" w:rsidRPr="00331C61" w:rsidRDefault="00F31387" w:rsidP="002B0AE2">
      <w:pPr>
        <w:pStyle w:val="Default"/>
        <w:spacing w:line="276" w:lineRule="auto"/>
        <w:jc w:val="center"/>
        <w:rPr>
          <w:rFonts w:cs="Arial"/>
          <w:color w:val="232120"/>
          <w:sz w:val="36"/>
          <w:szCs w:val="36"/>
        </w:rPr>
      </w:pPr>
    </w:p>
    <w:p w14:paraId="301AEB70" w14:textId="77777777" w:rsidR="008159E8" w:rsidRPr="00331C61" w:rsidRDefault="005D3E35" w:rsidP="002B0AE2">
      <w:pPr>
        <w:spacing w:line="276" w:lineRule="auto"/>
        <w:jc w:val="center"/>
        <w:rPr>
          <w:rFonts w:ascii="Verdana" w:hAnsi="Verdana" w:cs="Arial"/>
          <w:b/>
          <w:color w:val="232120"/>
          <w:sz w:val="30"/>
          <w:szCs w:val="30"/>
        </w:rPr>
      </w:pPr>
      <w:r>
        <w:rPr>
          <w:rFonts w:ascii="Verdana" w:hAnsi="Verdana" w:cs="Arial"/>
          <w:b/>
          <w:color w:val="232120"/>
          <w:sz w:val="30"/>
          <w:szCs w:val="30"/>
        </w:rPr>
        <w:t>September 2021</w:t>
      </w:r>
    </w:p>
    <w:p w14:paraId="13C704E7" w14:textId="77777777" w:rsidR="00046705" w:rsidRPr="00331C61" w:rsidRDefault="00046705" w:rsidP="002B0AE2">
      <w:pPr>
        <w:spacing w:line="276" w:lineRule="auto"/>
        <w:jc w:val="center"/>
        <w:rPr>
          <w:rFonts w:ascii="Verdana" w:hAnsi="Verdana" w:cs="Arial"/>
          <w:b/>
          <w:color w:val="232120"/>
          <w:sz w:val="28"/>
          <w:szCs w:val="28"/>
        </w:rPr>
      </w:pPr>
    </w:p>
    <w:p w14:paraId="5513C3E5" w14:textId="77777777" w:rsidR="00046705" w:rsidRPr="00331C61" w:rsidRDefault="00046705" w:rsidP="002B0AE2">
      <w:pPr>
        <w:spacing w:line="276" w:lineRule="auto"/>
        <w:jc w:val="center"/>
        <w:rPr>
          <w:rFonts w:ascii="Verdana" w:hAnsi="Verdana" w:cs="Arial"/>
          <w:b/>
          <w:color w:val="232120"/>
          <w:sz w:val="28"/>
          <w:szCs w:val="28"/>
        </w:rPr>
      </w:pPr>
    </w:p>
    <w:p w14:paraId="724F07F2" w14:textId="77777777" w:rsidR="00EA12CE" w:rsidRPr="00331C61" w:rsidRDefault="00EA12CE" w:rsidP="002B0AE2">
      <w:pPr>
        <w:pStyle w:val="Default"/>
        <w:spacing w:line="276" w:lineRule="auto"/>
        <w:jc w:val="center"/>
        <w:rPr>
          <w:rFonts w:cs="Arial"/>
          <w:b/>
          <w:color w:val="232120"/>
          <w:sz w:val="28"/>
          <w:szCs w:val="28"/>
          <w:lang w:val="en-GB"/>
        </w:rPr>
      </w:pPr>
    </w:p>
    <w:p w14:paraId="5CF0D45C" w14:textId="77777777" w:rsidR="003B7D0E" w:rsidRPr="00331C61" w:rsidRDefault="003B7D0E" w:rsidP="002B0AE2">
      <w:pPr>
        <w:pStyle w:val="Default"/>
        <w:spacing w:line="276" w:lineRule="auto"/>
        <w:jc w:val="center"/>
        <w:rPr>
          <w:rFonts w:cs="Arial"/>
          <w:b/>
          <w:color w:val="232120"/>
          <w:sz w:val="36"/>
          <w:szCs w:val="36"/>
        </w:rPr>
      </w:pPr>
    </w:p>
    <w:p w14:paraId="1E0FBA98" w14:textId="77777777" w:rsidR="003B7D0E" w:rsidRDefault="003B7D0E" w:rsidP="002B0AE2">
      <w:pPr>
        <w:pStyle w:val="Default"/>
        <w:spacing w:line="276" w:lineRule="auto"/>
        <w:jc w:val="center"/>
        <w:rPr>
          <w:rFonts w:cs="Arial"/>
          <w:b/>
          <w:color w:val="232120"/>
          <w:sz w:val="36"/>
          <w:szCs w:val="36"/>
        </w:rPr>
      </w:pPr>
    </w:p>
    <w:p w14:paraId="5C7625A5" w14:textId="77777777" w:rsidR="0096459E" w:rsidRDefault="0096459E" w:rsidP="002B0AE2">
      <w:pPr>
        <w:pStyle w:val="Default"/>
        <w:spacing w:line="276" w:lineRule="auto"/>
        <w:jc w:val="center"/>
        <w:rPr>
          <w:rFonts w:cs="Arial"/>
          <w:b/>
          <w:color w:val="232120"/>
          <w:sz w:val="36"/>
          <w:szCs w:val="36"/>
        </w:rPr>
      </w:pPr>
    </w:p>
    <w:p w14:paraId="3B8F0F45" w14:textId="77777777" w:rsidR="002B0AE2" w:rsidRDefault="002B0AE2" w:rsidP="002B0AE2">
      <w:pPr>
        <w:pStyle w:val="Default"/>
        <w:spacing w:line="276" w:lineRule="auto"/>
        <w:jc w:val="center"/>
        <w:rPr>
          <w:rFonts w:cs="Arial"/>
          <w:b/>
          <w:color w:val="232120"/>
          <w:sz w:val="36"/>
          <w:szCs w:val="36"/>
        </w:rPr>
      </w:pPr>
    </w:p>
    <w:p w14:paraId="7A49AC38" w14:textId="77777777" w:rsidR="002B0AE2" w:rsidRDefault="002B0AE2" w:rsidP="002B0AE2">
      <w:pPr>
        <w:pStyle w:val="Default"/>
        <w:spacing w:line="276" w:lineRule="auto"/>
        <w:jc w:val="center"/>
        <w:rPr>
          <w:rFonts w:cs="Arial"/>
          <w:b/>
          <w:color w:val="232120"/>
          <w:sz w:val="36"/>
          <w:szCs w:val="36"/>
        </w:rPr>
      </w:pPr>
    </w:p>
    <w:p w14:paraId="7760DE98" w14:textId="77777777" w:rsidR="002B0AE2" w:rsidRDefault="002B0AE2" w:rsidP="002B0AE2">
      <w:pPr>
        <w:pStyle w:val="Default"/>
        <w:spacing w:line="276" w:lineRule="auto"/>
        <w:jc w:val="center"/>
        <w:rPr>
          <w:rFonts w:cs="Arial"/>
          <w:b/>
          <w:color w:val="232120"/>
          <w:sz w:val="36"/>
          <w:szCs w:val="36"/>
        </w:rPr>
      </w:pPr>
    </w:p>
    <w:p w14:paraId="5A486FF8" w14:textId="77777777" w:rsidR="002B0AE2" w:rsidRPr="00331C61" w:rsidRDefault="002B0AE2" w:rsidP="002B0AE2">
      <w:pPr>
        <w:pStyle w:val="Default"/>
        <w:spacing w:line="276" w:lineRule="auto"/>
        <w:jc w:val="center"/>
        <w:rPr>
          <w:rFonts w:cs="Arial"/>
          <w:b/>
          <w:color w:val="232120"/>
          <w:sz w:val="36"/>
          <w:szCs w:val="36"/>
        </w:rPr>
      </w:pPr>
    </w:p>
    <w:p w14:paraId="27FC5596" w14:textId="77777777" w:rsidR="00E24D35" w:rsidRDefault="00E24D35" w:rsidP="002B0AE2">
      <w:pPr>
        <w:pStyle w:val="Default"/>
        <w:spacing w:line="276" w:lineRule="auto"/>
        <w:rPr>
          <w:rFonts w:cs="Arial"/>
          <w:b/>
          <w:color w:val="232120"/>
          <w:sz w:val="36"/>
          <w:szCs w:val="36"/>
        </w:rPr>
      </w:pPr>
    </w:p>
    <w:sdt>
      <w:sdtPr>
        <w:rPr>
          <w:rFonts w:asciiTheme="minorHAnsi" w:eastAsiaTheme="minorEastAsia" w:hAnsiTheme="minorHAnsi" w:cstheme="minorBidi"/>
          <w:color w:val="auto"/>
          <w:sz w:val="24"/>
          <w:szCs w:val="24"/>
          <w:lang w:val="en-GB"/>
        </w:rPr>
        <w:id w:val="-507676970"/>
        <w:docPartObj>
          <w:docPartGallery w:val="Table of Contents"/>
          <w:docPartUnique/>
        </w:docPartObj>
      </w:sdtPr>
      <w:sdtEndPr>
        <w:rPr>
          <w:b/>
          <w:bCs/>
          <w:noProof/>
        </w:rPr>
      </w:sdtEndPr>
      <w:sdtContent>
        <w:p w14:paraId="166C22D4" w14:textId="77777777" w:rsidR="00754188" w:rsidRPr="0037287D" w:rsidRDefault="0037287D" w:rsidP="002B0AE2">
          <w:pPr>
            <w:pStyle w:val="TOCHeading"/>
            <w:spacing w:before="0" w:line="276" w:lineRule="auto"/>
            <w:rPr>
              <w:rFonts w:ascii="Verdana" w:hAnsi="Verdana"/>
              <w:b/>
              <w:color w:val="76328A"/>
              <w:sz w:val="30"/>
              <w:szCs w:val="30"/>
            </w:rPr>
          </w:pPr>
          <w:r w:rsidRPr="0037287D">
            <w:rPr>
              <w:rFonts w:ascii="Verdana" w:hAnsi="Verdana"/>
              <w:b/>
              <w:color w:val="76328A"/>
              <w:sz w:val="30"/>
              <w:szCs w:val="30"/>
            </w:rPr>
            <w:t xml:space="preserve">Table of Contents </w:t>
          </w:r>
        </w:p>
        <w:p w14:paraId="4D80CF7E" w14:textId="77777777" w:rsidR="0037287D" w:rsidRPr="000A4066" w:rsidRDefault="0037287D" w:rsidP="002B0AE2">
          <w:pPr>
            <w:spacing w:line="276" w:lineRule="auto"/>
            <w:rPr>
              <w:rFonts w:ascii="Verdana" w:hAnsi="Verdana"/>
              <w:lang w:val="en-US"/>
            </w:rPr>
          </w:pPr>
        </w:p>
        <w:p w14:paraId="61A5029E" w14:textId="77777777" w:rsidR="007B2223" w:rsidRPr="007B2223" w:rsidRDefault="00754188">
          <w:pPr>
            <w:pStyle w:val="TOC1"/>
            <w:rPr>
              <w:b w:val="0"/>
              <w:sz w:val="22"/>
              <w:szCs w:val="22"/>
              <w:lang w:eastAsia="en-GB"/>
            </w:rPr>
          </w:pPr>
          <w:r w:rsidRPr="00256743">
            <w:fldChar w:fldCharType="begin"/>
          </w:r>
          <w:r w:rsidRPr="003B6F77">
            <w:instrText xml:space="preserve"> TOC \o "1-3" \h \z \u </w:instrText>
          </w:r>
          <w:r w:rsidRPr="00256743">
            <w:fldChar w:fldCharType="separate"/>
          </w:r>
          <w:hyperlink w:anchor="_Toc83380402" w:history="1">
            <w:r w:rsidR="007B2223" w:rsidRPr="007B2223">
              <w:rPr>
                <w:rStyle w:val="Hyperlink"/>
              </w:rPr>
              <w:t>Summary of Recommendations</w:t>
            </w:r>
            <w:r w:rsidR="007B2223" w:rsidRPr="007B2223">
              <w:rPr>
                <w:webHidden/>
              </w:rPr>
              <w:tab/>
            </w:r>
            <w:r w:rsidR="007B2223" w:rsidRPr="007B2223">
              <w:rPr>
                <w:webHidden/>
              </w:rPr>
              <w:fldChar w:fldCharType="begin"/>
            </w:r>
            <w:r w:rsidR="007B2223" w:rsidRPr="007B2223">
              <w:rPr>
                <w:webHidden/>
              </w:rPr>
              <w:instrText xml:space="preserve"> PAGEREF _Toc83380402 \h </w:instrText>
            </w:r>
            <w:r w:rsidR="007B2223" w:rsidRPr="007B2223">
              <w:rPr>
                <w:webHidden/>
              </w:rPr>
            </w:r>
            <w:r w:rsidR="007B2223" w:rsidRPr="007B2223">
              <w:rPr>
                <w:webHidden/>
              </w:rPr>
              <w:fldChar w:fldCharType="separate"/>
            </w:r>
            <w:r w:rsidR="007B2223" w:rsidRPr="007B2223">
              <w:rPr>
                <w:webHidden/>
              </w:rPr>
              <w:t>3</w:t>
            </w:r>
            <w:r w:rsidR="007B2223" w:rsidRPr="007B2223">
              <w:rPr>
                <w:webHidden/>
              </w:rPr>
              <w:fldChar w:fldCharType="end"/>
            </w:r>
          </w:hyperlink>
        </w:p>
        <w:p w14:paraId="12624C2E" w14:textId="77777777" w:rsidR="007B2223" w:rsidRPr="007B2223" w:rsidRDefault="00997B48">
          <w:pPr>
            <w:pStyle w:val="TOC1"/>
            <w:rPr>
              <w:b w:val="0"/>
              <w:sz w:val="22"/>
              <w:szCs w:val="22"/>
              <w:lang w:eastAsia="en-GB"/>
            </w:rPr>
          </w:pPr>
          <w:hyperlink w:anchor="_Toc83380403" w:history="1">
            <w:r w:rsidR="007B2223" w:rsidRPr="007B2223">
              <w:rPr>
                <w:rStyle w:val="Hyperlink"/>
              </w:rPr>
              <w:t>1.0</w:t>
            </w:r>
            <w:r w:rsidR="007B2223" w:rsidRPr="007B2223">
              <w:rPr>
                <w:b w:val="0"/>
                <w:sz w:val="22"/>
                <w:szCs w:val="22"/>
                <w:lang w:eastAsia="en-GB"/>
              </w:rPr>
              <w:tab/>
            </w:r>
            <w:r w:rsidR="007B2223" w:rsidRPr="007B2223">
              <w:rPr>
                <w:rStyle w:val="Hyperlink"/>
              </w:rPr>
              <w:t>Introduction</w:t>
            </w:r>
            <w:r w:rsidR="007B2223" w:rsidRPr="007B2223">
              <w:rPr>
                <w:webHidden/>
              </w:rPr>
              <w:tab/>
            </w:r>
            <w:r w:rsidR="007B2223" w:rsidRPr="007B2223">
              <w:rPr>
                <w:webHidden/>
              </w:rPr>
              <w:fldChar w:fldCharType="begin"/>
            </w:r>
            <w:r w:rsidR="007B2223" w:rsidRPr="007B2223">
              <w:rPr>
                <w:webHidden/>
              </w:rPr>
              <w:instrText xml:space="preserve"> PAGEREF _Toc83380403 \h </w:instrText>
            </w:r>
            <w:r w:rsidR="007B2223" w:rsidRPr="007B2223">
              <w:rPr>
                <w:webHidden/>
              </w:rPr>
            </w:r>
            <w:r w:rsidR="007B2223" w:rsidRPr="007B2223">
              <w:rPr>
                <w:webHidden/>
              </w:rPr>
              <w:fldChar w:fldCharType="separate"/>
            </w:r>
            <w:r w:rsidR="007B2223" w:rsidRPr="007B2223">
              <w:rPr>
                <w:webHidden/>
              </w:rPr>
              <w:t>5</w:t>
            </w:r>
            <w:r w:rsidR="007B2223" w:rsidRPr="007B2223">
              <w:rPr>
                <w:webHidden/>
              </w:rPr>
              <w:fldChar w:fldCharType="end"/>
            </w:r>
          </w:hyperlink>
        </w:p>
        <w:p w14:paraId="60113FF3" w14:textId="77777777" w:rsidR="007B2223" w:rsidRPr="007B2223" w:rsidRDefault="00997B48">
          <w:pPr>
            <w:pStyle w:val="TOC1"/>
            <w:rPr>
              <w:b w:val="0"/>
              <w:sz w:val="22"/>
              <w:szCs w:val="22"/>
              <w:lang w:eastAsia="en-GB"/>
            </w:rPr>
          </w:pPr>
          <w:hyperlink w:anchor="_Toc83380404" w:history="1">
            <w:r w:rsidR="007B2223" w:rsidRPr="007B2223">
              <w:rPr>
                <w:rStyle w:val="Hyperlink"/>
              </w:rPr>
              <w:t>2.0</w:t>
            </w:r>
            <w:r w:rsidR="007B2223" w:rsidRPr="007B2223">
              <w:rPr>
                <w:b w:val="0"/>
                <w:sz w:val="22"/>
                <w:szCs w:val="22"/>
                <w:lang w:eastAsia="en-GB"/>
              </w:rPr>
              <w:tab/>
            </w:r>
            <w:r w:rsidR="007B2223" w:rsidRPr="007B2223">
              <w:rPr>
                <w:rStyle w:val="Hyperlink"/>
              </w:rPr>
              <w:t>Human Rights Standards</w:t>
            </w:r>
            <w:r w:rsidR="007B2223" w:rsidRPr="007B2223">
              <w:rPr>
                <w:webHidden/>
              </w:rPr>
              <w:tab/>
            </w:r>
            <w:r w:rsidR="007B2223" w:rsidRPr="007B2223">
              <w:rPr>
                <w:webHidden/>
              </w:rPr>
              <w:fldChar w:fldCharType="begin"/>
            </w:r>
            <w:r w:rsidR="007B2223" w:rsidRPr="007B2223">
              <w:rPr>
                <w:webHidden/>
              </w:rPr>
              <w:instrText xml:space="preserve"> PAGEREF _Toc83380404 \h </w:instrText>
            </w:r>
            <w:r w:rsidR="007B2223" w:rsidRPr="007B2223">
              <w:rPr>
                <w:webHidden/>
              </w:rPr>
            </w:r>
            <w:r w:rsidR="007B2223" w:rsidRPr="007B2223">
              <w:rPr>
                <w:webHidden/>
              </w:rPr>
              <w:fldChar w:fldCharType="separate"/>
            </w:r>
            <w:r w:rsidR="007B2223" w:rsidRPr="007B2223">
              <w:rPr>
                <w:webHidden/>
              </w:rPr>
              <w:t>7</w:t>
            </w:r>
            <w:r w:rsidR="007B2223" w:rsidRPr="007B2223">
              <w:rPr>
                <w:webHidden/>
              </w:rPr>
              <w:fldChar w:fldCharType="end"/>
            </w:r>
          </w:hyperlink>
        </w:p>
        <w:p w14:paraId="10CF32CF" w14:textId="77777777" w:rsidR="007B2223" w:rsidRPr="007B2223" w:rsidRDefault="00997B48">
          <w:pPr>
            <w:pStyle w:val="TOC2"/>
            <w:rPr>
              <w:rFonts w:ascii="Verdana" w:hAnsi="Verdana"/>
              <w:noProof/>
              <w:sz w:val="22"/>
              <w:szCs w:val="22"/>
              <w:lang w:eastAsia="en-GB"/>
            </w:rPr>
          </w:pPr>
          <w:hyperlink w:anchor="_Toc83380405" w:history="1">
            <w:r w:rsidR="007B2223" w:rsidRPr="007B2223">
              <w:rPr>
                <w:rStyle w:val="Hyperlink"/>
                <w:rFonts w:ascii="Verdana" w:hAnsi="Verdana"/>
                <w:noProof/>
              </w:rPr>
              <w:t>The Ireland/Northern Ireland Protocol</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_Toc83380405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11</w:t>
            </w:r>
            <w:r w:rsidR="007B2223" w:rsidRPr="007B2223">
              <w:rPr>
                <w:rFonts w:ascii="Verdana" w:hAnsi="Verdana"/>
                <w:noProof/>
                <w:webHidden/>
              </w:rPr>
              <w:fldChar w:fldCharType="end"/>
            </w:r>
          </w:hyperlink>
        </w:p>
        <w:p w14:paraId="77DCE764" w14:textId="77777777" w:rsidR="007B2223" w:rsidRPr="007B2223" w:rsidRDefault="00997B48">
          <w:pPr>
            <w:pStyle w:val="TOC1"/>
            <w:rPr>
              <w:b w:val="0"/>
              <w:sz w:val="22"/>
              <w:szCs w:val="22"/>
              <w:lang w:eastAsia="en-GB"/>
            </w:rPr>
          </w:pPr>
          <w:hyperlink w:anchor="_Toc83380406" w:history="1">
            <w:r w:rsidR="007B2223" w:rsidRPr="007B2223">
              <w:rPr>
                <w:rStyle w:val="Hyperlink"/>
              </w:rPr>
              <w:t>3.0</w:t>
            </w:r>
            <w:r w:rsidR="007B2223" w:rsidRPr="007B2223">
              <w:rPr>
                <w:b w:val="0"/>
                <w:sz w:val="22"/>
                <w:szCs w:val="22"/>
                <w:lang w:eastAsia="en-GB"/>
              </w:rPr>
              <w:tab/>
            </w:r>
            <w:r w:rsidR="007B2223" w:rsidRPr="007B2223">
              <w:rPr>
                <w:rStyle w:val="Hyperlink"/>
              </w:rPr>
              <w:t>Part 1: Sexual Offences</w:t>
            </w:r>
            <w:r w:rsidR="007B2223" w:rsidRPr="007B2223">
              <w:rPr>
                <w:webHidden/>
              </w:rPr>
              <w:tab/>
            </w:r>
            <w:r w:rsidR="007B2223" w:rsidRPr="007B2223">
              <w:rPr>
                <w:webHidden/>
              </w:rPr>
              <w:fldChar w:fldCharType="begin"/>
            </w:r>
            <w:r w:rsidR="007B2223" w:rsidRPr="007B2223">
              <w:rPr>
                <w:webHidden/>
              </w:rPr>
              <w:instrText xml:space="preserve"> PAGEREF _Toc83380406 \h </w:instrText>
            </w:r>
            <w:r w:rsidR="007B2223" w:rsidRPr="007B2223">
              <w:rPr>
                <w:webHidden/>
              </w:rPr>
            </w:r>
            <w:r w:rsidR="007B2223" w:rsidRPr="007B2223">
              <w:rPr>
                <w:webHidden/>
              </w:rPr>
              <w:fldChar w:fldCharType="separate"/>
            </w:r>
            <w:r w:rsidR="007B2223" w:rsidRPr="007B2223">
              <w:rPr>
                <w:webHidden/>
              </w:rPr>
              <w:t>13</w:t>
            </w:r>
            <w:r w:rsidR="007B2223" w:rsidRPr="007B2223">
              <w:rPr>
                <w:webHidden/>
              </w:rPr>
              <w:fldChar w:fldCharType="end"/>
            </w:r>
          </w:hyperlink>
        </w:p>
        <w:p w14:paraId="70A5F05F" w14:textId="77777777" w:rsidR="007B2223" w:rsidRPr="007B2223" w:rsidRDefault="00997B48">
          <w:pPr>
            <w:pStyle w:val="TOC2"/>
            <w:rPr>
              <w:rFonts w:ascii="Verdana" w:hAnsi="Verdana"/>
              <w:noProof/>
              <w:sz w:val="22"/>
              <w:szCs w:val="22"/>
              <w:lang w:eastAsia="en-GB"/>
            </w:rPr>
          </w:pPr>
          <w:hyperlink w:anchor="_Toc83380407" w:history="1">
            <w:r w:rsidR="007B2223" w:rsidRPr="007B2223">
              <w:rPr>
                <w:rStyle w:val="Hyperlink"/>
                <w:rFonts w:ascii="Verdana" w:hAnsi="Verdana"/>
                <w:noProof/>
              </w:rPr>
              <w:t>Voyeurism</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_Toc83380407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13</w:t>
            </w:r>
            <w:r w:rsidR="007B2223" w:rsidRPr="007B2223">
              <w:rPr>
                <w:rFonts w:ascii="Verdana" w:hAnsi="Verdana"/>
                <w:noProof/>
                <w:webHidden/>
              </w:rPr>
              <w:fldChar w:fldCharType="end"/>
            </w:r>
          </w:hyperlink>
        </w:p>
        <w:p w14:paraId="29034EE5" w14:textId="77777777" w:rsidR="007B2223" w:rsidRPr="007B2223" w:rsidRDefault="00997B48">
          <w:pPr>
            <w:pStyle w:val="TOC2"/>
            <w:rPr>
              <w:rFonts w:ascii="Verdana" w:hAnsi="Verdana"/>
              <w:noProof/>
              <w:sz w:val="22"/>
              <w:szCs w:val="22"/>
              <w:lang w:eastAsia="en-GB"/>
            </w:rPr>
          </w:pPr>
          <w:hyperlink w:anchor="_Toc83380408" w:history="1">
            <w:r w:rsidR="007B2223" w:rsidRPr="007B2223">
              <w:rPr>
                <w:rStyle w:val="Hyperlink"/>
                <w:rFonts w:ascii="Verdana" w:hAnsi="Verdana"/>
                <w:noProof/>
              </w:rPr>
              <w:t>Child Sexual Exploitation</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_Toc83380408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14</w:t>
            </w:r>
            <w:r w:rsidR="007B2223" w:rsidRPr="007B2223">
              <w:rPr>
                <w:rFonts w:ascii="Verdana" w:hAnsi="Verdana"/>
                <w:noProof/>
                <w:webHidden/>
              </w:rPr>
              <w:fldChar w:fldCharType="end"/>
            </w:r>
          </w:hyperlink>
        </w:p>
        <w:p w14:paraId="7EF66DB2" w14:textId="77777777" w:rsidR="007B2223" w:rsidRPr="007B2223" w:rsidRDefault="00997B48">
          <w:pPr>
            <w:pStyle w:val="TOC2"/>
            <w:rPr>
              <w:rFonts w:ascii="Verdana" w:hAnsi="Verdana"/>
              <w:noProof/>
              <w:sz w:val="22"/>
              <w:szCs w:val="22"/>
              <w:lang w:eastAsia="en-GB"/>
            </w:rPr>
          </w:pPr>
          <w:hyperlink w:anchor="_Toc83380409" w:history="1">
            <w:r w:rsidR="007B2223" w:rsidRPr="007B2223">
              <w:rPr>
                <w:rStyle w:val="Hyperlink"/>
                <w:rFonts w:ascii="Verdana" w:hAnsi="Verdana"/>
                <w:noProof/>
              </w:rPr>
              <w:t>Gillen Review Recommendations</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_Toc83380409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16</w:t>
            </w:r>
            <w:r w:rsidR="007B2223" w:rsidRPr="007B2223">
              <w:rPr>
                <w:rFonts w:ascii="Verdana" w:hAnsi="Verdana"/>
                <w:noProof/>
                <w:webHidden/>
              </w:rPr>
              <w:fldChar w:fldCharType="end"/>
            </w:r>
          </w:hyperlink>
        </w:p>
        <w:p w14:paraId="4EDB42F2" w14:textId="77777777" w:rsidR="007B2223" w:rsidRPr="007B2223" w:rsidRDefault="00997B48">
          <w:pPr>
            <w:pStyle w:val="TOC1"/>
            <w:rPr>
              <w:b w:val="0"/>
              <w:sz w:val="22"/>
              <w:szCs w:val="22"/>
              <w:lang w:eastAsia="en-GB"/>
            </w:rPr>
          </w:pPr>
          <w:hyperlink w:anchor="_Toc83380410" w:history="1">
            <w:r w:rsidR="007B2223" w:rsidRPr="007B2223">
              <w:rPr>
                <w:rStyle w:val="Hyperlink"/>
              </w:rPr>
              <w:t>4.0</w:t>
            </w:r>
            <w:r w:rsidR="007B2223" w:rsidRPr="007B2223">
              <w:rPr>
                <w:b w:val="0"/>
                <w:sz w:val="22"/>
                <w:szCs w:val="22"/>
                <w:lang w:eastAsia="en-GB"/>
              </w:rPr>
              <w:tab/>
            </w:r>
            <w:r w:rsidR="007B2223" w:rsidRPr="007B2223">
              <w:rPr>
                <w:rStyle w:val="Hyperlink"/>
              </w:rPr>
              <w:t>Part 2: Trafficking and Exploitation</w:t>
            </w:r>
            <w:r w:rsidR="007B2223" w:rsidRPr="007B2223">
              <w:rPr>
                <w:webHidden/>
              </w:rPr>
              <w:tab/>
            </w:r>
            <w:r w:rsidR="007B2223" w:rsidRPr="007B2223">
              <w:rPr>
                <w:webHidden/>
              </w:rPr>
              <w:fldChar w:fldCharType="begin"/>
            </w:r>
            <w:r w:rsidR="007B2223" w:rsidRPr="007B2223">
              <w:rPr>
                <w:webHidden/>
              </w:rPr>
              <w:instrText xml:space="preserve"> PAGEREF _Toc83380410 \h </w:instrText>
            </w:r>
            <w:r w:rsidR="007B2223" w:rsidRPr="007B2223">
              <w:rPr>
                <w:webHidden/>
              </w:rPr>
            </w:r>
            <w:r w:rsidR="007B2223" w:rsidRPr="007B2223">
              <w:rPr>
                <w:webHidden/>
              </w:rPr>
              <w:fldChar w:fldCharType="separate"/>
            </w:r>
            <w:r w:rsidR="007B2223" w:rsidRPr="007B2223">
              <w:rPr>
                <w:webHidden/>
              </w:rPr>
              <w:t>20</w:t>
            </w:r>
            <w:r w:rsidR="007B2223" w:rsidRPr="007B2223">
              <w:rPr>
                <w:webHidden/>
              </w:rPr>
              <w:fldChar w:fldCharType="end"/>
            </w:r>
          </w:hyperlink>
        </w:p>
        <w:p w14:paraId="4CA40C5D" w14:textId="77777777" w:rsidR="007B2223" w:rsidRPr="007B2223" w:rsidRDefault="00997B48">
          <w:pPr>
            <w:pStyle w:val="TOC1"/>
            <w:rPr>
              <w:b w:val="0"/>
              <w:sz w:val="22"/>
              <w:szCs w:val="22"/>
              <w:lang w:eastAsia="en-GB"/>
            </w:rPr>
          </w:pPr>
          <w:hyperlink w:anchor="_Toc83380411" w:history="1">
            <w:r w:rsidR="007B2223" w:rsidRPr="007B2223">
              <w:rPr>
                <w:rStyle w:val="Hyperlink"/>
              </w:rPr>
              <w:t>5.0</w:t>
            </w:r>
            <w:r w:rsidR="007B2223" w:rsidRPr="007B2223">
              <w:rPr>
                <w:b w:val="0"/>
                <w:sz w:val="22"/>
                <w:szCs w:val="22"/>
                <w:lang w:eastAsia="en-GB"/>
              </w:rPr>
              <w:tab/>
            </w:r>
            <w:r w:rsidR="007B2223" w:rsidRPr="007B2223">
              <w:rPr>
                <w:rStyle w:val="Hyperlink"/>
              </w:rPr>
              <w:t>Amendments</w:t>
            </w:r>
            <w:r w:rsidR="007B2223" w:rsidRPr="007B2223">
              <w:rPr>
                <w:webHidden/>
              </w:rPr>
              <w:tab/>
            </w:r>
            <w:r w:rsidR="007B2223" w:rsidRPr="007B2223">
              <w:rPr>
                <w:webHidden/>
              </w:rPr>
              <w:fldChar w:fldCharType="begin"/>
            </w:r>
            <w:r w:rsidR="007B2223" w:rsidRPr="007B2223">
              <w:rPr>
                <w:webHidden/>
              </w:rPr>
              <w:instrText xml:space="preserve"> PAGEREF _Toc83380411 \h </w:instrText>
            </w:r>
            <w:r w:rsidR="007B2223" w:rsidRPr="007B2223">
              <w:rPr>
                <w:webHidden/>
              </w:rPr>
            </w:r>
            <w:r w:rsidR="007B2223" w:rsidRPr="007B2223">
              <w:rPr>
                <w:webHidden/>
              </w:rPr>
              <w:fldChar w:fldCharType="separate"/>
            </w:r>
            <w:r w:rsidR="007B2223" w:rsidRPr="007B2223">
              <w:rPr>
                <w:webHidden/>
              </w:rPr>
              <w:t>22</w:t>
            </w:r>
            <w:r w:rsidR="007B2223" w:rsidRPr="007B2223">
              <w:rPr>
                <w:webHidden/>
              </w:rPr>
              <w:fldChar w:fldCharType="end"/>
            </w:r>
          </w:hyperlink>
        </w:p>
        <w:p w14:paraId="4C7B2C71" w14:textId="77777777" w:rsidR="007B2223" w:rsidRPr="007B2223" w:rsidRDefault="00997B48">
          <w:pPr>
            <w:pStyle w:val="TOC2"/>
            <w:rPr>
              <w:rFonts w:ascii="Verdana" w:hAnsi="Verdana"/>
              <w:noProof/>
              <w:sz w:val="22"/>
              <w:szCs w:val="22"/>
              <w:lang w:eastAsia="en-GB"/>
            </w:rPr>
          </w:pPr>
          <w:hyperlink w:anchor="_Toc83380412" w:history="1">
            <w:r w:rsidR="007B2223" w:rsidRPr="007B2223">
              <w:rPr>
                <w:rStyle w:val="Hyperlink"/>
                <w:rFonts w:ascii="Verdana" w:hAnsi="Verdana"/>
                <w:noProof/>
              </w:rPr>
              <w:t>Abolition of the ‘Rough Sex Defence’</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_Toc83380412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23</w:t>
            </w:r>
            <w:r w:rsidR="007B2223" w:rsidRPr="007B2223">
              <w:rPr>
                <w:rFonts w:ascii="Verdana" w:hAnsi="Verdana"/>
                <w:noProof/>
                <w:webHidden/>
              </w:rPr>
              <w:fldChar w:fldCharType="end"/>
            </w:r>
          </w:hyperlink>
        </w:p>
        <w:p w14:paraId="2C64D108" w14:textId="77777777" w:rsidR="007B2223" w:rsidRPr="007B2223" w:rsidRDefault="00997B48">
          <w:pPr>
            <w:pStyle w:val="TOC2"/>
            <w:rPr>
              <w:rFonts w:ascii="Verdana" w:hAnsi="Verdana"/>
              <w:noProof/>
              <w:sz w:val="22"/>
              <w:szCs w:val="22"/>
              <w:lang w:eastAsia="en-GB"/>
            </w:rPr>
          </w:pPr>
          <w:hyperlink w:anchor="_Toc83380413" w:history="1">
            <w:r w:rsidR="007B2223" w:rsidRPr="007B2223">
              <w:rPr>
                <w:rStyle w:val="Hyperlink"/>
                <w:rFonts w:ascii="Verdana" w:hAnsi="Verdana"/>
                <w:noProof/>
              </w:rPr>
              <w:t>Image Based Sexual Abuse “Revenge Porn”</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_Toc83380413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23</w:t>
            </w:r>
            <w:r w:rsidR="007B2223" w:rsidRPr="007B2223">
              <w:rPr>
                <w:rFonts w:ascii="Verdana" w:hAnsi="Verdana"/>
                <w:noProof/>
                <w:webHidden/>
              </w:rPr>
              <w:fldChar w:fldCharType="end"/>
            </w:r>
          </w:hyperlink>
        </w:p>
        <w:p w14:paraId="32B3DB8D" w14:textId="77777777" w:rsidR="007B2223" w:rsidRPr="007B2223" w:rsidRDefault="00997B48">
          <w:pPr>
            <w:pStyle w:val="TOC2"/>
            <w:rPr>
              <w:rFonts w:ascii="Verdana" w:hAnsi="Verdana"/>
              <w:noProof/>
              <w:sz w:val="22"/>
              <w:szCs w:val="22"/>
              <w:lang w:eastAsia="en-GB"/>
            </w:rPr>
          </w:pPr>
          <w:hyperlink w:anchor="_Toc83380414" w:history="1">
            <w:r w:rsidR="007B2223" w:rsidRPr="007B2223">
              <w:rPr>
                <w:rStyle w:val="Hyperlink"/>
                <w:rFonts w:ascii="Verdana" w:hAnsi="Verdana"/>
                <w:noProof/>
              </w:rPr>
              <w:t>Abuse of Trust</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_Toc83380414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24</w:t>
            </w:r>
            <w:r w:rsidR="007B2223" w:rsidRPr="007B2223">
              <w:rPr>
                <w:rFonts w:ascii="Verdana" w:hAnsi="Verdana"/>
                <w:noProof/>
                <w:webHidden/>
              </w:rPr>
              <w:fldChar w:fldCharType="end"/>
            </w:r>
          </w:hyperlink>
        </w:p>
        <w:p w14:paraId="38FA7A2D" w14:textId="77777777" w:rsidR="007B2223" w:rsidRPr="007B2223" w:rsidRDefault="00997B48">
          <w:pPr>
            <w:pStyle w:val="TOC1"/>
            <w:rPr>
              <w:b w:val="0"/>
              <w:sz w:val="22"/>
              <w:szCs w:val="22"/>
              <w:lang w:eastAsia="en-GB"/>
            </w:rPr>
          </w:pPr>
          <w:hyperlink w:anchor="_Toc83380415" w:history="1">
            <w:r w:rsidR="007B2223" w:rsidRPr="007B2223">
              <w:rPr>
                <w:rStyle w:val="Hyperlink"/>
              </w:rPr>
              <w:t>6.0</w:t>
            </w:r>
            <w:r w:rsidR="007B2223" w:rsidRPr="007B2223">
              <w:rPr>
                <w:b w:val="0"/>
                <w:sz w:val="22"/>
                <w:szCs w:val="22"/>
                <w:lang w:eastAsia="en-GB"/>
              </w:rPr>
              <w:tab/>
            </w:r>
            <w:r w:rsidR="007B2223" w:rsidRPr="007B2223">
              <w:rPr>
                <w:rStyle w:val="Hyperlink"/>
              </w:rPr>
              <w:t>Omissions</w:t>
            </w:r>
            <w:r w:rsidR="007B2223" w:rsidRPr="007B2223">
              <w:rPr>
                <w:webHidden/>
              </w:rPr>
              <w:tab/>
            </w:r>
            <w:r w:rsidR="007B2223" w:rsidRPr="007B2223">
              <w:rPr>
                <w:webHidden/>
              </w:rPr>
              <w:fldChar w:fldCharType="begin"/>
            </w:r>
            <w:r w:rsidR="007B2223" w:rsidRPr="007B2223">
              <w:rPr>
                <w:webHidden/>
              </w:rPr>
              <w:instrText xml:space="preserve"> PAGEREF _Toc83380415 \h </w:instrText>
            </w:r>
            <w:r w:rsidR="007B2223" w:rsidRPr="007B2223">
              <w:rPr>
                <w:webHidden/>
              </w:rPr>
            </w:r>
            <w:r w:rsidR="007B2223" w:rsidRPr="007B2223">
              <w:rPr>
                <w:webHidden/>
              </w:rPr>
              <w:fldChar w:fldCharType="separate"/>
            </w:r>
            <w:r w:rsidR="007B2223" w:rsidRPr="007B2223">
              <w:rPr>
                <w:webHidden/>
              </w:rPr>
              <w:t>26</w:t>
            </w:r>
            <w:r w:rsidR="007B2223" w:rsidRPr="007B2223">
              <w:rPr>
                <w:webHidden/>
              </w:rPr>
              <w:fldChar w:fldCharType="end"/>
            </w:r>
          </w:hyperlink>
        </w:p>
        <w:p w14:paraId="7C2DF4E6" w14:textId="77777777" w:rsidR="007B2223" w:rsidRPr="007B2223" w:rsidRDefault="00997B48">
          <w:pPr>
            <w:pStyle w:val="TOC2"/>
            <w:rPr>
              <w:rFonts w:ascii="Verdana" w:hAnsi="Verdana"/>
              <w:noProof/>
              <w:sz w:val="22"/>
              <w:szCs w:val="22"/>
              <w:lang w:eastAsia="en-GB"/>
            </w:rPr>
          </w:pPr>
          <w:hyperlink w:anchor="_Toc83380416" w:history="1">
            <w:r w:rsidR="007B2223" w:rsidRPr="007B2223">
              <w:rPr>
                <w:rStyle w:val="Hyperlink"/>
                <w:rFonts w:ascii="Verdana" w:hAnsi="Verdana"/>
                <w:noProof/>
              </w:rPr>
              <w:t>Reversal of the Burden of Proof</w:t>
            </w:r>
            <w:r w:rsidR="007B2223" w:rsidRPr="007B2223">
              <w:rPr>
                <w:rFonts w:ascii="Verdana" w:hAnsi="Verdana"/>
                <w:noProof/>
                <w:webHidden/>
              </w:rPr>
              <w:tab/>
            </w:r>
            <w:r w:rsidR="007B2223" w:rsidRPr="007B2223">
              <w:rPr>
                <w:rFonts w:ascii="Verdana" w:hAnsi="Verdana"/>
                <w:noProof/>
                <w:webHidden/>
              </w:rPr>
              <w:fldChar w:fldCharType="begin"/>
            </w:r>
            <w:r w:rsidR="007B2223" w:rsidRPr="007B2223">
              <w:rPr>
                <w:rFonts w:ascii="Verdana" w:hAnsi="Verdana"/>
                <w:noProof/>
                <w:webHidden/>
              </w:rPr>
              <w:instrText xml:space="preserve"> PAGEREF _Toc83380416 \h </w:instrText>
            </w:r>
            <w:r w:rsidR="007B2223" w:rsidRPr="007B2223">
              <w:rPr>
                <w:rFonts w:ascii="Verdana" w:hAnsi="Verdana"/>
                <w:noProof/>
                <w:webHidden/>
              </w:rPr>
            </w:r>
            <w:r w:rsidR="007B2223" w:rsidRPr="007B2223">
              <w:rPr>
                <w:rFonts w:ascii="Verdana" w:hAnsi="Verdana"/>
                <w:noProof/>
                <w:webHidden/>
              </w:rPr>
              <w:fldChar w:fldCharType="separate"/>
            </w:r>
            <w:r w:rsidR="007B2223" w:rsidRPr="007B2223">
              <w:rPr>
                <w:rFonts w:ascii="Verdana" w:hAnsi="Verdana"/>
                <w:noProof/>
                <w:webHidden/>
              </w:rPr>
              <w:t>27</w:t>
            </w:r>
            <w:r w:rsidR="007B2223" w:rsidRPr="007B2223">
              <w:rPr>
                <w:rFonts w:ascii="Verdana" w:hAnsi="Verdana"/>
                <w:noProof/>
                <w:webHidden/>
              </w:rPr>
              <w:fldChar w:fldCharType="end"/>
            </w:r>
          </w:hyperlink>
        </w:p>
        <w:p w14:paraId="0A19129F" w14:textId="77777777" w:rsidR="00754188" w:rsidRDefault="00754188" w:rsidP="002B0AE2">
          <w:pPr>
            <w:spacing w:line="276" w:lineRule="auto"/>
          </w:pPr>
          <w:r w:rsidRPr="00256743">
            <w:rPr>
              <w:rFonts w:ascii="Verdana" w:hAnsi="Verdana"/>
              <w:b/>
              <w:bCs/>
              <w:noProof/>
            </w:rPr>
            <w:fldChar w:fldCharType="end"/>
          </w:r>
        </w:p>
      </w:sdtContent>
    </w:sdt>
    <w:p w14:paraId="7EEC02FF" w14:textId="77777777" w:rsidR="00754188" w:rsidRDefault="00754188" w:rsidP="002B0AE2">
      <w:pPr>
        <w:pStyle w:val="Default"/>
        <w:spacing w:line="276" w:lineRule="auto"/>
        <w:rPr>
          <w:rFonts w:cs="Arial"/>
          <w:b/>
          <w:color w:val="3C3C3B"/>
          <w:sz w:val="30"/>
          <w:szCs w:val="30"/>
        </w:rPr>
      </w:pPr>
    </w:p>
    <w:p w14:paraId="3F3BFB67" w14:textId="77777777" w:rsidR="00754188" w:rsidRDefault="00754188" w:rsidP="002B0AE2">
      <w:pPr>
        <w:pStyle w:val="Default"/>
        <w:spacing w:line="276" w:lineRule="auto"/>
        <w:rPr>
          <w:rFonts w:cs="Arial"/>
          <w:b/>
          <w:color w:val="3C3C3B"/>
          <w:sz w:val="30"/>
          <w:szCs w:val="30"/>
        </w:rPr>
      </w:pPr>
    </w:p>
    <w:p w14:paraId="7B28878A" w14:textId="77777777" w:rsidR="00754188" w:rsidRDefault="00754188" w:rsidP="002B0AE2">
      <w:pPr>
        <w:pStyle w:val="Default"/>
        <w:spacing w:line="276" w:lineRule="auto"/>
        <w:rPr>
          <w:rFonts w:cs="Arial"/>
          <w:b/>
          <w:color w:val="3C3C3B"/>
          <w:sz w:val="30"/>
          <w:szCs w:val="30"/>
        </w:rPr>
      </w:pPr>
    </w:p>
    <w:p w14:paraId="5CE4B344" w14:textId="77777777" w:rsidR="00754188" w:rsidRDefault="00754188" w:rsidP="002B0AE2">
      <w:pPr>
        <w:pStyle w:val="Default"/>
        <w:spacing w:line="276" w:lineRule="auto"/>
        <w:rPr>
          <w:rFonts w:cs="Arial"/>
          <w:b/>
          <w:color w:val="3C3C3B"/>
          <w:sz w:val="30"/>
          <w:szCs w:val="30"/>
        </w:rPr>
      </w:pPr>
    </w:p>
    <w:p w14:paraId="4CBE148A" w14:textId="77777777" w:rsidR="00754188" w:rsidRDefault="00754188" w:rsidP="002B0AE2">
      <w:pPr>
        <w:pStyle w:val="Default"/>
        <w:spacing w:line="276" w:lineRule="auto"/>
        <w:rPr>
          <w:rFonts w:cs="Arial"/>
          <w:b/>
          <w:color w:val="3C3C3B"/>
          <w:sz w:val="30"/>
          <w:szCs w:val="30"/>
        </w:rPr>
      </w:pPr>
    </w:p>
    <w:p w14:paraId="3326CDFF" w14:textId="77777777" w:rsidR="00754188" w:rsidRDefault="00754188" w:rsidP="002B0AE2">
      <w:pPr>
        <w:pStyle w:val="Default"/>
        <w:spacing w:line="276" w:lineRule="auto"/>
        <w:rPr>
          <w:rFonts w:cs="Arial"/>
          <w:b/>
          <w:color w:val="3C3C3B"/>
          <w:sz w:val="30"/>
          <w:szCs w:val="30"/>
        </w:rPr>
      </w:pPr>
    </w:p>
    <w:p w14:paraId="72B97DA2" w14:textId="77777777" w:rsidR="002B0AE2" w:rsidRDefault="002B0AE2" w:rsidP="002B0AE2">
      <w:pPr>
        <w:pStyle w:val="Default"/>
        <w:spacing w:line="276" w:lineRule="auto"/>
        <w:rPr>
          <w:rFonts w:cs="Arial"/>
          <w:b/>
          <w:color w:val="3C3C3B"/>
          <w:sz w:val="30"/>
          <w:szCs w:val="30"/>
        </w:rPr>
      </w:pPr>
    </w:p>
    <w:p w14:paraId="5115B36D" w14:textId="77777777" w:rsidR="002B0AE2" w:rsidRDefault="002B0AE2" w:rsidP="002B0AE2">
      <w:pPr>
        <w:pStyle w:val="Default"/>
        <w:spacing w:line="276" w:lineRule="auto"/>
        <w:rPr>
          <w:rFonts w:cs="Arial"/>
          <w:b/>
          <w:color w:val="3C3C3B"/>
          <w:sz w:val="30"/>
          <w:szCs w:val="30"/>
        </w:rPr>
      </w:pPr>
    </w:p>
    <w:p w14:paraId="489134F0" w14:textId="77777777" w:rsidR="002B0AE2" w:rsidRDefault="002B0AE2" w:rsidP="002B0AE2">
      <w:pPr>
        <w:pStyle w:val="Default"/>
        <w:spacing w:line="276" w:lineRule="auto"/>
        <w:rPr>
          <w:rFonts w:cs="Arial"/>
          <w:b/>
          <w:color w:val="3C3C3B"/>
          <w:sz w:val="30"/>
          <w:szCs w:val="30"/>
        </w:rPr>
      </w:pPr>
    </w:p>
    <w:p w14:paraId="05A8BAF3" w14:textId="77777777" w:rsidR="002B0AE2" w:rsidRDefault="002B0AE2" w:rsidP="002B0AE2">
      <w:pPr>
        <w:pStyle w:val="Default"/>
        <w:spacing w:line="276" w:lineRule="auto"/>
        <w:rPr>
          <w:rFonts w:cs="Arial"/>
          <w:b/>
          <w:color w:val="3C3C3B"/>
          <w:sz w:val="30"/>
          <w:szCs w:val="30"/>
        </w:rPr>
      </w:pPr>
    </w:p>
    <w:p w14:paraId="3518B500" w14:textId="77777777" w:rsidR="002B0AE2" w:rsidRDefault="002B0AE2" w:rsidP="002B0AE2">
      <w:pPr>
        <w:pStyle w:val="Default"/>
        <w:spacing w:line="276" w:lineRule="auto"/>
        <w:rPr>
          <w:rFonts w:cs="Arial"/>
          <w:b/>
          <w:color w:val="3C3C3B"/>
          <w:sz w:val="30"/>
          <w:szCs w:val="30"/>
        </w:rPr>
      </w:pPr>
    </w:p>
    <w:p w14:paraId="0FE487BC" w14:textId="77777777" w:rsidR="002B0AE2" w:rsidRDefault="002B0AE2" w:rsidP="002B0AE2">
      <w:pPr>
        <w:pStyle w:val="Default"/>
        <w:spacing w:line="276" w:lineRule="auto"/>
        <w:rPr>
          <w:rFonts w:cs="Arial"/>
          <w:b/>
          <w:color w:val="3C3C3B"/>
          <w:sz w:val="30"/>
          <w:szCs w:val="30"/>
        </w:rPr>
      </w:pPr>
    </w:p>
    <w:p w14:paraId="4D37FCC1" w14:textId="77777777" w:rsidR="002B0AE2" w:rsidRDefault="002B0AE2" w:rsidP="002B0AE2">
      <w:pPr>
        <w:pStyle w:val="Default"/>
        <w:spacing w:line="276" w:lineRule="auto"/>
        <w:rPr>
          <w:rFonts w:cs="Arial"/>
          <w:b/>
          <w:color w:val="3C3C3B"/>
          <w:sz w:val="30"/>
          <w:szCs w:val="30"/>
        </w:rPr>
      </w:pPr>
    </w:p>
    <w:p w14:paraId="77E8608F" w14:textId="77777777" w:rsidR="002B0AE2" w:rsidRDefault="002B0AE2" w:rsidP="002B0AE2">
      <w:pPr>
        <w:pStyle w:val="Default"/>
        <w:spacing w:line="276" w:lineRule="auto"/>
        <w:rPr>
          <w:rFonts w:cs="Arial"/>
          <w:b/>
          <w:color w:val="3C3C3B"/>
          <w:sz w:val="30"/>
          <w:szCs w:val="30"/>
        </w:rPr>
      </w:pPr>
    </w:p>
    <w:bookmarkStart w:id="0" w:name="_Toc83380402"/>
    <w:p w14:paraId="28CD5618" w14:textId="77777777" w:rsidR="00E24D35" w:rsidRDefault="009D14B3" w:rsidP="00AB63A0">
      <w:pPr>
        <w:pStyle w:val="Heading1"/>
        <w:spacing w:before="0" w:line="276" w:lineRule="auto"/>
      </w:pPr>
      <w:r>
        <w:rPr>
          <w:noProof/>
          <w:lang w:eastAsia="en-GB"/>
        </w:rPr>
        <w:lastRenderedPageBreak/>
        <mc:AlternateContent>
          <mc:Choice Requires="wps">
            <w:drawing>
              <wp:anchor distT="45720" distB="45720" distL="114300" distR="114300" simplePos="0" relativeHeight="251659264" behindDoc="1" locked="0" layoutInCell="1" allowOverlap="1" wp14:anchorId="179ED5A8" wp14:editId="43774D6C">
                <wp:simplePos x="0" y="0"/>
                <wp:positionH relativeFrom="margin">
                  <wp:posOffset>-635</wp:posOffset>
                </wp:positionH>
                <wp:positionV relativeFrom="paragraph">
                  <wp:posOffset>424815</wp:posOffset>
                </wp:positionV>
                <wp:extent cx="6432550" cy="8627110"/>
                <wp:effectExtent l="0" t="0" r="25400" b="21590"/>
                <wp:wrapTight wrapText="bothSides">
                  <wp:wrapPolygon edited="0">
                    <wp:start x="0" y="0"/>
                    <wp:lineTo x="0" y="21606"/>
                    <wp:lineTo x="21621" y="21606"/>
                    <wp:lineTo x="2162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8627110"/>
                        </a:xfrm>
                        <a:prstGeom prst="rect">
                          <a:avLst/>
                        </a:prstGeom>
                        <a:solidFill>
                          <a:srgbClr val="FFFFFF"/>
                        </a:solidFill>
                        <a:ln w="9525">
                          <a:solidFill>
                            <a:srgbClr val="000000"/>
                          </a:solidFill>
                          <a:miter lim="800000"/>
                          <a:headEnd/>
                          <a:tailEnd/>
                        </a:ln>
                      </wps:spPr>
                      <wps:txbx>
                        <w:txbxContent>
                          <w:p w14:paraId="74C25B6D" w14:textId="77777777" w:rsidR="005B7372" w:rsidRDefault="005B7372" w:rsidP="00D63FCB">
                            <w:pPr>
                              <w:pStyle w:val="ListParagraph"/>
                              <w:rPr>
                                <w:rFonts w:ascii="Verdana" w:hAnsi="Verdana"/>
                                <w:b/>
                              </w:rPr>
                            </w:pPr>
                          </w:p>
                          <w:p w14:paraId="5F3A66AC" w14:textId="77777777" w:rsidR="005B7372" w:rsidRDefault="005B7372" w:rsidP="00D63FCB">
                            <w:pPr>
                              <w:pStyle w:val="ListParagraph"/>
                              <w:rPr>
                                <w:rFonts w:ascii="Verdana" w:hAnsi="Verdana"/>
                                <w:b/>
                              </w:rPr>
                            </w:pPr>
                            <w:r>
                              <w:rPr>
                                <w:rFonts w:ascii="Verdana" w:hAnsi="Verdana"/>
                                <w:b/>
                              </w:rPr>
                              <w:t xml:space="preserve">The NIHRC recommends: </w:t>
                            </w:r>
                          </w:p>
                          <w:p w14:paraId="5E81BAE9" w14:textId="77777777" w:rsidR="005B7372" w:rsidRDefault="005B7372" w:rsidP="00D63FCB">
                            <w:pPr>
                              <w:pStyle w:val="ListParagraph"/>
                              <w:rPr>
                                <w:rFonts w:ascii="Verdana" w:hAnsi="Verdana"/>
                                <w:b/>
                              </w:rPr>
                            </w:pPr>
                          </w:p>
                          <w:p w14:paraId="31EC621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the Committee ensure the proposed legislation complies with human rights standards including recognition of gender-based violence, using the UN CEDAW, UN CAT and Istanbul Convention as a framework.</w:t>
                            </w:r>
                          </w:p>
                          <w:p w14:paraId="547C30AC" w14:textId="77777777" w:rsidR="005B7372" w:rsidRPr="009D14B3" w:rsidRDefault="005B7372" w:rsidP="009D14B3">
                            <w:pPr>
                              <w:pStyle w:val="ListParagraph"/>
                              <w:rPr>
                                <w:rFonts w:ascii="Verdana" w:hAnsi="Verdana"/>
                                <w:b/>
                              </w:rPr>
                            </w:pPr>
                          </w:p>
                          <w:p w14:paraId="3B641D4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that the Committee for Justice asks the Department to continue to monitor relevant EU Directives and relating CJEU jurisprudence to ensure there is no diminution of victims’ rights in keeping with Article 2 of the Protocol.</w:t>
                            </w:r>
                          </w:p>
                          <w:p w14:paraId="0AC45B74" w14:textId="77777777" w:rsidR="005B7372" w:rsidRPr="009D14B3" w:rsidRDefault="005B7372" w:rsidP="009D14B3">
                            <w:pPr>
                              <w:pStyle w:val="ListParagraph"/>
                              <w:rPr>
                                <w:rFonts w:ascii="Verdana" w:hAnsi="Verdana"/>
                                <w:b/>
                              </w:rPr>
                            </w:pPr>
                          </w:p>
                          <w:p w14:paraId="29F53421"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NIHRC welcomes the creation of the offence of voyeurism in NI however, the Committee may wish to recommend as a minimum, equal protection for victims in NI to those in other UK jurisdictions. </w:t>
                            </w:r>
                          </w:p>
                          <w:p w14:paraId="3EDD984D" w14:textId="77777777" w:rsidR="005B7372" w:rsidRPr="009D14B3" w:rsidRDefault="005B7372" w:rsidP="009D14B3">
                            <w:pPr>
                              <w:pStyle w:val="ListParagraph"/>
                              <w:rPr>
                                <w:rFonts w:ascii="Verdana" w:hAnsi="Verdana"/>
                                <w:b/>
                              </w:rPr>
                            </w:pPr>
                          </w:p>
                          <w:p w14:paraId="5628924B" w14:textId="6B3E247C"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Committee ensures that all recommendations of the review of the law on child sexual exploitation are implemented, as well as recommendations of the Criminal Justice Inspectorate NI report into child exploitation in NI, including developing an approach modelled on </w:t>
                            </w:r>
                            <w:r>
                              <w:rPr>
                                <w:rFonts w:ascii="Verdana" w:hAnsi="Verdana"/>
                                <w:b/>
                              </w:rPr>
                              <w:t>‘</w:t>
                            </w:r>
                            <w:r w:rsidRPr="009D14B3">
                              <w:rPr>
                                <w:rFonts w:ascii="Verdana" w:hAnsi="Verdana"/>
                                <w:b/>
                              </w:rPr>
                              <w:t>Barnahus</w:t>
                            </w:r>
                            <w:r>
                              <w:rPr>
                                <w:rFonts w:ascii="Verdana" w:hAnsi="Verdana"/>
                                <w:b/>
                              </w:rPr>
                              <w:t>’</w:t>
                            </w:r>
                            <w:r w:rsidRPr="009D14B3">
                              <w:rPr>
                                <w:rFonts w:ascii="Verdana" w:hAnsi="Verdana"/>
                                <w:b/>
                              </w:rPr>
                              <w:t xml:space="preserve"> for child</w:t>
                            </w:r>
                            <w:r>
                              <w:rPr>
                                <w:rFonts w:ascii="Verdana" w:hAnsi="Verdana"/>
                                <w:b/>
                              </w:rPr>
                              <w:t>ren</w:t>
                            </w:r>
                            <w:r w:rsidRPr="009D14B3">
                              <w:rPr>
                                <w:rFonts w:ascii="Verdana" w:hAnsi="Verdana"/>
                                <w:b/>
                              </w:rPr>
                              <w:t xml:space="preserve"> subjected to sexual violence.</w:t>
                            </w:r>
                          </w:p>
                          <w:p w14:paraId="6D813CA8" w14:textId="77777777" w:rsidR="005B7372" w:rsidRPr="009D14B3" w:rsidRDefault="005B7372" w:rsidP="009D14B3">
                            <w:pPr>
                              <w:pStyle w:val="ListParagraph"/>
                              <w:rPr>
                                <w:rFonts w:ascii="Verdana" w:hAnsi="Verdana"/>
                                <w:b/>
                              </w:rPr>
                            </w:pPr>
                          </w:p>
                          <w:p w14:paraId="1200EB13" w14:textId="77777777" w:rsidR="005B7372" w:rsidRDefault="005B7372" w:rsidP="00925B23">
                            <w:pPr>
                              <w:pStyle w:val="ListParagraph"/>
                              <w:numPr>
                                <w:ilvl w:val="0"/>
                                <w:numId w:val="29"/>
                              </w:numPr>
                              <w:rPr>
                                <w:rFonts w:ascii="Verdana" w:hAnsi="Verdana"/>
                                <w:b/>
                              </w:rPr>
                            </w:pPr>
                            <w:r w:rsidRPr="009D14B3">
                              <w:rPr>
                                <w:rFonts w:ascii="Verdana" w:hAnsi="Verdana"/>
                                <w:b/>
                              </w:rPr>
                              <w:t xml:space="preserve">the Committee reconsider the proposed blanket approach to exclusion of the public from particular forms of criminal trials, rather than a case-by-case consideration of the merit of a closed hearing. The Commission recommends that the Committee consider the adoption of an individualised approach within a structured framework, which could include a judicial decision at the commencement of the trial. This should be accompanied by training for the judiciary on trauma-informed approaches and secondary victimisation. </w:t>
                            </w:r>
                          </w:p>
                          <w:p w14:paraId="4846FD10" w14:textId="77777777" w:rsidR="005B7372" w:rsidRPr="00527D6C" w:rsidRDefault="005B7372" w:rsidP="00527D6C">
                            <w:pPr>
                              <w:pStyle w:val="ListParagraph"/>
                              <w:rPr>
                                <w:rFonts w:ascii="Verdana" w:hAnsi="Verdana"/>
                                <w:b/>
                              </w:rPr>
                            </w:pPr>
                          </w:p>
                          <w:p w14:paraId="66671B63" w14:textId="11ADA062" w:rsidR="005B7372" w:rsidRDefault="005B7372" w:rsidP="00527D6C">
                            <w:pPr>
                              <w:pStyle w:val="ListParagraph"/>
                              <w:numPr>
                                <w:ilvl w:val="0"/>
                                <w:numId w:val="29"/>
                              </w:numPr>
                              <w:rPr>
                                <w:rFonts w:ascii="Verdana" w:hAnsi="Verdana"/>
                                <w:b/>
                              </w:rPr>
                            </w:pPr>
                            <w:r w:rsidRPr="00527D6C">
                              <w:rPr>
                                <w:rFonts w:ascii="Verdana" w:hAnsi="Verdana"/>
                                <w:b/>
                              </w:rPr>
                              <w:t>that the Department and Committee consider all recommendations of the Gillen Review and whether more can be included with</w:t>
                            </w:r>
                            <w:r>
                              <w:rPr>
                                <w:rFonts w:ascii="Verdana" w:hAnsi="Verdana"/>
                                <w:b/>
                              </w:rPr>
                              <w:t>in</w:t>
                            </w:r>
                            <w:r w:rsidRPr="00527D6C">
                              <w:rPr>
                                <w:rFonts w:ascii="Verdana" w:hAnsi="Verdana"/>
                                <w:b/>
                              </w:rPr>
                              <w:t xml:space="preserve"> the Bill. </w:t>
                            </w:r>
                          </w:p>
                          <w:p w14:paraId="1C92973C" w14:textId="77777777" w:rsidR="005B7372" w:rsidRPr="00527D6C" w:rsidRDefault="005B7372" w:rsidP="00D63FCB">
                            <w:pPr>
                              <w:pStyle w:val="ListParagraph"/>
                              <w:rPr>
                                <w:rFonts w:ascii="Verdana" w:hAnsi="Verdana"/>
                                <w:b/>
                              </w:rPr>
                            </w:pPr>
                          </w:p>
                          <w:p w14:paraId="3EC08C5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Committee take into consideration the Criminal Justice Inspectorate NI report into modern slavery and human trafficking to ensure that provisions within the draft Bill meet the required recommendations.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ED5A8" id="_x0000_t202" coordsize="21600,21600" o:spt="202" path="m,l,21600r21600,l21600,xe">
                <v:stroke joinstyle="miter"/>
                <v:path gradientshapeok="t" o:connecttype="rect"/>
              </v:shapetype>
              <v:shape id="Text Box 2" o:spid="_x0000_s1026" type="#_x0000_t202" style="position:absolute;margin-left:-.05pt;margin-top:33.45pt;width:506.5pt;height:67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">
                <v:textbox>
                  <w:txbxContent>
                    <w:p w14:paraId="74C25B6D" w14:textId="77777777" w:rsidR="005B7372" w:rsidRDefault="005B7372" w:rsidP="00D63FCB">
                      <w:pPr>
                        <w:pStyle w:val="ListParagraph"/>
                        <w:rPr>
                          <w:rFonts w:ascii="Verdana" w:hAnsi="Verdana"/>
                          <w:b/>
                        </w:rPr>
                      </w:pPr>
                    </w:p>
                    <w:p w14:paraId="5F3A66AC" w14:textId="77777777" w:rsidR="005B7372" w:rsidRDefault="005B7372" w:rsidP="00D63FCB">
                      <w:pPr>
                        <w:pStyle w:val="ListParagraph"/>
                        <w:rPr>
                          <w:rFonts w:ascii="Verdana" w:hAnsi="Verdana"/>
                          <w:b/>
                        </w:rPr>
                      </w:pPr>
                      <w:r>
                        <w:rPr>
                          <w:rFonts w:ascii="Verdana" w:hAnsi="Verdana"/>
                          <w:b/>
                        </w:rPr>
                        <w:t xml:space="preserve">The NIHRC recommends: </w:t>
                      </w:r>
                    </w:p>
                    <w:p w14:paraId="5E81BAE9" w14:textId="77777777" w:rsidR="005B7372" w:rsidRDefault="005B7372" w:rsidP="00D63FCB">
                      <w:pPr>
                        <w:pStyle w:val="ListParagraph"/>
                        <w:rPr>
                          <w:rFonts w:ascii="Verdana" w:hAnsi="Verdana"/>
                          <w:b/>
                        </w:rPr>
                      </w:pPr>
                    </w:p>
                    <w:p w14:paraId="31EC621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the Committee ensure the proposed legislation complies with human rights standards including recognition of gender-based violence, using the UN CEDAW, UN CAT and Istanbul Convention as a framework.</w:t>
                      </w:r>
                    </w:p>
                    <w:p w14:paraId="547C30AC" w14:textId="77777777" w:rsidR="005B7372" w:rsidRPr="009D14B3" w:rsidRDefault="005B7372" w:rsidP="009D14B3">
                      <w:pPr>
                        <w:pStyle w:val="ListParagraph"/>
                        <w:rPr>
                          <w:rFonts w:ascii="Verdana" w:hAnsi="Verdana"/>
                          <w:b/>
                        </w:rPr>
                      </w:pPr>
                    </w:p>
                    <w:p w14:paraId="3B641D4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that the Committee for Justice asks the Department to continue to monitor relevant EU Directives and relating CJEU jurisprudence to ensure there is no diminution of victims’ rights in keeping with Article 2 of the Protocol.</w:t>
                      </w:r>
                    </w:p>
                    <w:p w14:paraId="0AC45B74" w14:textId="77777777" w:rsidR="005B7372" w:rsidRPr="009D14B3" w:rsidRDefault="005B7372" w:rsidP="009D14B3">
                      <w:pPr>
                        <w:pStyle w:val="ListParagraph"/>
                        <w:rPr>
                          <w:rFonts w:ascii="Verdana" w:hAnsi="Verdana"/>
                          <w:b/>
                        </w:rPr>
                      </w:pPr>
                    </w:p>
                    <w:p w14:paraId="29F53421"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NIHRC welcomes the creation of the offence of voyeurism in NI however, the Committee may wish to recommend as a minimum, equal protection for victims in NI to those in other UK jurisdictions. </w:t>
                      </w:r>
                    </w:p>
                    <w:p w14:paraId="3EDD984D" w14:textId="77777777" w:rsidR="005B7372" w:rsidRPr="009D14B3" w:rsidRDefault="005B7372" w:rsidP="009D14B3">
                      <w:pPr>
                        <w:pStyle w:val="ListParagraph"/>
                        <w:rPr>
                          <w:rFonts w:ascii="Verdana" w:hAnsi="Verdana"/>
                          <w:b/>
                        </w:rPr>
                      </w:pPr>
                    </w:p>
                    <w:p w14:paraId="5628924B" w14:textId="6B3E247C"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Committee ensures that all recommendations of the review of the law on child sexual exploitation are implemented, as well as recommendations of the Criminal Justice Inspectorate NI report into child exploitation in NI, including developing an approach modelled on </w:t>
                      </w:r>
                      <w:r>
                        <w:rPr>
                          <w:rFonts w:ascii="Verdana" w:hAnsi="Verdana"/>
                          <w:b/>
                        </w:rPr>
                        <w:t>‘</w:t>
                      </w:r>
                      <w:r w:rsidRPr="009D14B3">
                        <w:rPr>
                          <w:rFonts w:ascii="Verdana" w:hAnsi="Verdana"/>
                          <w:b/>
                        </w:rPr>
                        <w:t>Barnahus</w:t>
                      </w:r>
                      <w:r>
                        <w:rPr>
                          <w:rFonts w:ascii="Verdana" w:hAnsi="Verdana"/>
                          <w:b/>
                        </w:rPr>
                        <w:t>’</w:t>
                      </w:r>
                      <w:r w:rsidRPr="009D14B3">
                        <w:rPr>
                          <w:rFonts w:ascii="Verdana" w:hAnsi="Verdana"/>
                          <w:b/>
                        </w:rPr>
                        <w:t xml:space="preserve"> for child</w:t>
                      </w:r>
                      <w:r>
                        <w:rPr>
                          <w:rFonts w:ascii="Verdana" w:hAnsi="Verdana"/>
                          <w:b/>
                        </w:rPr>
                        <w:t>ren</w:t>
                      </w:r>
                      <w:r w:rsidRPr="009D14B3">
                        <w:rPr>
                          <w:rFonts w:ascii="Verdana" w:hAnsi="Verdana"/>
                          <w:b/>
                        </w:rPr>
                        <w:t xml:space="preserve"> subjected to sexual violence.</w:t>
                      </w:r>
                    </w:p>
                    <w:p w14:paraId="6D813CA8" w14:textId="77777777" w:rsidR="005B7372" w:rsidRPr="009D14B3" w:rsidRDefault="005B7372" w:rsidP="009D14B3">
                      <w:pPr>
                        <w:pStyle w:val="ListParagraph"/>
                        <w:rPr>
                          <w:rFonts w:ascii="Verdana" w:hAnsi="Verdana"/>
                          <w:b/>
                        </w:rPr>
                      </w:pPr>
                    </w:p>
                    <w:p w14:paraId="1200EB13" w14:textId="77777777" w:rsidR="005B7372" w:rsidRDefault="005B7372" w:rsidP="00925B23">
                      <w:pPr>
                        <w:pStyle w:val="ListParagraph"/>
                        <w:numPr>
                          <w:ilvl w:val="0"/>
                          <w:numId w:val="29"/>
                        </w:numPr>
                        <w:rPr>
                          <w:rFonts w:ascii="Verdana" w:hAnsi="Verdana"/>
                          <w:b/>
                        </w:rPr>
                      </w:pPr>
                      <w:r w:rsidRPr="009D14B3">
                        <w:rPr>
                          <w:rFonts w:ascii="Verdana" w:hAnsi="Verdana"/>
                          <w:b/>
                        </w:rPr>
                        <w:t xml:space="preserve">the Committee reconsider the proposed blanket approach to exclusion of the public from particular forms of criminal trials, rather than a case-by-case consideration of the merit of a closed hearing. The Commission recommends that the Committee consider the adoption of an individualised approach within a structured framework, which could include a judicial decision at the commencement of the trial. This should be accompanied by training for the judiciary on trauma-informed approaches and secondary victimisation. </w:t>
                      </w:r>
                    </w:p>
                    <w:p w14:paraId="4846FD10" w14:textId="77777777" w:rsidR="005B7372" w:rsidRPr="00527D6C" w:rsidRDefault="005B7372" w:rsidP="00527D6C">
                      <w:pPr>
                        <w:pStyle w:val="ListParagraph"/>
                        <w:rPr>
                          <w:rFonts w:ascii="Verdana" w:hAnsi="Verdana"/>
                          <w:b/>
                        </w:rPr>
                      </w:pPr>
                    </w:p>
                    <w:p w14:paraId="66671B63" w14:textId="11ADA062" w:rsidR="005B7372" w:rsidRDefault="005B7372" w:rsidP="00527D6C">
                      <w:pPr>
                        <w:pStyle w:val="ListParagraph"/>
                        <w:numPr>
                          <w:ilvl w:val="0"/>
                          <w:numId w:val="29"/>
                        </w:numPr>
                        <w:rPr>
                          <w:rFonts w:ascii="Verdana" w:hAnsi="Verdana"/>
                          <w:b/>
                        </w:rPr>
                      </w:pPr>
                      <w:r w:rsidRPr="00527D6C">
                        <w:rPr>
                          <w:rFonts w:ascii="Verdana" w:hAnsi="Verdana"/>
                          <w:b/>
                        </w:rPr>
                        <w:t>that the Department and Committee consider all recommendations of the Gillen Review and whether more can be included with</w:t>
                      </w:r>
                      <w:r>
                        <w:rPr>
                          <w:rFonts w:ascii="Verdana" w:hAnsi="Verdana"/>
                          <w:b/>
                        </w:rPr>
                        <w:t>in</w:t>
                      </w:r>
                      <w:r w:rsidRPr="00527D6C">
                        <w:rPr>
                          <w:rFonts w:ascii="Verdana" w:hAnsi="Verdana"/>
                          <w:b/>
                        </w:rPr>
                        <w:t xml:space="preserve"> the Bill. </w:t>
                      </w:r>
                    </w:p>
                    <w:p w14:paraId="1C92973C" w14:textId="77777777" w:rsidR="005B7372" w:rsidRPr="00527D6C" w:rsidRDefault="005B7372" w:rsidP="00D63FCB">
                      <w:pPr>
                        <w:pStyle w:val="ListParagraph"/>
                        <w:rPr>
                          <w:rFonts w:ascii="Verdana" w:hAnsi="Verdana"/>
                          <w:b/>
                        </w:rPr>
                      </w:pPr>
                    </w:p>
                    <w:p w14:paraId="3EC08C59" w14:textId="77777777" w:rsidR="005B7372" w:rsidRPr="009D14B3" w:rsidRDefault="005B7372" w:rsidP="00925B23">
                      <w:pPr>
                        <w:pStyle w:val="ListParagraph"/>
                        <w:numPr>
                          <w:ilvl w:val="0"/>
                          <w:numId w:val="29"/>
                        </w:numPr>
                        <w:rPr>
                          <w:rFonts w:ascii="Verdana" w:hAnsi="Verdana"/>
                          <w:b/>
                        </w:rPr>
                      </w:pPr>
                      <w:r w:rsidRPr="009D14B3">
                        <w:rPr>
                          <w:rFonts w:ascii="Verdana" w:hAnsi="Verdana"/>
                          <w:b/>
                        </w:rPr>
                        <w:t xml:space="preserve">the Committee take into consideration the Criminal Justice Inspectorate NI report into modern slavery and human trafficking to ensure that provisions within the draft Bill meet the required recommendations. </w:t>
                      </w:r>
                    </w:p>
                  </w:txbxContent>
                </v:textbox>
                <w10:wrap type="tight" anchorx="margin"/>
              </v:shape>
            </w:pict>
          </mc:Fallback>
        </mc:AlternateContent>
      </w:r>
      <w:r w:rsidR="00E24D35">
        <w:t>Summary of Recommendatio</w:t>
      </w:r>
      <w:r w:rsidR="00AB63A0">
        <w:t>ns</w:t>
      </w:r>
      <w:bookmarkEnd w:id="0"/>
    </w:p>
    <w:p w14:paraId="686CB234" w14:textId="77777777" w:rsidR="009D14B3" w:rsidRDefault="00925B23" w:rsidP="009D14B3">
      <w:r>
        <w:rPr>
          <w:noProof/>
          <w:lang w:eastAsia="en-GB"/>
        </w:rPr>
        <w:lastRenderedPageBreak/>
        <mc:AlternateContent>
          <mc:Choice Requires="wps">
            <w:drawing>
              <wp:anchor distT="45720" distB="45720" distL="114300" distR="114300" simplePos="0" relativeHeight="251661312" behindDoc="0" locked="0" layoutInCell="1" allowOverlap="1" wp14:anchorId="52E1F556" wp14:editId="418DBA8F">
                <wp:simplePos x="0" y="0"/>
                <wp:positionH relativeFrom="column">
                  <wp:posOffset>27305</wp:posOffset>
                </wp:positionH>
                <wp:positionV relativeFrom="paragraph">
                  <wp:posOffset>182245</wp:posOffset>
                </wp:positionV>
                <wp:extent cx="6364605" cy="6675120"/>
                <wp:effectExtent l="0" t="0" r="1714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675120"/>
                        </a:xfrm>
                        <a:prstGeom prst="rect">
                          <a:avLst/>
                        </a:prstGeom>
                        <a:solidFill>
                          <a:srgbClr val="FFFFFF"/>
                        </a:solidFill>
                        <a:ln w="9525">
                          <a:solidFill>
                            <a:srgbClr val="000000"/>
                          </a:solidFill>
                          <a:miter lim="800000"/>
                          <a:headEnd/>
                          <a:tailEnd/>
                        </a:ln>
                      </wps:spPr>
                      <wps:txbx>
                        <w:txbxContent>
                          <w:p w14:paraId="3712C7BA" w14:textId="77777777" w:rsidR="005B7372" w:rsidRPr="00925B23" w:rsidRDefault="005B7372">
                            <w:pPr>
                              <w:rPr>
                                <w:rFonts w:ascii="Verdana" w:hAnsi="Verdana"/>
                                <w:b/>
                              </w:rPr>
                            </w:pPr>
                          </w:p>
                          <w:p w14:paraId="6684F951" w14:textId="77777777" w:rsidR="005B7372" w:rsidRPr="00925B23" w:rsidRDefault="005B7372" w:rsidP="00925B23">
                            <w:pPr>
                              <w:pStyle w:val="ListParagraph"/>
                              <w:numPr>
                                <w:ilvl w:val="0"/>
                                <w:numId w:val="30"/>
                              </w:numPr>
                              <w:rPr>
                                <w:rFonts w:ascii="Verdana" w:hAnsi="Verdana"/>
                                <w:b/>
                              </w:rPr>
                            </w:pPr>
                            <w:r w:rsidRPr="00925B23">
                              <w:rPr>
                                <w:rFonts w:ascii="Verdana" w:hAnsi="Verdana"/>
                                <w:b/>
                              </w:rPr>
                              <w:t>the Committee for Justice refer to the Commission’s response to the consultation on ‘Consent to Serious Harm for Sexual Gratification: Not a Defence’ to ensure this is implemented in a way that is compliant with human rights law.</w:t>
                            </w:r>
                          </w:p>
                          <w:p w14:paraId="165D94F6" w14:textId="77777777" w:rsidR="005B7372" w:rsidRPr="00925B23" w:rsidRDefault="005B7372" w:rsidP="00925B23">
                            <w:pPr>
                              <w:pStyle w:val="ListParagraph"/>
                              <w:rPr>
                                <w:rFonts w:ascii="Verdana" w:hAnsi="Verdana"/>
                                <w:b/>
                              </w:rPr>
                            </w:pPr>
                          </w:p>
                          <w:p w14:paraId="1F285080" w14:textId="6D499CB6" w:rsidR="005B7372" w:rsidRPr="00925B23" w:rsidRDefault="005B7372" w:rsidP="00925B23">
                            <w:pPr>
                              <w:pStyle w:val="ListParagraph"/>
                              <w:numPr>
                                <w:ilvl w:val="0"/>
                                <w:numId w:val="30"/>
                              </w:numPr>
                              <w:rPr>
                                <w:rFonts w:ascii="Verdana" w:hAnsi="Verdana"/>
                                <w:b/>
                              </w:rPr>
                            </w:pPr>
                            <w:r w:rsidRPr="00925B23">
                              <w:rPr>
                                <w:rFonts w:ascii="Verdana" w:hAnsi="Verdana"/>
                                <w:b/>
                              </w:rPr>
                              <w:t>the Bill include</w:t>
                            </w:r>
                            <w:r>
                              <w:rPr>
                                <w:rFonts w:ascii="Verdana" w:hAnsi="Verdana"/>
                                <w:b/>
                              </w:rPr>
                              <w:t>s</w:t>
                            </w:r>
                            <w:r w:rsidRPr="00925B23">
                              <w:rPr>
                                <w:rFonts w:ascii="Verdana" w:hAnsi="Verdana"/>
                                <w:b/>
                              </w:rPr>
                              <w:t xml:space="preserve"> an amendment to introduce provision for image based sexual abuse</w:t>
                            </w:r>
                            <w:r>
                              <w:rPr>
                                <w:rFonts w:ascii="Verdana" w:hAnsi="Verdana"/>
                                <w:b/>
                              </w:rPr>
                              <w:t>,</w:t>
                            </w:r>
                            <w:r w:rsidRPr="00925B23">
                              <w:rPr>
                                <w:rFonts w:ascii="Verdana" w:hAnsi="Verdana"/>
                                <w:b/>
                              </w:rPr>
                              <w:t xml:space="preserve"> including for the threat of publication. The proposed legislation should ensure </w:t>
                            </w:r>
                            <w:r>
                              <w:rPr>
                                <w:rFonts w:ascii="Verdana" w:hAnsi="Verdana"/>
                                <w:b/>
                              </w:rPr>
                              <w:t xml:space="preserve">comprehensive </w:t>
                            </w:r>
                            <w:r w:rsidRPr="00925B23">
                              <w:rPr>
                                <w:rFonts w:ascii="Verdana" w:hAnsi="Verdana"/>
                                <w:b/>
                              </w:rPr>
                              <w:t xml:space="preserve">consideration of human rights obligations including the disproportionate impact on women and girls, and recognise image based sexual abuse as a new form of gender-based violence. </w:t>
                            </w:r>
                          </w:p>
                          <w:p w14:paraId="68A4FBA4" w14:textId="77777777" w:rsidR="005B7372" w:rsidRPr="00925B23" w:rsidRDefault="005B7372" w:rsidP="00925B23">
                            <w:pPr>
                              <w:pStyle w:val="ListParagraph"/>
                              <w:rPr>
                                <w:rFonts w:ascii="Verdana" w:hAnsi="Verdana"/>
                                <w:b/>
                              </w:rPr>
                            </w:pPr>
                          </w:p>
                          <w:p w14:paraId="1C56A4D0" w14:textId="3E64C972" w:rsidR="005B7372" w:rsidRDefault="005B7372" w:rsidP="00925B23">
                            <w:pPr>
                              <w:pStyle w:val="ListParagraph"/>
                              <w:numPr>
                                <w:ilvl w:val="0"/>
                                <w:numId w:val="30"/>
                              </w:numPr>
                              <w:rPr>
                                <w:rFonts w:ascii="Verdana" w:hAnsi="Verdana"/>
                                <w:b/>
                              </w:rPr>
                            </w:pPr>
                            <w:r w:rsidRPr="00925B23">
                              <w:rPr>
                                <w:rFonts w:ascii="Verdana" w:hAnsi="Verdana"/>
                                <w:b/>
                              </w:rPr>
                              <w:t xml:space="preserve">that the Committee ensure that any new legislation regarding the abuse of trust extends the definition outlined at Article </w:t>
                            </w:r>
                            <w:r>
                              <w:rPr>
                                <w:rFonts w:ascii="Verdana" w:hAnsi="Verdana"/>
                                <w:b/>
                              </w:rPr>
                              <w:t>1</w:t>
                            </w:r>
                            <w:r w:rsidRPr="00925B23">
                              <w:rPr>
                                <w:rFonts w:ascii="Verdana" w:hAnsi="Verdana"/>
                                <w:b/>
                              </w:rPr>
                              <w:t xml:space="preserve">8 </w:t>
                            </w:r>
                            <w:r>
                              <w:rPr>
                                <w:rFonts w:ascii="Verdana" w:hAnsi="Verdana"/>
                                <w:b/>
                              </w:rPr>
                              <w:t xml:space="preserve">of the </w:t>
                            </w:r>
                            <w:r w:rsidRPr="00925B23">
                              <w:rPr>
                                <w:rFonts w:ascii="Verdana" w:hAnsi="Verdana"/>
                                <w:b/>
                              </w:rPr>
                              <w:t xml:space="preserve">Lanzarote Convention to include other relationships of trust, i.e., that it does not just apply to children in state care.  </w:t>
                            </w:r>
                          </w:p>
                          <w:p w14:paraId="42FD780F" w14:textId="77777777" w:rsidR="005B7372" w:rsidRPr="00D63FCB" w:rsidRDefault="005B7372" w:rsidP="00D63FCB">
                            <w:pPr>
                              <w:pStyle w:val="ListParagraph"/>
                              <w:rPr>
                                <w:rFonts w:ascii="Verdana" w:hAnsi="Verdana"/>
                                <w:b/>
                              </w:rPr>
                            </w:pPr>
                          </w:p>
                          <w:p w14:paraId="10F3AFA5" w14:textId="77777777" w:rsidR="005B7372" w:rsidRPr="00D63FCB" w:rsidRDefault="005B7372" w:rsidP="00D63FCB">
                            <w:pPr>
                              <w:pStyle w:val="ListParagraph"/>
                              <w:numPr>
                                <w:ilvl w:val="0"/>
                                <w:numId w:val="30"/>
                              </w:numPr>
                              <w:rPr>
                                <w:rFonts w:ascii="Verdana" w:hAnsi="Verdana"/>
                                <w:b/>
                              </w:rPr>
                            </w:pPr>
                            <w:r w:rsidRPr="00D63FCB">
                              <w:rPr>
                                <w:rFonts w:ascii="Verdana" w:hAnsi="Verdana"/>
                                <w:b/>
                              </w:rPr>
                              <w:t xml:space="preserve">the Committee ask the Minister to indicate what consideration is being given to the reversal of the burden of proof and if the Department proposes bringing forward the necessary legislative changes to address this in the future. </w:t>
                            </w:r>
                          </w:p>
                          <w:p w14:paraId="6FA5F866" w14:textId="77777777" w:rsidR="005B7372" w:rsidRPr="00925B23" w:rsidRDefault="005B7372" w:rsidP="00D63FCB">
                            <w:pPr>
                              <w:pStyle w:val="ListParagraph"/>
                              <w:rPr>
                                <w:rFonts w:ascii="Verdana" w:hAnsi="Verdana"/>
                                <w:b/>
                              </w:rPr>
                            </w:pPr>
                          </w:p>
                          <w:p w14:paraId="4D374861" w14:textId="77777777" w:rsidR="005B7372" w:rsidRPr="00925B23" w:rsidRDefault="005B7372" w:rsidP="00925B23">
                            <w:pPr>
                              <w:pStyle w:val="ListParagraph"/>
                              <w:rPr>
                                <w:rFonts w:ascii="Verdana" w:hAnsi="Verdana"/>
                                <w:b/>
                              </w:rPr>
                            </w:pPr>
                          </w:p>
                          <w:p w14:paraId="5CE09DA8" w14:textId="77777777" w:rsidR="005B7372" w:rsidRDefault="005B7372" w:rsidP="00925B23">
                            <w:pPr>
                              <w:rPr>
                                <w:rFonts w:ascii="Verdana" w:hAnsi="Verdana"/>
                              </w:rPr>
                            </w:pPr>
                          </w:p>
                          <w:p w14:paraId="300D2FDE" w14:textId="77777777" w:rsidR="005B7372" w:rsidRPr="00925B23" w:rsidRDefault="005B7372" w:rsidP="00925B23">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1F556" id="_x0000_s1027" type="#_x0000_t202" style="position:absolute;margin-left:2.15pt;margin-top:14.35pt;width:501.15pt;height:52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">
                <v:textbox>
                  <w:txbxContent>
                    <w:p w14:paraId="3712C7BA" w14:textId="77777777" w:rsidR="005B7372" w:rsidRPr="00925B23" w:rsidRDefault="005B7372">
                      <w:pPr>
                        <w:rPr>
                          <w:rFonts w:ascii="Verdana" w:hAnsi="Verdana"/>
                          <w:b/>
                        </w:rPr>
                      </w:pPr>
                    </w:p>
                    <w:p w14:paraId="6684F951" w14:textId="77777777" w:rsidR="005B7372" w:rsidRPr="00925B23" w:rsidRDefault="005B7372" w:rsidP="00925B23">
                      <w:pPr>
                        <w:pStyle w:val="ListParagraph"/>
                        <w:numPr>
                          <w:ilvl w:val="0"/>
                          <w:numId w:val="30"/>
                        </w:numPr>
                        <w:rPr>
                          <w:rFonts w:ascii="Verdana" w:hAnsi="Verdana"/>
                          <w:b/>
                        </w:rPr>
                      </w:pPr>
                      <w:r w:rsidRPr="00925B23">
                        <w:rPr>
                          <w:rFonts w:ascii="Verdana" w:hAnsi="Verdana"/>
                          <w:b/>
                        </w:rPr>
                        <w:t>the Committee for Justice refer to the Commission’s response to the consultation on ‘Consent to Serious Harm for Sexual Gratification: Not a Defence’ to ensure this is implemented in a way that is compliant with human rights law.</w:t>
                      </w:r>
                    </w:p>
                    <w:p w14:paraId="165D94F6" w14:textId="77777777" w:rsidR="005B7372" w:rsidRPr="00925B23" w:rsidRDefault="005B7372" w:rsidP="00925B23">
                      <w:pPr>
                        <w:pStyle w:val="ListParagraph"/>
                        <w:rPr>
                          <w:rFonts w:ascii="Verdana" w:hAnsi="Verdana"/>
                          <w:b/>
                        </w:rPr>
                      </w:pPr>
                    </w:p>
                    <w:p w14:paraId="1F285080" w14:textId="6D499CB6" w:rsidR="005B7372" w:rsidRPr="00925B23" w:rsidRDefault="005B7372" w:rsidP="00925B23">
                      <w:pPr>
                        <w:pStyle w:val="ListParagraph"/>
                        <w:numPr>
                          <w:ilvl w:val="0"/>
                          <w:numId w:val="30"/>
                        </w:numPr>
                        <w:rPr>
                          <w:rFonts w:ascii="Verdana" w:hAnsi="Verdana"/>
                          <w:b/>
                        </w:rPr>
                      </w:pPr>
                      <w:r w:rsidRPr="00925B23">
                        <w:rPr>
                          <w:rFonts w:ascii="Verdana" w:hAnsi="Verdana"/>
                          <w:b/>
                        </w:rPr>
                        <w:t>the Bill include</w:t>
                      </w:r>
                      <w:r>
                        <w:rPr>
                          <w:rFonts w:ascii="Verdana" w:hAnsi="Verdana"/>
                          <w:b/>
                        </w:rPr>
                        <w:t>s</w:t>
                      </w:r>
                      <w:r w:rsidRPr="00925B23">
                        <w:rPr>
                          <w:rFonts w:ascii="Verdana" w:hAnsi="Verdana"/>
                          <w:b/>
                        </w:rPr>
                        <w:t xml:space="preserve"> an amendment to introduce provision for image based sexual abuse</w:t>
                      </w:r>
                      <w:r>
                        <w:rPr>
                          <w:rFonts w:ascii="Verdana" w:hAnsi="Verdana"/>
                          <w:b/>
                        </w:rPr>
                        <w:t>,</w:t>
                      </w:r>
                      <w:r w:rsidRPr="00925B23">
                        <w:rPr>
                          <w:rFonts w:ascii="Verdana" w:hAnsi="Verdana"/>
                          <w:b/>
                        </w:rPr>
                        <w:t xml:space="preserve"> including for the threat of publication. The proposed legislation should ensure </w:t>
                      </w:r>
                      <w:r>
                        <w:rPr>
                          <w:rFonts w:ascii="Verdana" w:hAnsi="Verdana"/>
                          <w:b/>
                        </w:rPr>
                        <w:t xml:space="preserve">comprehensive </w:t>
                      </w:r>
                      <w:r w:rsidRPr="00925B23">
                        <w:rPr>
                          <w:rFonts w:ascii="Verdana" w:hAnsi="Verdana"/>
                          <w:b/>
                        </w:rPr>
                        <w:t xml:space="preserve">consideration of human rights obligations including the disproportionate impact on women and girls, and recognise image based sexual abuse as a new form of gender-based violence. </w:t>
                      </w:r>
                    </w:p>
                    <w:p w14:paraId="68A4FBA4" w14:textId="77777777" w:rsidR="005B7372" w:rsidRPr="00925B23" w:rsidRDefault="005B7372" w:rsidP="00925B23">
                      <w:pPr>
                        <w:pStyle w:val="ListParagraph"/>
                        <w:rPr>
                          <w:rFonts w:ascii="Verdana" w:hAnsi="Verdana"/>
                          <w:b/>
                        </w:rPr>
                      </w:pPr>
                    </w:p>
                    <w:p w14:paraId="1C56A4D0" w14:textId="3E64C972" w:rsidR="005B7372" w:rsidRDefault="005B7372" w:rsidP="00925B23">
                      <w:pPr>
                        <w:pStyle w:val="ListParagraph"/>
                        <w:numPr>
                          <w:ilvl w:val="0"/>
                          <w:numId w:val="30"/>
                        </w:numPr>
                        <w:rPr>
                          <w:rFonts w:ascii="Verdana" w:hAnsi="Verdana"/>
                          <w:b/>
                        </w:rPr>
                      </w:pPr>
                      <w:r w:rsidRPr="00925B23">
                        <w:rPr>
                          <w:rFonts w:ascii="Verdana" w:hAnsi="Verdana"/>
                          <w:b/>
                        </w:rPr>
                        <w:t xml:space="preserve">that the Committee ensure that any new legislation regarding the abuse of trust extends the definition outlined at Article </w:t>
                      </w:r>
                      <w:r>
                        <w:rPr>
                          <w:rFonts w:ascii="Verdana" w:hAnsi="Verdana"/>
                          <w:b/>
                        </w:rPr>
                        <w:t>1</w:t>
                      </w:r>
                      <w:r w:rsidRPr="00925B23">
                        <w:rPr>
                          <w:rFonts w:ascii="Verdana" w:hAnsi="Verdana"/>
                          <w:b/>
                        </w:rPr>
                        <w:t xml:space="preserve">8 </w:t>
                      </w:r>
                      <w:r>
                        <w:rPr>
                          <w:rFonts w:ascii="Verdana" w:hAnsi="Verdana"/>
                          <w:b/>
                        </w:rPr>
                        <w:t xml:space="preserve">of the </w:t>
                      </w:r>
                      <w:r w:rsidRPr="00925B23">
                        <w:rPr>
                          <w:rFonts w:ascii="Verdana" w:hAnsi="Verdana"/>
                          <w:b/>
                        </w:rPr>
                        <w:t xml:space="preserve">Lanzarote Convention to include other relationships of trust, i.e., that it does not just apply to children in state care.  </w:t>
                      </w:r>
                    </w:p>
                    <w:p w14:paraId="42FD780F" w14:textId="77777777" w:rsidR="005B7372" w:rsidRPr="00D63FCB" w:rsidRDefault="005B7372" w:rsidP="00D63FCB">
                      <w:pPr>
                        <w:pStyle w:val="ListParagraph"/>
                        <w:rPr>
                          <w:rFonts w:ascii="Verdana" w:hAnsi="Verdana"/>
                          <w:b/>
                        </w:rPr>
                      </w:pPr>
                    </w:p>
                    <w:p w14:paraId="10F3AFA5" w14:textId="77777777" w:rsidR="005B7372" w:rsidRPr="00D63FCB" w:rsidRDefault="005B7372" w:rsidP="00D63FCB">
                      <w:pPr>
                        <w:pStyle w:val="ListParagraph"/>
                        <w:numPr>
                          <w:ilvl w:val="0"/>
                          <w:numId w:val="30"/>
                        </w:numPr>
                        <w:rPr>
                          <w:rFonts w:ascii="Verdana" w:hAnsi="Verdana"/>
                          <w:b/>
                        </w:rPr>
                      </w:pPr>
                      <w:r w:rsidRPr="00D63FCB">
                        <w:rPr>
                          <w:rFonts w:ascii="Verdana" w:hAnsi="Verdana"/>
                          <w:b/>
                        </w:rPr>
                        <w:t xml:space="preserve">the Committee ask the Minister to indicate what consideration is being given to the reversal of the burden of proof and if the Department proposes bringing forward the necessary legislative changes to address this in the future. </w:t>
                      </w:r>
                    </w:p>
                    <w:p w14:paraId="6FA5F866" w14:textId="77777777" w:rsidR="005B7372" w:rsidRPr="00925B23" w:rsidRDefault="005B7372" w:rsidP="00D63FCB">
                      <w:pPr>
                        <w:pStyle w:val="ListParagraph"/>
                        <w:rPr>
                          <w:rFonts w:ascii="Verdana" w:hAnsi="Verdana"/>
                          <w:b/>
                        </w:rPr>
                      </w:pPr>
                    </w:p>
                    <w:p w14:paraId="4D374861" w14:textId="77777777" w:rsidR="005B7372" w:rsidRPr="00925B23" w:rsidRDefault="005B7372" w:rsidP="00925B23">
                      <w:pPr>
                        <w:pStyle w:val="ListParagraph"/>
                        <w:rPr>
                          <w:rFonts w:ascii="Verdana" w:hAnsi="Verdana"/>
                          <w:b/>
                        </w:rPr>
                      </w:pPr>
                    </w:p>
                    <w:p w14:paraId="5CE09DA8" w14:textId="77777777" w:rsidR="005B7372" w:rsidRDefault="005B7372" w:rsidP="00925B23">
                      <w:pPr>
                        <w:rPr>
                          <w:rFonts w:ascii="Verdana" w:hAnsi="Verdana"/>
                        </w:rPr>
                      </w:pPr>
                    </w:p>
                    <w:p w14:paraId="300D2FDE" w14:textId="77777777" w:rsidR="005B7372" w:rsidRPr="00925B23" w:rsidRDefault="005B7372" w:rsidP="00925B23">
                      <w:pPr>
                        <w:rPr>
                          <w:rFonts w:ascii="Verdana" w:hAnsi="Verdana"/>
                        </w:rPr>
                      </w:pPr>
                    </w:p>
                  </w:txbxContent>
                </v:textbox>
                <w10:wrap type="square"/>
              </v:shape>
            </w:pict>
          </mc:Fallback>
        </mc:AlternateContent>
      </w:r>
    </w:p>
    <w:p w14:paraId="2CFD6CC7" w14:textId="77777777" w:rsidR="009D14B3" w:rsidRDefault="009D14B3" w:rsidP="009D14B3"/>
    <w:p w14:paraId="1142D9C0" w14:textId="77777777" w:rsidR="009D14B3" w:rsidRDefault="009D14B3" w:rsidP="009D14B3"/>
    <w:p w14:paraId="4CA84ADB" w14:textId="77777777" w:rsidR="009D14B3" w:rsidRDefault="009D14B3" w:rsidP="009D14B3"/>
    <w:p w14:paraId="6F4C7E8F" w14:textId="77777777" w:rsidR="009D14B3" w:rsidRDefault="009D14B3" w:rsidP="009D14B3"/>
    <w:p w14:paraId="64A02D55" w14:textId="77777777" w:rsidR="009D14B3" w:rsidRDefault="009D14B3" w:rsidP="009D14B3"/>
    <w:p w14:paraId="6FF7F99B" w14:textId="77777777" w:rsidR="009D14B3" w:rsidRDefault="009D14B3" w:rsidP="009D14B3"/>
    <w:p w14:paraId="172FA673" w14:textId="77777777" w:rsidR="009D14B3" w:rsidRDefault="009D14B3" w:rsidP="009D14B3"/>
    <w:p w14:paraId="1A113610" w14:textId="77777777" w:rsidR="009D14B3" w:rsidRDefault="009D14B3" w:rsidP="009D14B3"/>
    <w:p w14:paraId="2153C4B4" w14:textId="77777777" w:rsidR="009D14B3" w:rsidRDefault="009D14B3" w:rsidP="009D14B3"/>
    <w:p w14:paraId="25ADEC68" w14:textId="77777777" w:rsidR="009D14B3" w:rsidRDefault="009D14B3" w:rsidP="009D14B3"/>
    <w:p w14:paraId="1C532268" w14:textId="77777777" w:rsidR="009D14B3" w:rsidRPr="009D14B3" w:rsidRDefault="009D14B3" w:rsidP="009D14B3"/>
    <w:p w14:paraId="3C5BB457" w14:textId="77777777" w:rsidR="00E24D35" w:rsidRDefault="00E24D35" w:rsidP="002B0AE2">
      <w:pPr>
        <w:pStyle w:val="Heading1"/>
        <w:numPr>
          <w:ilvl w:val="0"/>
          <w:numId w:val="1"/>
        </w:numPr>
        <w:spacing w:before="0" w:line="276" w:lineRule="auto"/>
      </w:pPr>
      <w:bookmarkStart w:id="1" w:name="_Toc83380403"/>
      <w:r>
        <w:lastRenderedPageBreak/>
        <w:t>Introduction</w:t>
      </w:r>
      <w:bookmarkEnd w:id="1"/>
      <w:r>
        <w:t xml:space="preserve"> </w:t>
      </w:r>
    </w:p>
    <w:p w14:paraId="25224F2A" w14:textId="77777777" w:rsidR="000A1D37" w:rsidRDefault="000A1D37" w:rsidP="002B0AE2">
      <w:pPr>
        <w:spacing w:line="276" w:lineRule="auto"/>
      </w:pPr>
    </w:p>
    <w:p w14:paraId="3043C4C4" w14:textId="77777777" w:rsidR="000A1D37" w:rsidRPr="000A1D37" w:rsidRDefault="000A1D37" w:rsidP="002B0AE2">
      <w:pPr>
        <w:pStyle w:val="Default"/>
        <w:numPr>
          <w:ilvl w:val="1"/>
          <w:numId w:val="2"/>
        </w:numPr>
        <w:spacing w:line="276" w:lineRule="auto"/>
        <w:rPr>
          <w:rFonts w:cs="Arial"/>
          <w:color w:val="auto"/>
        </w:rPr>
      </w:pPr>
      <w:r w:rsidRPr="000A1D37">
        <w:rPr>
          <w:rFonts w:cs="Arial"/>
          <w:color w:val="auto"/>
        </w:rPr>
        <w:t>The Northern Ireland Human Rights Commission (</w:t>
      </w:r>
      <w:r w:rsidR="000D0B89">
        <w:rPr>
          <w:rFonts w:cs="Arial"/>
          <w:color w:val="auto"/>
        </w:rPr>
        <w:t>the Commission</w:t>
      </w:r>
      <w:r w:rsidRPr="000A1D37">
        <w:rPr>
          <w:rFonts w:cs="Arial"/>
          <w:color w:val="auto"/>
        </w:rPr>
        <w:t xml:space="preserve">), pursuant to </w:t>
      </w:r>
      <w:r w:rsidR="00BB1763">
        <w:rPr>
          <w:rFonts w:cs="Arial"/>
          <w:color w:val="auto"/>
        </w:rPr>
        <w:t>section 69(4</w:t>
      </w:r>
      <w:r w:rsidRPr="000A1D37">
        <w:rPr>
          <w:rFonts w:cs="Arial"/>
          <w:color w:val="auto"/>
        </w:rPr>
        <w:t>) of the Northern Ireland Act 1998,</w:t>
      </w:r>
      <w:r w:rsidR="001C7C56" w:rsidRPr="00377CE1">
        <w:rPr>
          <w:color w:val="auto"/>
        </w:rPr>
        <w:t xml:space="preserve"> shall advise the Assembly whether a Bill is compatible with human rights</w:t>
      </w:r>
      <w:r w:rsidR="000D0B89">
        <w:rPr>
          <w:color w:val="auto"/>
        </w:rPr>
        <w:t xml:space="preserve">. </w:t>
      </w:r>
      <w:r w:rsidR="001C7C56">
        <w:rPr>
          <w:rFonts w:cs="Arial"/>
          <w:color w:val="auto"/>
        </w:rPr>
        <w:t xml:space="preserve">Further, </w:t>
      </w:r>
      <w:r w:rsidR="001C7C56">
        <w:rPr>
          <w:rFonts w:eastAsia="MS Mincho" w:cs="Arial"/>
          <w:color w:val="auto"/>
        </w:rPr>
        <w:t>t</w:t>
      </w:r>
      <w:r w:rsidR="00821B4E" w:rsidRPr="00821B4E">
        <w:rPr>
          <w:rFonts w:eastAsia="MS Mincho" w:cs="Arial"/>
          <w:color w:val="auto"/>
        </w:rPr>
        <w:t xml:space="preserve">he </w:t>
      </w:r>
      <w:r w:rsidR="00DA1EF5">
        <w:rPr>
          <w:rFonts w:eastAsia="MS Mincho" w:cs="Arial"/>
          <w:color w:val="auto"/>
        </w:rPr>
        <w:t>Commission</w:t>
      </w:r>
      <w:r w:rsidR="00821B4E" w:rsidRPr="00821B4E">
        <w:rPr>
          <w:rFonts w:eastAsia="MS Mincho" w:cs="Arial"/>
          <w:color w:val="auto"/>
        </w:rPr>
        <w:t>, pursuant to section 78A(6) of the Northern Ireland Act 1998, must advise the Assembly</w:t>
      </w:r>
      <w:r w:rsidR="0035455B">
        <w:rPr>
          <w:rFonts w:eastAsia="MS Mincho" w:cs="Arial"/>
          <w:color w:val="auto"/>
        </w:rPr>
        <w:t xml:space="preserve"> </w:t>
      </w:r>
      <w:r w:rsidR="00821B4E" w:rsidRPr="00821B4E">
        <w:rPr>
          <w:rFonts w:eastAsia="MS Mincho" w:cs="Arial"/>
          <w:color w:val="auto"/>
        </w:rPr>
        <w:t xml:space="preserve">whether a Bill is compatible with Article 2(1) of the Ireland/Northern Ireland Protocol. </w:t>
      </w:r>
      <w:r w:rsidRPr="000A1D37">
        <w:rPr>
          <w:rFonts w:cs="Arial"/>
          <w:color w:val="auto"/>
        </w:rPr>
        <w:t xml:space="preserve">In accordance with these functions, the following statutory advice is submitted to the Committee of Justice regarding the </w:t>
      </w:r>
      <w:r>
        <w:rPr>
          <w:rFonts w:cs="Arial"/>
          <w:color w:val="auto"/>
        </w:rPr>
        <w:t xml:space="preserve">Justice (Sexual Offences and Trafficking Victims) Bill. </w:t>
      </w:r>
    </w:p>
    <w:p w14:paraId="32E06A1F" w14:textId="77777777" w:rsidR="000A1D37" w:rsidRPr="000A1D37" w:rsidRDefault="000A1D37" w:rsidP="002B0AE2">
      <w:pPr>
        <w:widowControl w:val="0"/>
        <w:autoSpaceDE w:val="0"/>
        <w:autoSpaceDN w:val="0"/>
        <w:adjustRightInd w:val="0"/>
        <w:spacing w:line="276" w:lineRule="auto"/>
        <w:ind w:left="720"/>
        <w:rPr>
          <w:rFonts w:ascii="Verdana" w:hAnsi="Verdana" w:cs="Arial"/>
          <w:lang w:val="en-US"/>
        </w:rPr>
      </w:pPr>
    </w:p>
    <w:p w14:paraId="6653F5B6" w14:textId="77777777" w:rsidR="000A1D37" w:rsidRPr="000A1D37" w:rsidRDefault="000A1D37" w:rsidP="002B0AE2">
      <w:pPr>
        <w:widowControl w:val="0"/>
        <w:numPr>
          <w:ilvl w:val="1"/>
          <w:numId w:val="2"/>
        </w:numPr>
        <w:autoSpaceDE w:val="0"/>
        <w:autoSpaceDN w:val="0"/>
        <w:adjustRightInd w:val="0"/>
        <w:spacing w:line="276" w:lineRule="auto"/>
        <w:rPr>
          <w:rFonts w:ascii="Verdana" w:hAnsi="Verdana" w:cs="Arial"/>
          <w:b/>
          <w:lang w:val="en-US"/>
        </w:rPr>
      </w:pPr>
      <w:r w:rsidRPr="000A1D37">
        <w:rPr>
          <w:rFonts w:ascii="Verdana" w:hAnsi="Verdana" w:cs="Arial"/>
          <w:lang w:val="en-US"/>
        </w:rPr>
        <w:t xml:space="preserve">The </w:t>
      </w:r>
      <w:r w:rsidR="000D0B89">
        <w:rPr>
          <w:rFonts w:ascii="Verdana" w:hAnsi="Verdana" w:cs="Arial"/>
          <w:lang w:val="en-US"/>
        </w:rPr>
        <w:t>Commission</w:t>
      </w:r>
      <w:r w:rsidRPr="000A1D37">
        <w:rPr>
          <w:rFonts w:ascii="Verdana" w:hAnsi="Verdana" w:cs="Arial"/>
          <w:lang w:val="en-US"/>
        </w:rPr>
        <w:t xml:space="preserve"> bases its advice on the full range of internationally accepted human rights standards, including the European Convention on Human Rights, as incorporated by the Human Rights Act 1998, and the treaty obligations of the Council of Europe (CoE) and United Nations (UN).</w:t>
      </w:r>
      <w:r w:rsidR="007C6AAA">
        <w:rPr>
          <w:rFonts w:ascii="Verdana" w:hAnsi="Verdana" w:cs="Arial"/>
          <w:lang w:val="en-US"/>
        </w:rPr>
        <w:t xml:space="preserve"> </w:t>
      </w:r>
      <w:r w:rsidRPr="000A1D37">
        <w:rPr>
          <w:rFonts w:ascii="Verdana" w:hAnsi="Verdana" w:cs="Arial"/>
          <w:lang w:val="en-US"/>
        </w:rPr>
        <w:t>The relevant regional and international treaties in this context include:</w:t>
      </w:r>
    </w:p>
    <w:p w14:paraId="3E0627C6" w14:textId="77777777" w:rsidR="000A1D37" w:rsidRPr="000A1D37" w:rsidRDefault="000A1D37" w:rsidP="002B0AE2">
      <w:pPr>
        <w:spacing w:line="276" w:lineRule="auto"/>
        <w:ind w:left="720"/>
        <w:contextualSpacing/>
        <w:rPr>
          <w:rFonts w:ascii="Verdana" w:hAnsi="Verdana" w:cs="Arial"/>
        </w:rPr>
      </w:pPr>
    </w:p>
    <w:p w14:paraId="0D30BCE9" w14:textId="77777777" w:rsidR="000A1D37" w:rsidRPr="000A1D37" w:rsidRDefault="000A1D37" w:rsidP="002B0AE2">
      <w:pPr>
        <w:widowControl w:val="0"/>
        <w:numPr>
          <w:ilvl w:val="0"/>
          <w:numId w:val="3"/>
        </w:numPr>
        <w:autoSpaceDE w:val="0"/>
        <w:autoSpaceDN w:val="0"/>
        <w:adjustRightInd w:val="0"/>
        <w:spacing w:line="276" w:lineRule="auto"/>
        <w:rPr>
          <w:rFonts w:ascii="Verdana" w:hAnsi="Verdana" w:cs="Arial"/>
          <w:b/>
          <w:lang w:val="en-US"/>
        </w:rPr>
      </w:pPr>
      <w:r w:rsidRPr="000A1D37">
        <w:rPr>
          <w:rFonts w:ascii="Verdana" w:hAnsi="Verdana" w:cs="Arial"/>
          <w:lang w:val="en-US"/>
        </w:rPr>
        <w:t>European Convention on Human Rights (ECHR);</w:t>
      </w:r>
      <w:r w:rsidRPr="000A1D37">
        <w:rPr>
          <w:rFonts w:ascii="Verdana" w:hAnsi="Verdana" w:cs="Arial"/>
          <w:vertAlign w:val="superscript"/>
          <w:lang w:val="en-US"/>
        </w:rPr>
        <w:footnoteReference w:id="2"/>
      </w:r>
      <w:r w:rsidRPr="000A1D37">
        <w:rPr>
          <w:rFonts w:ascii="Verdana" w:hAnsi="Verdana" w:cs="Arial"/>
          <w:lang w:val="en-US"/>
        </w:rPr>
        <w:t xml:space="preserve"> </w:t>
      </w:r>
    </w:p>
    <w:p w14:paraId="21CBF24A" w14:textId="77777777" w:rsidR="000A1D37" w:rsidRPr="000A1D37" w:rsidRDefault="000A1D37" w:rsidP="002B0AE2">
      <w:pPr>
        <w:widowControl w:val="0"/>
        <w:numPr>
          <w:ilvl w:val="0"/>
          <w:numId w:val="3"/>
        </w:numPr>
        <w:autoSpaceDE w:val="0"/>
        <w:autoSpaceDN w:val="0"/>
        <w:adjustRightInd w:val="0"/>
        <w:spacing w:line="276" w:lineRule="auto"/>
        <w:rPr>
          <w:rFonts w:ascii="Verdana" w:hAnsi="Verdana" w:cs="Arial"/>
          <w:lang w:val="en-US"/>
        </w:rPr>
      </w:pPr>
      <w:r w:rsidRPr="000A1D37">
        <w:rPr>
          <w:rFonts w:ascii="Verdana" w:hAnsi="Verdana" w:cs="Arial"/>
          <w:lang w:val="en-US"/>
        </w:rPr>
        <w:t xml:space="preserve">UN </w:t>
      </w:r>
      <w:r w:rsidR="00ED1EE3">
        <w:rPr>
          <w:rFonts w:ascii="Verdana" w:hAnsi="Verdana" w:cs="Arial"/>
          <w:lang w:val="en-US"/>
        </w:rPr>
        <w:t>International Covenant</w:t>
      </w:r>
      <w:r w:rsidR="00ED1EE3" w:rsidRPr="000A1D37">
        <w:rPr>
          <w:rFonts w:ascii="Verdana" w:hAnsi="Verdana" w:cs="Arial"/>
          <w:lang w:val="en-US"/>
        </w:rPr>
        <w:t xml:space="preserve"> </w:t>
      </w:r>
      <w:r w:rsidRPr="000A1D37">
        <w:rPr>
          <w:rFonts w:ascii="Verdana" w:hAnsi="Verdana" w:cs="Arial"/>
          <w:lang w:val="en-US"/>
        </w:rPr>
        <w:t>on Civil and Political Rights (UN ICCPR);</w:t>
      </w:r>
      <w:r w:rsidRPr="000A1D37">
        <w:rPr>
          <w:rFonts w:ascii="Verdana" w:hAnsi="Verdana" w:cs="Arial"/>
          <w:vertAlign w:val="superscript"/>
          <w:lang w:val="en-US"/>
        </w:rPr>
        <w:footnoteReference w:id="3"/>
      </w:r>
    </w:p>
    <w:p w14:paraId="281ACAD7" w14:textId="77777777" w:rsidR="000A1D37" w:rsidRPr="000A1D37" w:rsidRDefault="000A1D37" w:rsidP="002B0AE2">
      <w:pPr>
        <w:widowControl w:val="0"/>
        <w:numPr>
          <w:ilvl w:val="0"/>
          <w:numId w:val="3"/>
        </w:numPr>
        <w:autoSpaceDE w:val="0"/>
        <w:autoSpaceDN w:val="0"/>
        <w:adjustRightInd w:val="0"/>
        <w:spacing w:line="276" w:lineRule="auto"/>
        <w:rPr>
          <w:rFonts w:ascii="Verdana" w:hAnsi="Verdana" w:cs="Arial"/>
          <w:lang w:val="en-US"/>
        </w:rPr>
      </w:pPr>
      <w:r w:rsidRPr="000A1D37">
        <w:rPr>
          <w:rFonts w:ascii="Verdana" w:hAnsi="Verdana" w:cs="Verdana"/>
          <w:color w:val="000000"/>
          <w:lang w:val="en-US"/>
        </w:rPr>
        <w:t>UN Convention on Elimination of Discrimination against Women (UN CEDAW);</w:t>
      </w:r>
      <w:r w:rsidRPr="000A1D37">
        <w:rPr>
          <w:rFonts w:ascii="Verdana" w:hAnsi="Verdana" w:cs="Verdana"/>
          <w:color w:val="000000"/>
          <w:vertAlign w:val="superscript"/>
          <w:lang w:val="en-US"/>
        </w:rPr>
        <w:footnoteReference w:id="4"/>
      </w:r>
    </w:p>
    <w:p w14:paraId="26E4584C" w14:textId="77777777" w:rsidR="000A1D37" w:rsidRPr="000A1D37" w:rsidRDefault="000A1D37" w:rsidP="002B0AE2">
      <w:pPr>
        <w:widowControl w:val="0"/>
        <w:numPr>
          <w:ilvl w:val="0"/>
          <w:numId w:val="3"/>
        </w:numPr>
        <w:autoSpaceDE w:val="0"/>
        <w:autoSpaceDN w:val="0"/>
        <w:adjustRightInd w:val="0"/>
        <w:spacing w:line="276" w:lineRule="auto"/>
        <w:rPr>
          <w:rFonts w:ascii="Verdana" w:hAnsi="Verdana" w:cs="Arial"/>
          <w:lang w:val="en-US"/>
        </w:rPr>
      </w:pPr>
      <w:r w:rsidRPr="000A1D37">
        <w:rPr>
          <w:rFonts w:ascii="Verdana" w:hAnsi="Verdana" w:cs="Verdana"/>
          <w:color w:val="000000"/>
          <w:lang w:val="en-US"/>
        </w:rPr>
        <w:t>UN Convention against Torture (UN CAT);</w:t>
      </w:r>
      <w:r w:rsidRPr="000A1D37">
        <w:rPr>
          <w:rFonts w:ascii="Verdana" w:hAnsi="Verdana" w:cs="Verdana"/>
          <w:color w:val="000000"/>
          <w:vertAlign w:val="superscript"/>
          <w:lang w:val="en-US"/>
        </w:rPr>
        <w:footnoteReference w:id="5"/>
      </w:r>
    </w:p>
    <w:p w14:paraId="211C2C4F" w14:textId="77777777" w:rsidR="000A1D37" w:rsidRPr="000A1D37" w:rsidRDefault="000A1D37" w:rsidP="002B0AE2">
      <w:pPr>
        <w:widowControl w:val="0"/>
        <w:numPr>
          <w:ilvl w:val="0"/>
          <w:numId w:val="3"/>
        </w:numPr>
        <w:autoSpaceDE w:val="0"/>
        <w:autoSpaceDN w:val="0"/>
        <w:adjustRightInd w:val="0"/>
        <w:spacing w:line="276" w:lineRule="auto"/>
        <w:rPr>
          <w:rFonts w:ascii="Verdana" w:hAnsi="Verdana" w:cs="Arial"/>
          <w:lang w:val="en-US"/>
        </w:rPr>
      </w:pPr>
      <w:r w:rsidRPr="000A1D37">
        <w:rPr>
          <w:rFonts w:ascii="Verdana" w:hAnsi="Verdana" w:cs="Verdana"/>
          <w:color w:val="000000"/>
          <w:lang w:val="en-US"/>
        </w:rPr>
        <w:t>UN Convention on the Rights of the Child (UN CRC);</w:t>
      </w:r>
      <w:r w:rsidRPr="000A1D37">
        <w:rPr>
          <w:rFonts w:ascii="Verdana" w:hAnsi="Verdana" w:cs="Verdana"/>
          <w:color w:val="000000"/>
          <w:vertAlign w:val="superscript"/>
          <w:lang w:val="en-US"/>
        </w:rPr>
        <w:footnoteReference w:id="6"/>
      </w:r>
    </w:p>
    <w:p w14:paraId="50DC9E3A" w14:textId="77777777" w:rsidR="00034569" w:rsidRPr="00034569" w:rsidRDefault="00034569" w:rsidP="002B0AE2">
      <w:pPr>
        <w:numPr>
          <w:ilvl w:val="0"/>
          <w:numId w:val="3"/>
        </w:numPr>
        <w:autoSpaceDE w:val="0"/>
        <w:autoSpaceDN w:val="0"/>
        <w:adjustRightInd w:val="0"/>
        <w:spacing w:line="276" w:lineRule="auto"/>
        <w:contextualSpacing/>
        <w:rPr>
          <w:rFonts w:ascii="Verdana" w:hAnsi="Verdana" w:cs="ZurichBT-LightCondensed"/>
        </w:rPr>
      </w:pPr>
      <w:r w:rsidRPr="00034569">
        <w:rPr>
          <w:rFonts w:ascii="Verdana" w:hAnsi="Verdana"/>
        </w:rPr>
        <w:t>European Convention on Compensation for Victims of Violent Crimes 1983;</w:t>
      </w:r>
      <w:r w:rsidRPr="00034569">
        <w:rPr>
          <w:rStyle w:val="FootnoteReference"/>
          <w:rFonts w:ascii="Verdana" w:hAnsi="Verdana"/>
        </w:rPr>
        <w:footnoteReference w:id="7"/>
      </w:r>
    </w:p>
    <w:p w14:paraId="3AAEF482" w14:textId="77777777" w:rsidR="00034569" w:rsidRPr="00034569" w:rsidRDefault="00034569" w:rsidP="002B0AE2">
      <w:pPr>
        <w:pStyle w:val="ListParagraph"/>
        <w:numPr>
          <w:ilvl w:val="0"/>
          <w:numId w:val="3"/>
        </w:numPr>
        <w:autoSpaceDE w:val="0"/>
        <w:autoSpaceDN w:val="0"/>
        <w:adjustRightInd w:val="0"/>
        <w:spacing w:line="276" w:lineRule="auto"/>
        <w:rPr>
          <w:rFonts w:ascii="Verdana" w:hAnsi="Verdana" w:cs="ZurichBT-LightCondensed"/>
        </w:rPr>
      </w:pPr>
      <w:r w:rsidRPr="00034569">
        <w:rPr>
          <w:rFonts w:ascii="Verdana" w:hAnsi="Verdana" w:cs="Segoe UI"/>
        </w:rPr>
        <w:t>European Convention on Cybercrime;</w:t>
      </w:r>
      <w:r w:rsidRPr="00034569">
        <w:rPr>
          <w:rStyle w:val="FootnoteReference"/>
          <w:rFonts w:ascii="Verdana" w:hAnsi="Verdana" w:cs="Segoe UI"/>
        </w:rPr>
        <w:footnoteReference w:id="8"/>
      </w:r>
    </w:p>
    <w:p w14:paraId="64E6E61B" w14:textId="77777777" w:rsidR="00034569" w:rsidRPr="00034569" w:rsidRDefault="00034569" w:rsidP="002B0AE2">
      <w:pPr>
        <w:numPr>
          <w:ilvl w:val="0"/>
          <w:numId w:val="3"/>
        </w:numPr>
        <w:autoSpaceDE w:val="0"/>
        <w:autoSpaceDN w:val="0"/>
        <w:adjustRightInd w:val="0"/>
        <w:spacing w:line="276" w:lineRule="auto"/>
        <w:contextualSpacing/>
        <w:rPr>
          <w:rFonts w:ascii="Verdana" w:hAnsi="Verdana" w:cs="ZurichBT-LightCondensed"/>
        </w:rPr>
      </w:pPr>
      <w:r w:rsidRPr="00034569">
        <w:rPr>
          <w:rFonts w:ascii="Verdana" w:hAnsi="Verdana" w:cs="ZurichBT-LightCondensed"/>
        </w:rPr>
        <w:t xml:space="preserve">European Convention on Action against Trafficking in Human </w:t>
      </w:r>
      <w:r>
        <w:rPr>
          <w:rFonts w:ascii="Verdana" w:hAnsi="Verdana" w:cs="ZurichBT-LightCondensed"/>
        </w:rPr>
        <w:t>Beings</w:t>
      </w:r>
      <w:r w:rsidRPr="00034569">
        <w:rPr>
          <w:rFonts w:ascii="Verdana" w:hAnsi="Verdana" w:cs="ZurichBT-LightCondensed"/>
        </w:rPr>
        <w:t>;</w:t>
      </w:r>
      <w:r w:rsidRPr="00034569">
        <w:rPr>
          <w:rStyle w:val="FootnoteReference"/>
          <w:rFonts w:ascii="Verdana" w:hAnsi="Verdana" w:cs="ZurichBT-LightCondensed"/>
        </w:rPr>
        <w:footnoteReference w:id="9"/>
      </w:r>
    </w:p>
    <w:p w14:paraId="09169392" w14:textId="77777777" w:rsidR="00034569" w:rsidRPr="00034569" w:rsidRDefault="00034569" w:rsidP="002B0AE2">
      <w:pPr>
        <w:numPr>
          <w:ilvl w:val="0"/>
          <w:numId w:val="3"/>
        </w:numPr>
        <w:autoSpaceDE w:val="0"/>
        <w:autoSpaceDN w:val="0"/>
        <w:adjustRightInd w:val="0"/>
        <w:spacing w:line="276" w:lineRule="auto"/>
        <w:contextualSpacing/>
        <w:rPr>
          <w:rFonts w:ascii="Verdana" w:hAnsi="Verdana" w:cs="ZurichBT-LightCondensed"/>
        </w:rPr>
      </w:pPr>
      <w:r w:rsidRPr="00034569">
        <w:rPr>
          <w:rFonts w:ascii="Verdana" w:hAnsi="Verdana" w:cs="ZurichBT-LightCondensed"/>
        </w:rPr>
        <w:t>European Convention on the Protection of Children and Young People against Sexual Exp</w:t>
      </w:r>
      <w:r>
        <w:rPr>
          <w:rFonts w:ascii="Verdana" w:hAnsi="Verdana" w:cs="ZurichBT-LightCondensed"/>
        </w:rPr>
        <w:t xml:space="preserve">loitation and Sexual Abuse </w:t>
      </w:r>
      <w:r w:rsidRPr="00034569">
        <w:rPr>
          <w:rFonts w:ascii="Verdana" w:hAnsi="Verdana" w:cs="ZurichBT-LightCondensed"/>
        </w:rPr>
        <w:t>(Lanzarote Convention);</w:t>
      </w:r>
      <w:r w:rsidRPr="00034569">
        <w:rPr>
          <w:rStyle w:val="FootnoteReference"/>
          <w:rFonts w:ascii="Verdana" w:hAnsi="Verdana" w:cs="ZurichBT-LightCondensed"/>
        </w:rPr>
        <w:footnoteReference w:id="10"/>
      </w:r>
      <w:r w:rsidRPr="00034569">
        <w:rPr>
          <w:rFonts w:ascii="Verdana" w:hAnsi="Verdana" w:cs="ZurichBT-LightCondensed"/>
        </w:rPr>
        <w:t xml:space="preserve"> </w:t>
      </w:r>
    </w:p>
    <w:p w14:paraId="422801E2" w14:textId="77777777" w:rsidR="00034569" w:rsidRPr="00034569" w:rsidRDefault="00034569" w:rsidP="002B0AE2">
      <w:pPr>
        <w:pStyle w:val="ListParagraph"/>
        <w:numPr>
          <w:ilvl w:val="0"/>
          <w:numId w:val="3"/>
        </w:numPr>
        <w:autoSpaceDE w:val="0"/>
        <w:autoSpaceDN w:val="0"/>
        <w:adjustRightInd w:val="0"/>
        <w:spacing w:line="276" w:lineRule="auto"/>
        <w:rPr>
          <w:rFonts w:ascii="Verdana" w:hAnsi="Verdana" w:cs="ZurichBT-LightCondensed"/>
        </w:rPr>
      </w:pPr>
      <w:r w:rsidRPr="00034569">
        <w:rPr>
          <w:rFonts w:ascii="Verdana" w:hAnsi="Verdana"/>
        </w:rPr>
        <w:t>CoE Convention Preventing and Combating Violence against Women and Domestic Violence (Istanbul Convention);</w:t>
      </w:r>
      <w:r w:rsidRPr="00034569">
        <w:rPr>
          <w:rStyle w:val="FootnoteReference"/>
          <w:rFonts w:ascii="Verdana" w:hAnsi="Verdana"/>
        </w:rPr>
        <w:footnoteReference w:id="11"/>
      </w:r>
    </w:p>
    <w:p w14:paraId="13DD1DA3" w14:textId="77777777" w:rsidR="00034569" w:rsidRPr="00034569" w:rsidRDefault="00034569" w:rsidP="002B0AE2">
      <w:pPr>
        <w:pStyle w:val="ListParagraph"/>
        <w:numPr>
          <w:ilvl w:val="0"/>
          <w:numId w:val="3"/>
        </w:numPr>
        <w:autoSpaceDE w:val="0"/>
        <w:autoSpaceDN w:val="0"/>
        <w:adjustRightInd w:val="0"/>
        <w:spacing w:line="276" w:lineRule="auto"/>
        <w:rPr>
          <w:rFonts w:ascii="Verdana" w:hAnsi="Verdana" w:cs="ZurichBT-LightCondensed"/>
        </w:rPr>
      </w:pPr>
      <w:r w:rsidRPr="00034569">
        <w:rPr>
          <w:rFonts w:ascii="Verdana" w:hAnsi="Verdana"/>
        </w:rPr>
        <w:lastRenderedPageBreak/>
        <w:t>EU Directive on combating the Sexual Abuse and Sexual Exploitation of Children and Child Pornography;</w:t>
      </w:r>
      <w:r w:rsidRPr="00034569">
        <w:rPr>
          <w:rStyle w:val="FootnoteReference"/>
          <w:rFonts w:ascii="Verdana" w:hAnsi="Verdana"/>
        </w:rPr>
        <w:footnoteReference w:id="12"/>
      </w:r>
    </w:p>
    <w:p w14:paraId="24C6A439" w14:textId="77777777" w:rsidR="00034569" w:rsidRDefault="00034569" w:rsidP="002B0AE2">
      <w:pPr>
        <w:pStyle w:val="ListParagraph"/>
        <w:numPr>
          <w:ilvl w:val="0"/>
          <w:numId w:val="3"/>
        </w:numPr>
        <w:autoSpaceDE w:val="0"/>
        <w:autoSpaceDN w:val="0"/>
        <w:adjustRightInd w:val="0"/>
        <w:spacing w:line="276" w:lineRule="auto"/>
        <w:rPr>
          <w:rFonts w:ascii="Verdana" w:hAnsi="Verdana" w:cs="ZurichBT-LightCondensed"/>
        </w:rPr>
      </w:pPr>
      <w:r w:rsidRPr="00034569">
        <w:rPr>
          <w:rFonts w:ascii="Verdana" w:hAnsi="Verdana" w:cs="ZurichBT-LightCondensed"/>
        </w:rPr>
        <w:t>EU Directive on establishing Minimum Standards on the Rights, Support and Protection of Victims of Crime (EU Victims Directive).</w:t>
      </w:r>
      <w:r w:rsidRPr="00034569">
        <w:rPr>
          <w:rStyle w:val="FootnoteReference"/>
          <w:rFonts w:ascii="Verdana" w:hAnsi="Verdana" w:cs="ZurichBT-LightCondensed"/>
        </w:rPr>
        <w:footnoteReference w:id="13"/>
      </w:r>
    </w:p>
    <w:p w14:paraId="7396E669" w14:textId="77777777" w:rsidR="00821B4E" w:rsidRPr="00034569" w:rsidRDefault="00821B4E" w:rsidP="002B0AE2">
      <w:pPr>
        <w:pStyle w:val="ListParagraph"/>
        <w:numPr>
          <w:ilvl w:val="0"/>
          <w:numId w:val="3"/>
        </w:numPr>
        <w:autoSpaceDE w:val="0"/>
        <w:autoSpaceDN w:val="0"/>
        <w:adjustRightInd w:val="0"/>
        <w:spacing w:line="276" w:lineRule="auto"/>
        <w:rPr>
          <w:rFonts w:ascii="Verdana" w:hAnsi="Verdana" w:cs="ZurichBT-LightCondensed"/>
        </w:rPr>
      </w:pPr>
      <w:r>
        <w:rPr>
          <w:rFonts w:ascii="Verdana" w:hAnsi="Verdana"/>
        </w:rPr>
        <w:t xml:space="preserve">EU </w:t>
      </w:r>
      <w:r w:rsidRPr="00821B4E">
        <w:rPr>
          <w:rFonts w:ascii="Verdana" w:hAnsi="Verdana"/>
        </w:rPr>
        <w:t>Directive on preventing and combatting trafficking in human beings and protecting its victims</w:t>
      </w:r>
      <w:r>
        <w:rPr>
          <w:rFonts w:ascii="Verdana" w:hAnsi="Verdana"/>
        </w:rPr>
        <w:t>.</w:t>
      </w:r>
      <w:r>
        <w:rPr>
          <w:rStyle w:val="FootnoteReference"/>
          <w:rFonts w:ascii="Verdana" w:hAnsi="Verdana"/>
        </w:rPr>
        <w:footnoteReference w:id="14"/>
      </w:r>
    </w:p>
    <w:p w14:paraId="7F1243D3" w14:textId="77777777" w:rsidR="00034569" w:rsidRPr="00034569" w:rsidRDefault="00034569" w:rsidP="002B0AE2">
      <w:pPr>
        <w:pStyle w:val="ListParagraph"/>
        <w:numPr>
          <w:ilvl w:val="0"/>
          <w:numId w:val="3"/>
        </w:numPr>
        <w:autoSpaceDE w:val="0"/>
        <w:autoSpaceDN w:val="0"/>
        <w:adjustRightInd w:val="0"/>
        <w:spacing w:line="276" w:lineRule="auto"/>
        <w:rPr>
          <w:rFonts w:ascii="Verdana" w:hAnsi="Verdana" w:cs="ZurichBT-LightCondensed"/>
        </w:rPr>
      </w:pPr>
      <w:r w:rsidRPr="00034569">
        <w:rPr>
          <w:rFonts w:ascii="Verdana" w:hAnsi="Verdana" w:cs="ZurichBT-LightCondensed"/>
        </w:rPr>
        <w:t>Optional Protocol to the UN Convention on the Rights of the Child on the Sale of Children, Child Prostitution and Child Pornography (CRC Optional Protocol);</w:t>
      </w:r>
      <w:r w:rsidRPr="00034569">
        <w:rPr>
          <w:rStyle w:val="FootnoteReference"/>
          <w:rFonts w:ascii="Verdana" w:hAnsi="Verdana" w:cs="ZurichBT-LightCondensed"/>
        </w:rPr>
        <w:footnoteReference w:id="15"/>
      </w:r>
    </w:p>
    <w:p w14:paraId="7AC0F541" w14:textId="77777777" w:rsidR="000A1D37" w:rsidRPr="000A1D37" w:rsidRDefault="000A1D37" w:rsidP="002B0AE2">
      <w:pPr>
        <w:spacing w:line="276" w:lineRule="auto"/>
        <w:ind w:left="720"/>
        <w:contextualSpacing/>
        <w:rPr>
          <w:rFonts w:ascii="Verdana" w:hAnsi="Verdana" w:cs="Arial"/>
        </w:rPr>
      </w:pPr>
    </w:p>
    <w:p w14:paraId="578DA557" w14:textId="77777777" w:rsidR="000A1D37" w:rsidRPr="000A1D37" w:rsidRDefault="000A1D37" w:rsidP="002B0AE2">
      <w:pPr>
        <w:numPr>
          <w:ilvl w:val="1"/>
          <w:numId w:val="2"/>
        </w:numPr>
        <w:spacing w:line="276" w:lineRule="auto"/>
        <w:contextualSpacing/>
        <w:rPr>
          <w:rFonts w:ascii="Verdana" w:hAnsi="Verdana" w:cs="Arial"/>
          <w:lang w:val="en-US"/>
        </w:rPr>
      </w:pPr>
      <w:r w:rsidRPr="000A1D37">
        <w:rPr>
          <w:rFonts w:ascii="Verdana" w:hAnsi="Verdana" w:cs="Arial"/>
          <w:lang w:val="en-US"/>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700CD5A4" w14:textId="77777777" w:rsidR="000A1D37" w:rsidRPr="000A1D37" w:rsidRDefault="000A1D37" w:rsidP="002B0AE2">
      <w:pPr>
        <w:spacing w:line="276" w:lineRule="auto"/>
        <w:ind w:left="720"/>
        <w:contextualSpacing/>
        <w:rPr>
          <w:rFonts w:ascii="Verdana" w:hAnsi="Verdana" w:cs="Arial"/>
          <w:lang w:val="en-US"/>
        </w:rPr>
      </w:pPr>
    </w:p>
    <w:p w14:paraId="376CE904" w14:textId="77777777" w:rsidR="000A1D37" w:rsidRPr="000A1D37" w:rsidRDefault="000A1D37" w:rsidP="002B0AE2">
      <w:pPr>
        <w:numPr>
          <w:ilvl w:val="0"/>
          <w:numId w:val="4"/>
        </w:numPr>
        <w:spacing w:line="276" w:lineRule="auto"/>
        <w:contextualSpacing/>
        <w:rPr>
          <w:rFonts w:ascii="Verdana" w:hAnsi="Verdana" w:cs="Arial"/>
          <w:lang w:val="en-US"/>
        </w:rPr>
      </w:pPr>
      <w:r w:rsidRPr="000A1D37">
        <w:rPr>
          <w:rFonts w:ascii="Verdana" w:hAnsi="Verdana" w:cs="Arial"/>
          <w:lang w:val="en-US"/>
        </w:rPr>
        <w:t>UN CAT Committee Concluding Observations 2019;</w:t>
      </w:r>
      <w:r w:rsidRPr="000A1D37">
        <w:rPr>
          <w:rFonts w:ascii="Verdana" w:hAnsi="Verdana" w:cs="Arial"/>
          <w:vertAlign w:val="superscript"/>
          <w:lang w:val="en-US"/>
        </w:rPr>
        <w:footnoteReference w:id="16"/>
      </w:r>
    </w:p>
    <w:p w14:paraId="683422C8" w14:textId="77777777" w:rsidR="000A1D37" w:rsidRDefault="000A1D37" w:rsidP="002B0AE2">
      <w:pPr>
        <w:numPr>
          <w:ilvl w:val="0"/>
          <w:numId w:val="4"/>
        </w:numPr>
        <w:spacing w:line="276" w:lineRule="auto"/>
        <w:contextualSpacing/>
        <w:rPr>
          <w:rFonts w:ascii="Verdana" w:hAnsi="Verdana" w:cs="Arial"/>
          <w:lang w:val="en-US"/>
        </w:rPr>
      </w:pPr>
      <w:r w:rsidRPr="000A1D37">
        <w:rPr>
          <w:rFonts w:ascii="Verdana" w:hAnsi="Verdana" w:cs="Arial"/>
          <w:lang w:val="en-US"/>
        </w:rPr>
        <w:t>UN CEDAW Committee Concluding Observations 2019;</w:t>
      </w:r>
      <w:r w:rsidRPr="000A1D37">
        <w:rPr>
          <w:rFonts w:ascii="Verdana" w:hAnsi="Verdana" w:cs="Arial"/>
          <w:vertAlign w:val="superscript"/>
          <w:lang w:val="en-US"/>
        </w:rPr>
        <w:footnoteReference w:id="17"/>
      </w:r>
    </w:p>
    <w:p w14:paraId="332734D0" w14:textId="77777777" w:rsidR="002617B4" w:rsidRPr="00034569" w:rsidRDefault="002617B4" w:rsidP="002B0AE2">
      <w:pPr>
        <w:numPr>
          <w:ilvl w:val="0"/>
          <w:numId w:val="4"/>
        </w:numPr>
        <w:spacing w:line="276" w:lineRule="auto"/>
        <w:contextualSpacing/>
        <w:rPr>
          <w:rFonts w:ascii="Verdana" w:hAnsi="Verdana" w:cs="Arial"/>
          <w:lang w:val="en-US"/>
        </w:rPr>
      </w:pPr>
      <w:r>
        <w:rPr>
          <w:rFonts w:ascii="Verdana" w:hAnsi="Verdana" w:cs="Arial"/>
        </w:rPr>
        <w:t xml:space="preserve">UN CEDAW </w:t>
      </w:r>
      <w:r w:rsidRPr="002617B4">
        <w:rPr>
          <w:rFonts w:ascii="Verdana" w:hAnsi="Verdana" w:cs="Arial"/>
        </w:rPr>
        <w:t>Committee General reco</w:t>
      </w:r>
      <w:r>
        <w:rPr>
          <w:rFonts w:ascii="Verdana" w:hAnsi="Verdana" w:cs="Arial"/>
        </w:rPr>
        <w:t>mmendation No. 35 on Gender-Based Violence against Women;</w:t>
      </w:r>
      <w:r>
        <w:rPr>
          <w:rStyle w:val="FootnoteReference"/>
          <w:rFonts w:ascii="Verdana" w:hAnsi="Verdana" w:cs="Arial"/>
        </w:rPr>
        <w:footnoteReference w:id="18"/>
      </w:r>
    </w:p>
    <w:p w14:paraId="0221E775" w14:textId="77777777" w:rsidR="004A1DFA" w:rsidRDefault="000A1D37" w:rsidP="002B0AE2">
      <w:pPr>
        <w:numPr>
          <w:ilvl w:val="0"/>
          <w:numId w:val="4"/>
        </w:numPr>
        <w:spacing w:line="276" w:lineRule="auto"/>
        <w:contextualSpacing/>
        <w:rPr>
          <w:rFonts w:ascii="Verdana" w:hAnsi="Verdana" w:cs="Arial"/>
          <w:lang w:val="en-US"/>
        </w:rPr>
      </w:pPr>
      <w:r w:rsidRPr="000A1D37">
        <w:rPr>
          <w:rFonts w:ascii="Verdana" w:hAnsi="Verdana" w:cs="Arial"/>
          <w:lang w:val="en-US"/>
        </w:rPr>
        <w:t>UN Declaration on the Elimination of Violence against Women</w:t>
      </w:r>
      <w:r w:rsidR="00034569">
        <w:rPr>
          <w:rFonts w:ascii="Verdana" w:hAnsi="Verdana" w:cs="Arial"/>
          <w:lang w:val="en-US"/>
        </w:rPr>
        <w:t>;</w:t>
      </w:r>
      <w:r w:rsidRPr="000A1D37">
        <w:rPr>
          <w:rFonts w:ascii="Verdana" w:hAnsi="Verdana" w:cs="Arial"/>
          <w:vertAlign w:val="superscript"/>
          <w:lang w:val="en-US"/>
        </w:rPr>
        <w:footnoteReference w:id="19"/>
      </w:r>
    </w:p>
    <w:p w14:paraId="69B92973" w14:textId="77777777" w:rsidR="004A1DFA" w:rsidRDefault="004A1DFA" w:rsidP="002B0AE2">
      <w:pPr>
        <w:numPr>
          <w:ilvl w:val="0"/>
          <w:numId w:val="4"/>
        </w:numPr>
        <w:spacing w:line="276" w:lineRule="auto"/>
        <w:contextualSpacing/>
        <w:rPr>
          <w:rFonts w:ascii="Verdana" w:hAnsi="Verdana" w:cs="Arial"/>
          <w:lang w:val="en-US"/>
        </w:rPr>
      </w:pPr>
      <w:r w:rsidRPr="004A1DFA">
        <w:rPr>
          <w:rFonts w:ascii="Verdana" w:eastAsia="Calibri" w:hAnsi="Verdana" w:cs="Times New Roman"/>
        </w:rPr>
        <w:t>CoE Committee of Ministers Recommendation concerning sexual exploitation, pornography, and prostitution of, and trafficking in, children and young adults;</w:t>
      </w:r>
      <w:r w:rsidRPr="004A1DFA">
        <w:rPr>
          <w:rFonts w:ascii="Verdana" w:eastAsia="Calibri" w:hAnsi="Verdana" w:cs="Times New Roman"/>
          <w:vertAlign w:val="superscript"/>
        </w:rPr>
        <w:footnoteReference w:id="20"/>
      </w:r>
    </w:p>
    <w:p w14:paraId="7F781896" w14:textId="77777777" w:rsidR="004A1DFA" w:rsidRDefault="004A1DFA" w:rsidP="002B0AE2">
      <w:pPr>
        <w:numPr>
          <w:ilvl w:val="0"/>
          <w:numId w:val="4"/>
        </w:numPr>
        <w:spacing w:line="276" w:lineRule="auto"/>
        <w:contextualSpacing/>
        <w:rPr>
          <w:rFonts w:ascii="Verdana" w:hAnsi="Verdana" w:cs="Arial"/>
          <w:lang w:val="en-US"/>
        </w:rPr>
      </w:pPr>
      <w:r w:rsidRPr="004A1DFA">
        <w:rPr>
          <w:rFonts w:ascii="Verdana" w:eastAsia="Calibri" w:hAnsi="Verdana" w:cs="Times New Roman"/>
        </w:rPr>
        <w:t>CoE Parliamentary Assembly resolution on the sexual exploitation of c</w:t>
      </w:r>
      <w:r>
        <w:rPr>
          <w:rFonts w:ascii="Verdana" w:eastAsia="Calibri" w:hAnsi="Verdana" w:cs="Times New Roman"/>
        </w:rPr>
        <w:t>hildren</w:t>
      </w:r>
      <w:r w:rsidRPr="004A1DFA">
        <w:rPr>
          <w:rFonts w:ascii="Verdana" w:eastAsia="Calibri" w:hAnsi="Verdana" w:cs="Times New Roman"/>
        </w:rPr>
        <w:t>;</w:t>
      </w:r>
      <w:r w:rsidRPr="004A1DFA">
        <w:rPr>
          <w:rFonts w:ascii="Verdana" w:eastAsia="Calibri" w:hAnsi="Verdana" w:cs="Times New Roman"/>
          <w:vertAlign w:val="superscript"/>
        </w:rPr>
        <w:footnoteReference w:id="21"/>
      </w:r>
    </w:p>
    <w:p w14:paraId="3D543458" w14:textId="77777777" w:rsidR="004A1DFA" w:rsidRPr="004A1DFA" w:rsidRDefault="004A1DFA" w:rsidP="002B0AE2">
      <w:pPr>
        <w:numPr>
          <w:ilvl w:val="0"/>
          <w:numId w:val="4"/>
        </w:numPr>
        <w:spacing w:line="276" w:lineRule="auto"/>
        <w:contextualSpacing/>
        <w:rPr>
          <w:rFonts w:ascii="Verdana" w:hAnsi="Verdana" w:cs="Arial"/>
          <w:lang w:val="en-US"/>
        </w:rPr>
      </w:pPr>
      <w:r w:rsidRPr="004A1DFA">
        <w:rPr>
          <w:rFonts w:ascii="Verdana" w:eastAsia="Calibri" w:hAnsi="Verdana" w:cs="Times New Roman"/>
        </w:rPr>
        <w:t>CoE Committee of Ministers Recommendation concerning the protection of children against sexual exploitation;</w:t>
      </w:r>
      <w:r w:rsidRPr="004A1DFA">
        <w:rPr>
          <w:rFonts w:ascii="Verdana" w:eastAsia="Calibri" w:hAnsi="Verdana" w:cs="Times New Roman"/>
          <w:vertAlign w:val="superscript"/>
        </w:rPr>
        <w:footnoteReference w:id="22"/>
      </w:r>
    </w:p>
    <w:p w14:paraId="6268E590" w14:textId="77777777" w:rsidR="004A1DFA" w:rsidRDefault="004A1DFA" w:rsidP="002B0AE2">
      <w:pPr>
        <w:numPr>
          <w:ilvl w:val="0"/>
          <w:numId w:val="4"/>
        </w:numPr>
        <w:spacing w:line="276" w:lineRule="auto"/>
        <w:contextualSpacing/>
        <w:rPr>
          <w:rFonts w:ascii="Verdana" w:hAnsi="Verdana" w:cs="Arial"/>
          <w:lang w:val="en-US"/>
        </w:rPr>
      </w:pPr>
      <w:r w:rsidRPr="004A1DFA">
        <w:rPr>
          <w:rFonts w:ascii="Verdana" w:eastAsia="Calibri" w:hAnsi="Verdana" w:cs="Times New Roman"/>
        </w:rPr>
        <w:lastRenderedPageBreak/>
        <w:t>EU Agenda for the Rights of the Child 2011;</w:t>
      </w:r>
      <w:r w:rsidRPr="004A1DFA">
        <w:rPr>
          <w:rFonts w:ascii="Verdana" w:eastAsia="Calibri" w:hAnsi="Verdana" w:cs="Times New Roman"/>
          <w:vertAlign w:val="superscript"/>
        </w:rPr>
        <w:footnoteReference w:id="23"/>
      </w:r>
    </w:p>
    <w:p w14:paraId="6D3BBE18" w14:textId="77777777" w:rsidR="004A1DFA" w:rsidRDefault="004A1DFA" w:rsidP="002B0AE2">
      <w:pPr>
        <w:numPr>
          <w:ilvl w:val="0"/>
          <w:numId w:val="4"/>
        </w:numPr>
        <w:spacing w:line="276" w:lineRule="auto"/>
        <w:contextualSpacing/>
        <w:rPr>
          <w:rFonts w:ascii="Verdana" w:hAnsi="Verdana" w:cs="Arial"/>
          <w:lang w:val="en-US"/>
        </w:rPr>
      </w:pPr>
      <w:r w:rsidRPr="004A1DFA">
        <w:rPr>
          <w:rFonts w:ascii="Verdana" w:eastAsia="Calibri" w:hAnsi="Verdana" w:cs="Times New Roman"/>
        </w:rPr>
        <w:t>Resolution of the European Parliament on the 25th anniversary of the UN Convention on t</w:t>
      </w:r>
      <w:r w:rsidR="003523A7">
        <w:rPr>
          <w:rFonts w:ascii="Verdana" w:eastAsia="Calibri" w:hAnsi="Verdana" w:cs="Times New Roman"/>
        </w:rPr>
        <w:t>he Rights of the Child 2014.</w:t>
      </w:r>
      <w:r w:rsidRPr="004A1DFA">
        <w:rPr>
          <w:rFonts w:ascii="Verdana" w:eastAsia="Calibri" w:hAnsi="Verdana" w:cs="Times New Roman"/>
          <w:vertAlign w:val="superscript"/>
        </w:rPr>
        <w:footnoteReference w:id="24"/>
      </w:r>
    </w:p>
    <w:p w14:paraId="27F8976E" w14:textId="77777777" w:rsidR="004A1DFA" w:rsidRDefault="004A1DFA" w:rsidP="002B0AE2">
      <w:pPr>
        <w:spacing w:line="276" w:lineRule="auto"/>
        <w:contextualSpacing/>
        <w:rPr>
          <w:rFonts w:ascii="Verdana" w:eastAsia="Calibri" w:hAnsi="Verdana" w:cs="Times New Roman"/>
        </w:rPr>
      </w:pPr>
    </w:p>
    <w:p w14:paraId="06D6226B" w14:textId="77777777" w:rsidR="00C1366B" w:rsidRPr="00C1366B" w:rsidRDefault="00C1366B" w:rsidP="002B0AE2">
      <w:pPr>
        <w:pStyle w:val="ListParagraph"/>
        <w:numPr>
          <w:ilvl w:val="0"/>
          <w:numId w:val="5"/>
        </w:numPr>
        <w:spacing w:line="276" w:lineRule="auto"/>
        <w:rPr>
          <w:rFonts w:ascii="Verdana" w:eastAsia="Calibri" w:hAnsi="Verdana" w:cs="Times New Roman"/>
          <w:vanish/>
        </w:rPr>
      </w:pPr>
    </w:p>
    <w:p w14:paraId="5FF312F9" w14:textId="77777777" w:rsidR="00C1366B" w:rsidRPr="00C1366B" w:rsidRDefault="00C1366B" w:rsidP="002B0AE2">
      <w:pPr>
        <w:pStyle w:val="ListParagraph"/>
        <w:numPr>
          <w:ilvl w:val="1"/>
          <w:numId w:val="5"/>
        </w:numPr>
        <w:spacing w:line="276" w:lineRule="auto"/>
        <w:rPr>
          <w:rFonts w:ascii="Verdana" w:eastAsia="Calibri" w:hAnsi="Verdana" w:cs="Times New Roman"/>
          <w:vanish/>
        </w:rPr>
      </w:pPr>
    </w:p>
    <w:p w14:paraId="0B2BCBD4" w14:textId="77777777" w:rsidR="00C1366B" w:rsidRPr="00C1366B" w:rsidRDefault="00C1366B" w:rsidP="002B0AE2">
      <w:pPr>
        <w:pStyle w:val="ListParagraph"/>
        <w:numPr>
          <w:ilvl w:val="1"/>
          <w:numId w:val="5"/>
        </w:numPr>
        <w:spacing w:line="276" w:lineRule="auto"/>
        <w:rPr>
          <w:rFonts w:ascii="Verdana" w:eastAsia="Calibri" w:hAnsi="Verdana" w:cs="Times New Roman"/>
          <w:vanish/>
        </w:rPr>
      </w:pPr>
    </w:p>
    <w:p w14:paraId="2A3730AD" w14:textId="77777777" w:rsidR="00EF35F7" w:rsidRDefault="004A1DFA" w:rsidP="002B0AE2">
      <w:pPr>
        <w:numPr>
          <w:ilvl w:val="1"/>
          <w:numId w:val="5"/>
        </w:numPr>
        <w:spacing w:line="276" w:lineRule="auto"/>
        <w:contextualSpacing/>
        <w:rPr>
          <w:rFonts w:ascii="Verdana" w:eastAsia="Calibri" w:hAnsi="Verdana" w:cs="Times New Roman"/>
        </w:rPr>
      </w:pPr>
      <w:r w:rsidRPr="004A1DFA">
        <w:rPr>
          <w:rFonts w:ascii="Verdana" w:eastAsia="Calibri" w:hAnsi="Verdana" w:cs="Times New Roman"/>
        </w:rPr>
        <w:t xml:space="preserve">The Commission welcomes the </w:t>
      </w:r>
      <w:r>
        <w:rPr>
          <w:rFonts w:ascii="Verdana" w:eastAsia="Calibri" w:hAnsi="Verdana" w:cs="Times New Roman"/>
        </w:rPr>
        <w:t>Committee</w:t>
      </w:r>
      <w:r w:rsidR="000D0B89">
        <w:rPr>
          <w:rFonts w:ascii="Verdana" w:eastAsia="Calibri" w:hAnsi="Verdana" w:cs="Times New Roman"/>
        </w:rPr>
        <w:t>’s request for advice in respect of its</w:t>
      </w:r>
      <w:r>
        <w:rPr>
          <w:rFonts w:ascii="Verdana" w:eastAsia="Calibri" w:hAnsi="Verdana" w:cs="Times New Roman"/>
        </w:rPr>
        <w:t xml:space="preserve"> </w:t>
      </w:r>
      <w:r w:rsidR="00F00049">
        <w:rPr>
          <w:rFonts w:ascii="Verdana" w:eastAsia="Calibri" w:hAnsi="Verdana" w:cs="Times New Roman"/>
        </w:rPr>
        <w:t xml:space="preserve">call for evidence on the Justice (Sexual Offences </w:t>
      </w:r>
      <w:r w:rsidR="00ED1EE3">
        <w:rPr>
          <w:rFonts w:ascii="Verdana" w:eastAsia="Calibri" w:hAnsi="Verdana" w:cs="Times New Roman"/>
        </w:rPr>
        <w:t xml:space="preserve">and Trafficking </w:t>
      </w:r>
      <w:r w:rsidR="00F00049">
        <w:rPr>
          <w:rFonts w:ascii="Verdana" w:eastAsia="Calibri" w:hAnsi="Verdana" w:cs="Times New Roman"/>
        </w:rPr>
        <w:t>Victims) Bill</w:t>
      </w:r>
      <w:r w:rsidRPr="004A1DFA">
        <w:rPr>
          <w:rFonts w:ascii="Verdana" w:eastAsia="Calibri" w:hAnsi="Verdana" w:cs="Times New Roman"/>
        </w:rPr>
        <w:t xml:space="preserve">. </w:t>
      </w:r>
      <w:r w:rsidR="00EF35F7">
        <w:rPr>
          <w:rFonts w:ascii="Verdana" w:eastAsia="Calibri" w:hAnsi="Verdana" w:cs="Times New Roman"/>
        </w:rPr>
        <w:t xml:space="preserve">This submission will </w:t>
      </w:r>
      <w:r w:rsidR="001B2A57">
        <w:rPr>
          <w:rFonts w:ascii="Verdana" w:eastAsia="Calibri" w:hAnsi="Verdana" w:cs="Times New Roman"/>
        </w:rPr>
        <w:t>cover</w:t>
      </w:r>
      <w:r w:rsidR="00EF35F7">
        <w:rPr>
          <w:rFonts w:ascii="Verdana" w:eastAsia="Calibri" w:hAnsi="Verdana" w:cs="Times New Roman"/>
        </w:rPr>
        <w:t xml:space="preserve"> both the contents of the proposed Bill</w:t>
      </w:r>
      <w:r w:rsidR="001B2A57">
        <w:rPr>
          <w:rFonts w:ascii="Verdana" w:eastAsia="Calibri" w:hAnsi="Verdana" w:cs="Times New Roman"/>
        </w:rPr>
        <w:t>, as introduced,</w:t>
      </w:r>
      <w:r w:rsidR="00EF35F7">
        <w:rPr>
          <w:rFonts w:ascii="Verdana" w:eastAsia="Calibri" w:hAnsi="Verdana" w:cs="Times New Roman"/>
        </w:rPr>
        <w:t xml:space="preserve"> and a number of planned amendments on issues such as the abolition of the rough sex defence and provisions to widen the scope of protection around</w:t>
      </w:r>
      <w:r w:rsidR="001B2A57">
        <w:rPr>
          <w:rFonts w:ascii="Verdana" w:eastAsia="Calibri" w:hAnsi="Verdana" w:cs="Times New Roman"/>
        </w:rPr>
        <w:t xml:space="preserve"> the law on</w:t>
      </w:r>
      <w:r w:rsidR="00EF35F7">
        <w:rPr>
          <w:rFonts w:ascii="Verdana" w:eastAsia="Calibri" w:hAnsi="Verdana" w:cs="Times New Roman"/>
        </w:rPr>
        <w:t xml:space="preserve"> abuse of trust. </w:t>
      </w:r>
    </w:p>
    <w:p w14:paraId="22531A37" w14:textId="77777777" w:rsidR="00EF35F7" w:rsidRDefault="00EF35F7" w:rsidP="002B0AE2">
      <w:pPr>
        <w:spacing w:line="276" w:lineRule="auto"/>
        <w:ind w:left="720"/>
        <w:contextualSpacing/>
        <w:rPr>
          <w:rFonts w:ascii="Verdana" w:eastAsia="Calibri" w:hAnsi="Verdana" w:cs="Times New Roman"/>
        </w:rPr>
      </w:pPr>
    </w:p>
    <w:p w14:paraId="692180C0" w14:textId="77777777" w:rsidR="00244518" w:rsidRDefault="004A1DFA" w:rsidP="002B0AE2">
      <w:pPr>
        <w:numPr>
          <w:ilvl w:val="1"/>
          <w:numId w:val="5"/>
        </w:numPr>
        <w:spacing w:line="276" w:lineRule="auto"/>
        <w:contextualSpacing/>
        <w:rPr>
          <w:rFonts w:ascii="Verdana" w:eastAsia="Calibri" w:hAnsi="Verdana" w:cs="Times New Roman"/>
        </w:rPr>
      </w:pPr>
      <w:r w:rsidRPr="004A1DFA">
        <w:rPr>
          <w:rFonts w:ascii="Verdana" w:eastAsia="Calibri" w:hAnsi="Verdana" w:cs="Times New Roman"/>
        </w:rPr>
        <w:t xml:space="preserve">The proposed </w:t>
      </w:r>
      <w:r w:rsidR="00244518">
        <w:rPr>
          <w:rFonts w:ascii="Verdana" w:eastAsia="Calibri" w:hAnsi="Verdana" w:cs="Times New Roman"/>
        </w:rPr>
        <w:t>Bill contains provisions to address some</w:t>
      </w:r>
      <w:r w:rsidRPr="004A1DFA">
        <w:rPr>
          <w:rFonts w:ascii="Verdana" w:eastAsia="Calibri" w:hAnsi="Verdana" w:cs="Times New Roman"/>
        </w:rPr>
        <w:t xml:space="preserve"> legislative gaps previou</w:t>
      </w:r>
      <w:r w:rsidR="00F00049">
        <w:rPr>
          <w:rFonts w:ascii="Verdana" w:eastAsia="Calibri" w:hAnsi="Verdana" w:cs="Times New Roman"/>
        </w:rPr>
        <w:t>sly identified by the Commission</w:t>
      </w:r>
      <w:r w:rsidR="00244518">
        <w:rPr>
          <w:rFonts w:ascii="Verdana" w:eastAsia="Calibri" w:hAnsi="Verdana" w:cs="Times New Roman"/>
        </w:rPr>
        <w:t>. The Commission therefore welcomes provisions within the Bill to introduce legislation for offences of voyeurism, child sexual exploitation and the implementation of certain recommendations contained within the Gillen Review</w:t>
      </w:r>
      <w:r w:rsidR="0039189F">
        <w:rPr>
          <w:rFonts w:ascii="Verdana" w:eastAsia="Calibri" w:hAnsi="Verdana" w:cs="Times New Roman"/>
        </w:rPr>
        <w:t>.</w:t>
      </w:r>
      <w:r w:rsidR="007464EA">
        <w:rPr>
          <w:rFonts w:ascii="Verdana" w:eastAsia="Calibri" w:hAnsi="Verdana" w:cs="Times New Roman"/>
        </w:rPr>
        <w:t xml:space="preserve"> </w:t>
      </w:r>
      <w:r w:rsidR="00244518">
        <w:rPr>
          <w:rFonts w:ascii="Verdana" w:eastAsia="Calibri" w:hAnsi="Verdana" w:cs="Times New Roman"/>
        </w:rPr>
        <w:t>The Commission also welcomes the Department’s proposals for additional amendments to include legislation for the abolition of the rough sex defence, abuse of trust and image based sexual abuse.</w:t>
      </w:r>
      <w:r w:rsidR="00ED1EE3">
        <w:rPr>
          <w:rFonts w:ascii="Verdana" w:eastAsia="Calibri" w:hAnsi="Verdana" w:cs="Times New Roman"/>
        </w:rPr>
        <w:t xml:space="preserve"> The Commission is, however, disappointed that further measures initially proposed for the Justice Bill have not been progressed, including for example issues relating to </w:t>
      </w:r>
      <w:r w:rsidR="001B2A57">
        <w:rPr>
          <w:rFonts w:ascii="Verdana" w:eastAsia="Calibri" w:hAnsi="Verdana" w:cs="Times New Roman"/>
        </w:rPr>
        <w:t xml:space="preserve">the retention of </w:t>
      </w:r>
      <w:r w:rsidR="00ED1EE3">
        <w:rPr>
          <w:rFonts w:ascii="Verdana" w:eastAsia="Calibri" w:hAnsi="Verdana" w:cs="Times New Roman"/>
        </w:rPr>
        <w:t xml:space="preserve">biometric data, </w:t>
      </w:r>
      <w:r w:rsidR="000A4066">
        <w:rPr>
          <w:rFonts w:ascii="Verdana" w:eastAsia="Calibri" w:hAnsi="Verdana" w:cs="Times New Roman"/>
        </w:rPr>
        <w:t xml:space="preserve">reversal of the burden of proof in cases of sexual exploitation involving minors </w:t>
      </w:r>
      <w:r w:rsidR="00ED1EE3">
        <w:rPr>
          <w:rFonts w:ascii="Verdana" w:eastAsia="Calibri" w:hAnsi="Verdana" w:cs="Times New Roman"/>
        </w:rPr>
        <w:t xml:space="preserve">and the minimum age of criminal responsibility. </w:t>
      </w:r>
    </w:p>
    <w:p w14:paraId="45553E9C" w14:textId="77777777" w:rsidR="00244518" w:rsidRDefault="00244518" w:rsidP="002B0AE2">
      <w:pPr>
        <w:spacing w:line="276" w:lineRule="auto"/>
        <w:ind w:left="720"/>
        <w:contextualSpacing/>
        <w:rPr>
          <w:rFonts w:ascii="Verdana" w:eastAsia="Calibri" w:hAnsi="Verdana" w:cs="Times New Roman"/>
        </w:rPr>
      </w:pPr>
    </w:p>
    <w:p w14:paraId="724FBFFC" w14:textId="77777777" w:rsidR="00C53916" w:rsidRDefault="00244518" w:rsidP="002B0AE2">
      <w:pPr>
        <w:numPr>
          <w:ilvl w:val="1"/>
          <w:numId w:val="5"/>
        </w:numPr>
        <w:spacing w:line="276" w:lineRule="auto"/>
        <w:contextualSpacing/>
        <w:rPr>
          <w:rFonts w:ascii="Verdana" w:eastAsia="Calibri" w:hAnsi="Verdana" w:cs="Times New Roman"/>
        </w:rPr>
      </w:pPr>
      <w:r>
        <w:rPr>
          <w:rFonts w:ascii="Verdana" w:eastAsia="Calibri" w:hAnsi="Verdana" w:cs="Times New Roman"/>
        </w:rPr>
        <w:t xml:space="preserve">The Commission’s submission </w:t>
      </w:r>
      <w:r w:rsidR="004A1DFA" w:rsidRPr="004A1DFA">
        <w:rPr>
          <w:rFonts w:ascii="Verdana" w:eastAsia="Calibri" w:hAnsi="Verdana" w:cs="Times New Roman"/>
        </w:rPr>
        <w:t>hi</w:t>
      </w:r>
      <w:r>
        <w:rPr>
          <w:rFonts w:ascii="Verdana" w:eastAsia="Calibri" w:hAnsi="Verdana" w:cs="Times New Roman"/>
        </w:rPr>
        <w:t>ghlights</w:t>
      </w:r>
      <w:r w:rsidR="004A1DFA" w:rsidRPr="004A1DFA">
        <w:rPr>
          <w:rFonts w:ascii="Verdana" w:eastAsia="Calibri" w:hAnsi="Verdana" w:cs="Times New Roman"/>
        </w:rPr>
        <w:t xml:space="preserve"> areas </w:t>
      </w:r>
      <w:r>
        <w:rPr>
          <w:rFonts w:ascii="Verdana" w:eastAsia="Calibri" w:hAnsi="Verdana" w:cs="Times New Roman"/>
        </w:rPr>
        <w:t>wh</w:t>
      </w:r>
      <w:r w:rsidR="00EB5480">
        <w:rPr>
          <w:rFonts w:ascii="Verdana" w:eastAsia="Calibri" w:hAnsi="Verdana" w:cs="Times New Roman"/>
        </w:rPr>
        <w:t xml:space="preserve">ich it recommends </w:t>
      </w:r>
      <w:r>
        <w:rPr>
          <w:rFonts w:ascii="Verdana" w:eastAsia="Calibri" w:hAnsi="Verdana" w:cs="Times New Roman"/>
        </w:rPr>
        <w:t>the Committee should consider</w:t>
      </w:r>
      <w:r w:rsidR="00EB5480">
        <w:rPr>
          <w:rFonts w:ascii="Verdana" w:eastAsia="Calibri" w:hAnsi="Verdana" w:cs="Times New Roman"/>
        </w:rPr>
        <w:t>,</w:t>
      </w:r>
      <w:r>
        <w:rPr>
          <w:rFonts w:ascii="Verdana" w:eastAsia="Calibri" w:hAnsi="Verdana" w:cs="Times New Roman"/>
        </w:rPr>
        <w:t xml:space="preserve"> to ensure </w:t>
      </w:r>
      <w:r w:rsidR="004A1DFA" w:rsidRPr="004A1DFA">
        <w:rPr>
          <w:rFonts w:ascii="Verdana" w:eastAsia="Calibri" w:hAnsi="Verdana" w:cs="Times New Roman"/>
        </w:rPr>
        <w:t>full compliance with human rights standards</w:t>
      </w:r>
      <w:r w:rsidR="00EB5480">
        <w:rPr>
          <w:rFonts w:ascii="Verdana" w:eastAsia="Calibri" w:hAnsi="Verdana" w:cs="Times New Roman"/>
        </w:rPr>
        <w:t>. It also</w:t>
      </w:r>
      <w:r>
        <w:rPr>
          <w:rFonts w:ascii="Verdana" w:eastAsia="Calibri" w:hAnsi="Verdana" w:cs="Times New Roman"/>
        </w:rPr>
        <w:t xml:space="preserve"> highlight</w:t>
      </w:r>
      <w:r w:rsidR="00EB5480">
        <w:rPr>
          <w:rFonts w:ascii="Verdana" w:eastAsia="Calibri" w:hAnsi="Verdana" w:cs="Times New Roman"/>
        </w:rPr>
        <w:t>s</w:t>
      </w:r>
      <w:r>
        <w:rPr>
          <w:rFonts w:ascii="Verdana" w:eastAsia="Calibri" w:hAnsi="Verdana" w:cs="Times New Roman"/>
        </w:rPr>
        <w:t xml:space="preserve"> a number of omissions and </w:t>
      </w:r>
      <w:r w:rsidR="00EB5480">
        <w:rPr>
          <w:rFonts w:ascii="Verdana" w:eastAsia="Calibri" w:hAnsi="Verdana" w:cs="Times New Roman"/>
        </w:rPr>
        <w:t xml:space="preserve">areas for </w:t>
      </w:r>
      <w:r>
        <w:rPr>
          <w:rFonts w:ascii="Verdana" w:eastAsia="Calibri" w:hAnsi="Verdana" w:cs="Times New Roman"/>
        </w:rPr>
        <w:t>further consideration</w:t>
      </w:r>
      <w:r w:rsidR="00EB5480">
        <w:rPr>
          <w:rFonts w:ascii="Verdana" w:eastAsia="Calibri" w:hAnsi="Verdana" w:cs="Times New Roman"/>
        </w:rPr>
        <w:t xml:space="preserve">. </w:t>
      </w:r>
    </w:p>
    <w:p w14:paraId="7885142A" w14:textId="77777777" w:rsidR="00821B4E" w:rsidRDefault="00821B4E" w:rsidP="002B0AE2">
      <w:pPr>
        <w:pStyle w:val="ListParagraph"/>
        <w:spacing w:line="276" w:lineRule="auto"/>
        <w:rPr>
          <w:rFonts w:ascii="Verdana" w:eastAsia="Calibri" w:hAnsi="Verdana" w:cs="Times New Roman"/>
        </w:rPr>
      </w:pPr>
    </w:p>
    <w:p w14:paraId="24638592" w14:textId="77777777" w:rsidR="002B0AE2" w:rsidRDefault="002B0AE2" w:rsidP="002B0AE2">
      <w:pPr>
        <w:pStyle w:val="ListParagraph"/>
        <w:spacing w:line="276" w:lineRule="auto"/>
        <w:rPr>
          <w:rFonts w:ascii="Verdana" w:eastAsia="Calibri" w:hAnsi="Verdana" w:cs="Times New Roman"/>
        </w:rPr>
      </w:pPr>
    </w:p>
    <w:p w14:paraId="190804B0" w14:textId="77777777" w:rsidR="00821B4E" w:rsidRDefault="00821B4E" w:rsidP="002B0AE2">
      <w:pPr>
        <w:pStyle w:val="Heading1"/>
        <w:numPr>
          <w:ilvl w:val="0"/>
          <w:numId w:val="1"/>
        </w:numPr>
        <w:spacing w:before="0" w:line="276" w:lineRule="auto"/>
      </w:pPr>
      <w:bookmarkStart w:id="2" w:name="_Toc83380404"/>
      <w:r>
        <w:t>Human Rights Standards</w:t>
      </w:r>
      <w:bookmarkEnd w:id="2"/>
    </w:p>
    <w:p w14:paraId="63A894D3" w14:textId="77777777" w:rsidR="00821B4E" w:rsidRDefault="00821B4E" w:rsidP="002B0AE2">
      <w:pPr>
        <w:spacing w:line="276" w:lineRule="auto"/>
      </w:pPr>
    </w:p>
    <w:p w14:paraId="55624808" w14:textId="77777777" w:rsidR="00821B4E" w:rsidRPr="00821B4E" w:rsidRDefault="00821B4E" w:rsidP="002B0AE2">
      <w:pPr>
        <w:pStyle w:val="ListParagraph"/>
        <w:numPr>
          <w:ilvl w:val="0"/>
          <w:numId w:val="2"/>
        </w:numPr>
        <w:spacing w:line="276" w:lineRule="auto"/>
        <w:rPr>
          <w:rFonts w:ascii="Verdana" w:hAnsi="Verdana"/>
          <w:vanish/>
        </w:rPr>
      </w:pPr>
    </w:p>
    <w:p w14:paraId="36722B88" w14:textId="77777777" w:rsidR="00821B4E" w:rsidRDefault="00821B4E" w:rsidP="002B0AE2">
      <w:pPr>
        <w:pStyle w:val="ListParagraph"/>
        <w:numPr>
          <w:ilvl w:val="1"/>
          <w:numId w:val="2"/>
        </w:numPr>
        <w:spacing w:line="276" w:lineRule="auto"/>
        <w:rPr>
          <w:rFonts w:ascii="Verdana" w:hAnsi="Verdana"/>
        </w:rPr>
      </w:pPr>
      <w:r w:rsidRPr="00BB1763">
        <w:rPr>
          <w:rFonts w:ascii="Verdana" w:hAnsi="Verdana"/>
        </w:rPr>
        <w:t>International human rights law places a number of specific positive obligations on the</w:t>
      </w:r>
      <w:r w:rsidR="00E7336A">
        <w:rPr>
          <w:rFonts w:ascii="Verdana" w:hAnsi="Verdana"/>
        </w:rPr>
        <w:t xml:space="preserve"> Northern Ireland (</w:t>
      </w:r>
      <w:r w:rsidRPr="00BB1763">
        <w:rPr>
          <w:rFonts w:ascii="Verdana" w:hAnsi="Verdana"/>
        </w:rPr>
        <w:t>NI</w:t>
      </w:r>
      <w:r w:rsidR="00E7336A">
        <w:rPr>
          <w:rFonts w:ascii="Verdana" w:hAnsi="Verdana"/>
        </w:rPr>
        <w:t>)</w:t>
      </w:r>
      <w:r w:rsidRPr="00BB1763">
        <w:rPr>
          <w:rFonts w:ascii="Verdana" w:hAnsi="Verdana"/>
        </w:rPr>
        <w:t xml:space="preserve"> Executive to safeguard the rights of individuals</w:t>
      </w:r>
      <w:r>
        <w:rPr>
          <w:rFonts w:ascii="Verdana" w:hAnsi="Verdana"/>
        </w:rPr>
        <w:t xml:space="preserve"> who have been a victim of </w:t>
      </w:r>
      <w:r w:rsidRPr="00BB1763">
        <w:rPr>
          <w:rFonts w:ascii="Verdana" w:hAnsi="Verdana"/>
        </w:rPr>
        <w:t>serious sexual offences. There is also a positive obligation on the State to ensure that an appropriate legal framework is in place to protect individuals from human rights abuses and violations.</w:t>
      </w:r>
    </w:p>
    <w:p w14:paraId="54FCC4F7" w14:textId="77777777" w:rsidR="00821B4E" w:rsidRDefault="00821B4E" w:rsidP="002B0AE2">
      <w:pPr>
        <w:pStyle w:val="ListParagraph"/>
        <w:spacing w:line="276" w:lineRule="auto"/>
        <w:rPr>
          <w:rFonts w:ascii="Verdana" w:hAnsi="Verdana"/>
        </w:rPr>
      </w:pPr>
    </w:p>
    <w:p w14:paraId="001D194B" w14:textId="20234BD4" w:rsidR="00821B4E" w:rsidRDefault="00821B4E" w:rsidP="002B0AE2">
      <w:pPr>
        <w:pStyle w:val="ListParagraph"/>
        <w:numPr>
          <w:ilvl w:val="1"/>
          <w:numId w:val="2"/>
        </w:numPr>
        <w:spacing w:line="276" w:lineRule="auto"/>
        <w:rPr>
          <w:rFonts w:ascii="Verdana" w:hAnsi="Verdana"/>
        </w:rPr>
      </w:pPr>
      <w:r w:rsidRPr="0070351E">
        <w:rPr>
          <w:rFonts w:ascii="Verdana" w:hAnsi="Verdana"/>
        </w:rPr>
        <w:t>Serious sexual offences engage a number o</w:t>
      </w:r>
      <w:r>
        <w:rPr>
          <w:rFonts w:ascii="Verdana" w:hAnsi="Verdana"/>
        </w:rPr>
        <w:t>f rights under the European Convention of Human Rights</w:t>
      </w:r>
      <w:r w:rsidR="000D0B89">
        <w:rPr>
          <w:rFonts w:ascii="Verdana" w:hAnsi="Verdana"/>
        </w:rPr>
        <w:t xml:space="preserve"> (ECHR)</w:t>
      </w:r>
      <w:r w:rsidR="00B70AAC">
        <w:rPr>
          <w:rFonts w:ascii="Verdana" w:hAnsi="Verdana"/>
        </w:rPr>
        <w:t>:</w:t>
      </w:r>
      <w:r>
        <w:rPr>
          <w:rFonts w:ascii="Verdana" w:hAnsi="Verdana"/>
        </w:rPr>
        <w:t xml:space="preserve"> </w:t>
      </w:r>
      <w:r w:rsidR="0088495B">
        <w:rPr>
          <w:rFonts w:ascii="Verdana" w:hAnsi="Verdana"/>
        </w:rPr>
        <w:t xml:space="preserve">for example, </w:t>
      </w:r>
      <w:r w:rsidRPr="0070351E">
        <w:rPr>
          <w:rFonts w:ascii="Verdana" w:hAnsi="Verdana"/>
        </w:rPr>
        <w:t>Art</w:t>
      </w:r>
      <w:r>
        <w:rPr>
          <w:rFonts w:ascii="Verdana" w:hAnsi="Verdana"/>
        </w:rPr>
        <w:t xml:space="preserve">icle 2 </w:t>
      </w:r>
      <w:r w:rsidR="005E2D87">
        <w:rPr>
          <w:rFonts w:ascii="Verdana" w:hAnsi="Verdana"/>
        </w:rPr>
        <w:t xml:space="preserve">which </w:t>
      </w:r>
      <w:r>
        <w:rPr>
          <w:rFonts w:ascii="Verdana" w:hAnsi="Verdana"/>
        </w:rPr>
        <w:t>protects the right to life</w:t>
      </w:r>
      <w:r w:rsidR="006E7F11">
        <w:rPr>
          <w:rFonts w:ascii="Verdana" w:hAnsi="Verdana"/>
        </w:rPr>
        <w:t>;</w:t>
      </w:r>
      <w:r>
        <w:rPr>
          <w:rFonts w:ascii="Verdana" w:hAnsi="Verdana"/>
        </w:rPr>
        <w:t xml:space="preserve"> Article 3 </w:t>
      </w:r>
      <w:r w:rsidR="005E2D87">
        <w:rPr>
          <w:rFonts w:ascii="Verdana" w:hAnsi="Verdana"/>
        </w:rPr>
        <w:t>which guarantees</w:t>
      </w:r>
      <w:r>
        <w:rPr>
          <w:rFonts w:ascii="Verdana" w:hAnsi="Verdana"/>
        </w:rPr>
        <w:t xml:space="preserve"> freedom from torture, </w:t>
      </w:r>
      <w:r w:rsidR="000D0B89">
        <w:rPr>
          <w:rFonts w:ascii="Verdana" w:hAnsi="Verdana"/>
        </w:rPr>
        <w:t>inhuman and degrading</w:t>
      </w:r>
      <w:r w:rsidR="0088495B">
        <w:rPr>
          <w:rFonts w:ascii="Verdana" w:hAnsi="Verdana"/>
        </w:rPr>
        <w:t xml:space="preserve"> </w:t>
      </w:r>
      <w:r>
        <w:rPr>
          <w:rFonts w:ascii="Verdana" w:hAnsi="Verdana"/>
        </w:rPr>
        <w:t>treatment</w:t>
      </w:r>
      <w:r w:rsidR="0088495B">
        <w:rPr>
          <w:rFonts w:ascii="Verdana" w:hAnsi="Verdana"/>
        </w:rPr>
        <w:t>; and</w:t>
      </w:r>
      <w:r>
        <w:rPr>
          <w:rFonts w:ascii="Verdana" w:hAnsi="Verdana"/>
        </w:rPr>
        <w:t xml:space="preserve"> Article 8 which protects the right to a private and family life</w:t>
      </w:r>
      <w:r w:rsidR="005E2D87">
        <w:rPr>
          <w:rFonts w:ascii="Verdana" w:hAnsi="Verdana"/>
        </w:rPr>
        <w:t xml:space="preserve"> including bodily integrity</w:t>
      </w:r>
      <w:r>
        <w:rPr>
          <w:rFonts w:ascii="Verdana" w:hAnsi="Verdana"/>
        </w:rPr>
        <w:t xml:space="preserve">. </w:t>
      </w:r>
    </w:p>
    <w:p w14:paraId="775FF263" w14:textId="77777777" w:rsidR="00821B4E" w:rsidRDefault="00821B4E" w:rsidP="002B0AE2">
      <w:pPr>
        <w:pStyle w:val="ListParagraph"/>
        <w:spacing w:line="276" w:lineRule="auto"/>
        <w:rPr>
          <w:rFonts w:cs="Arial"/>
        </w:rPr>
      </w:pPr>
    </w:p>
    <w:p w14:paraId="36E2BD3F" w14:textId="77777777" w:rsidR="00821B4E" w:rsidRPr="00821B4E" w:rsidRDefault="00821B4E" w:rsidP="002B0AE2">
      <w:pPr>
        <w:pStyle w:val="ListParagraph"/>
        <w:widowControl w:val="0"/>
        <w:numPr>
          <w:ilvl w:val="0"/>
          <w:numId w:val="9"/>
        </w:numPr>
        <w:autoSpaceDE w:val="0"/>
        <w:autoSpaceDN w:val="0"/>
        <w:adjustRightInd w:val="0"/>
        <w:spacing w:line="276" w:lineRule="auto"/>
        <w:contextualSpacing w:val="0"/>
        <w:rPr>
          <w:rFonts w:ascii="Verdana" w:hAnsi="Verdana" w:cs="Arial"/>
          <w:vanish/>
          <w:color w:val="000000"/>
        </w:rPr>
      </w:pPr>
    </w:p>
    <w:p w14:paraId="3382F6B9" w14:textId="77777777" w:rsidR="00821B4E" w:rsidRPr="00821B4E" w:rsidRDefault="00821B4E" w:rsidP="002B0AE2">
      <w:pPr>
        <w:pStyle w:val="ListParagraph"/>
        <w:widowControl w:val="0"/>
        <w:numPr>
          <w:ilvl w:val="1"/>
          <w:numId w:val="9"/>
        </w:numPr>
        <w:autoSpaceDE w:val="0"/>
        <w:autoSpaceDN w:val="0"/>
        <w:adjustRightInd w:val="0"/>
        <w:spacing w:line="276" w:lineRule="auto"/>
        <w:contextualSpacing w:val="0"/>
        <w:rPr>
          <w:rFonts w:ascii="Verdana" w:hAnsi="Verdana" w:cs="Arial"/>
          <w:vanish/>
          <w:color w:val="000000"/>
        </w:rPr>
      </w:pPr>
    </w:p>
    <w:p w14:paraId="423FF312" w14:textId="77777777" w:rsidR="00821B4E" w:rsidRPr="00821B4E" w:rsidRDefault="00821B4E" w:rsidP="002B0AE2">
      <w:pPr>
        <w:pStyle w:val="ListParagraph"/>
        <w:widowControl w:val="0"/>
        <w:numPr>
          <w:ilvl w:val="1"/>
          <w:numId w:val="9"/>
        </w:numPr>
        <w:autoSpaceDE w:val="0"/>
        <w:autoSpaceDN w:val="0"/>
        <w:adjustRightInd w:val="0"/>
        <w:spacing w:line="276" w:lineRule="auto"/>
        <w:contextualSpacing w:val="0"/>
        <w:rPr>
          <w:rFonts w:ascii="Verdana" w:hAnsi="Verdana" w:cs="Arial"/>
          <w:vanish/>
          <w:color w:val="000000"/>
        </w:rPr>
      </w:pPr>
    </w:p>
    <w:p w14:paraId="2A5CC78B" w14:textId="77777777" w:rsidR="00821B4E" w:rsidRPr="00D11C97" w:rsidRDefault="00821B4E" w:rsidP="002B0AE2">
      <w:pPr>
        <w:pStyle w:val="Default"/>
        <w:numPr>
          <w:ilvl w:val="1"/>
          <w:numId w:val="9"/>
        </w:numPr>
        <w:spacing w:line="276" w:lineRule="auto"/>
        <w:rPr>
          <w:rFonts w:cs="Arial"/>
          <w:color w:val="auto"/>
        </w:rPr>
      </w:pPr>
      <w:r>
        <w:rPr>
          <w:rFonts w:cs="Arial"/>
          <w:lang w:val="en-GB"/>
        </w:rPr>
        <w:t xml:space="preserve">The European Court of Human Rights (ECtHR) has </w:t>
      </w:r>
      <w:r w:rsidRPr="006C4A88">
        <w:rPr>
          <w:rFonts w:cs="Arial"/>
          <w:lang w:val="en-GB"/>
        </w:rPr>
        <w:t xml:space="preserve">held that the State has </w:t>
      </w:r>
      <w:r>
        <w:rPr>
          <w:rFonts w:cs="Arial"/>
          <w:lang w:val="en-GB"/>
        </w:rPr>
        <w:t>a</w:t>
      </w:r>
      <w:r w:rsidRPr="006C4A88">
        <w:rPr>
          <w:rFonts w:cs="Arial"/>
          <w:lang w:val="en-GB"/>
        </w:rPr>
        <w:t xml:space="preserve"> responsibility to protect individuals from violence by third parties. This has been particularly true in cases involving victims of</w:t>
      </w:r>
      <w:r>
        <w:rPr>
          <w:rFonts w:cs="Arial"/>
          <w:lang w:val="en-GB"/>
        </w:rPr>
        <w:t xml:space="preserve"> sexual violence</w:t>
      </w:r>
      <w:r w:rsidRPr="006C4A88">
        <w:rPr>
          <w:rFonts w:cs="Arial"/>
          <w:lang w:val="en-GB"/>
        </w:rPr>
        <w:t xml:space="preserve">. </w:t>
      </w:r>
      <w:r w:rsidRPr="00B84986">
        <w:rPr>
          <w:rFonts w:cs="Arial"/>
          <w:lang w:val="en-GB"/>
        </w:rPr>
        <w:t>The ECtHR</w:t>
      </w:r>
      <w:r>
        <w:rPr>
          <w:rFonts w:cs="Arial"/>
          <w:lang w:val="en-GB"/>
        </w:rPr>
        <w:t xml:space="preserve"> has provided that</w:t>
      </w:r>
      <w:r w:rsidRPr="00B84986">
        <w:rPr>
          <w:rFonts w:cs="Arial"/>
          <w:lang w:val="en-GB"/>
        </w:rPr>
        <w:t xml:space="preserve"> the</w:t>
      </w:r>
      <w:r>
        <w:rPr>
          <w:rFonts w:cs="Arial"/>
          <w:lang w:val="en-GB"/>
        </w:rPr>
        <w:t>re are</w:t>
      </w:r>
      <w:r w:rsidRPr="00B84986">
        <w:rPr>
          <w:rFonts w:cs="Arial"/>
          <w:lang w:val="en-GB"/>
        </w:rPr>
        <w:t xml:space="preserve"> positive obligation</w:t>
      </w:r>
      <w:r>
        <w:rPr>
          <w:rFonts w:cs="Arial"/>
          <w:lang w:val="en-GB"/>
        </w:rPr>
        <w:t>s</w:t>
      </w:r>
      <w:r w:rsidRPr="00B84986">
        <w:rPr>
          <w:rFonts w:cs="Arial"/>
          <w:lang w:val="en-GB"/>
        </w:rPr>
        <w:t xml:space="preserve"> under Article 2 </w:t>
      </w:r>
      <w:r>
        <w:rPr>
          <w:rFonts w:cs="Arial"/>
          <w:lang w:val="en-GB"/>
        </w:rPr>
        <w:t xml:space="preserve">ECHR </w:t>
      </w:r>
      <w:r w:rsidRPr="00B84986">
        <w:rPr>
          <w:rFonts w:cs="Arial"/>
          <w:lang w:val="en-GB"/>
        </w:rPr>
        <w:t>to take appropriate steps to safeguard the lives of those within its jurisdiction to apply in the context of any activity, whether</w:t>
      </w:r>
      <w:r>
        <w:rPr>
          <w:rFonts w:cs="Arial"/>
          <w:lang w:val="en-GB"/>
        </w:rPr>
        <w:t xml:space="preserve"> </w:t>
      </w:r>
      <w:r w:rsidRPr="00B84986">
        <w:rPr>
          <w:rFonts w:cs="Arial"/>
          <w:lang w:val="en-GB"/>
        </w:rPr>
        <w:t>public or not, in which the right to life may be at stake</w:t>
      </w:r>
      <w:r>
        <w:rPr>
          <w:rFonts w:cs="Arial"/>
          <w:lang w:val="en-GB"/>
        </w:rPr>
        <w:t>.</w:t>
      </w:r>
      <w:r>
        <w:rPr>
          <w:rStyle w:val="FootnoteReference"/>
          <w:rFonts w:cs="Arial"/>
          <w:lang w:val="en-GB"/>
        </w:rPr>
        <w:footnoteReference w:id="25"/>
      </w:r>
      <w:r>
        <w:rPr>
          <w:rFonts w:cs="Arial"/>
          <w:lang w:val="en-GB"/>
        </w:rPr>
        <w:t xml:space="preserve"> This requires public authorities to take reasonable steps when they know of or ought to have known of real and immediate threats to life, including by a third party non-State actor.</w:t>
      </w:r>
      <w:r>
        <w:rPr>
          <w:rStyle w:val="FootnoteReference"/>
          <w:rFonts w:cs="Arial"/>
          <w:lang w:val="en-GB"/>
        </w:rPr>
        <w:footnoteReference w:id="26"/>
      </w:r>
      <w:r>
        <w:rPr>
          <w:rFonts w:cs="Arial"/>
          <w:lang w:val="en-GB"/>
        </w:rPr>
        <w:t xml:space="preserve"> </w:t>
      </w:r>
      <w:r>
        <w:rPr>
          <w:rFonts w:cs="Arial"/>
          <w:color w:val="auto"/>
        </w:rPr>
        <w:t xml:space="preserve">Article 3 ECHR is absolute which </w:t>
      </w:r>
      <w:r w:rsidR="00C13646">
        <w:rPr>
          <w:rFonts w:cs="Arial"/>
          <w:color w:val="auto"/>
        </w:rPr>
        <w:t xml:space="preserve">requires </w:t>
      </w:r>
      <w:r>
        <w:rPr>
          <w:rFonts w:cs="Arial"/>
          <w:color w:val="auto"/>
        </w:rPr>
        <w:t xml:space="preserve">that this right </w:t>
      </w:r>
      <w:r w:rsidRPr="003631F6">
        <w:rPr>
          <w:rFonts w:cs="Arial"/>
          <w:color w:val="auto"/>
        </w:rPr>
        <w:t xml:space="preserve">must never be </w:t>
      </w:r>
      <w:r>
        <w:rPr>
          <w:rFonts w:cs="Arial"/>
          <w:color w:val="auto"/>
        </w:rPr>
        <w:t>interfered with</w:t>
      </w:r>
      <w:r w:rsidRPr="003631F6">
        <w:rPr>
          <w:rFonts w:cs="Arial"/>
          <w:color w:val="auto"/>
        </w:rPr>
        <w:t xml:space="preserve"> </w:t>
      </w:r>
      <w:r>
        <w:rPr>
          <w:rFonts w:cs="Arial"/>
          <w:color w:val="auto"/>
        </w:rPr>
        <w:t>under any circumstances.</w:t>
      </w:r>
      <w:r>
        <w:rPr>
          <w:rStyle w:val="FootnoteReference"/>
          <w:rFonts w:cs="Arial"/>
          <w:color w:val="auto"/>
        </w:rPr>
        <w:footnoteReference w:id="27"/>
      </w:r>
    </w:p>
    <w:p w14:paraId="445FD658" w14:textId="77777777" w:rsidR="00821B4E" w:rsidRDefault="00821B4E" w:rsidP="002B0AE2">
      <w:pPr>
        <w:pStyle w:val="ListParagraph"/>
        <w:spacing w:line="276" w:lineRule="auto"/>
        <w:rPr>
          <w:rFonts w:cs="Arial"/>
        </w:rPr>
      </w:pPr>
    </w:p>
    <w:p w14:paraId="2BAEC650" w14:textId="0520CD60" w:rsidR="00821B4E" w:rsidRPr="009F727B" w:rsidRDefault="00821B4E" w:rsidP="002B0AE2">
      <w:pPr>
        <w:pStyle w:val="Default"/>
        <w:numPr>
          <w:ilvl w:val="1"/>
          <w:numId w:val="9"/>
        </w:numPr>
        <w:spacing w:line="276" w:lineRule="auto"/>
        <w:rPr>
          <w:rFonts w:cs="Arial"/>
          <w:lang w:val="en-GB"/>
        </w:rPr>
      </w:pPr>
      <w:r w:rsidRPr="006C4A88">
        <w:rPr>
          <w:rFonts w:cs="Arial"/>
          <w:lang w:val="en-GB"/>
        </w:rPr>
        <w:t xml:space="preserve">While there are often violations of Articles 2 and 3 </w:t>
      </w:r>
      <w:r>
        <w:rPr>
          <w:rFonts w:cs="Arial"/>
          <w:lang w:val="en-GB"/>
        </w:rPr>
        <w:t xml:space="preserve">ECHR </w:t>
      </w:r>
      <w:r w:rsidRPr="006C4A88">
        <w:rPr>
          <w:rFonts w:cs="Arial"/>
          <w:lang w:val="en-GB"/>
        </w:rPr>
        <w:t xml:space="preserve">in such cases, Article 8 </w:t>
      </w:r>
      <w:r>
        <w:rPr>
          <w:rFonts w:cs="Arial"/>
          <w:lang w:val="en-GB"/>
        </w:rPr>
        <w:t xml:space="preserve">ECHR </w:t>
      </w:r>
      <w:r w:rsidRPr="006C4A88">
        <w:rPr>
          <w:rFonts w:cs="Arial"/>
          <w:lang w:val="en-GB"/>
        </w:rPr>
        <w:t xml:space="preserve">is </w:t>
      </w:r>
      <w:r w:rsidR="005E2D87">
        <w:rPr>
          <w:rFonts w:cs="Arial"/>
          <w:lang w:val="en-GB"/>
        </w:rPr>
        <w:t xml:space="preserve">also </w:t>
      </w:r>
      <w:r w:rsidR="000D0B89">
        <w:rPr>
          <w:rFonts w:cs="Arial"/>
          <w:lang w:val="en-GB"/>
        </w:rPr>
        <w:t>engaged</w:t>
      </w:r>
      <w:r w:rsidRPr="006C4A88">
        <w:rPr>
          <w:rFonts w:cs="Arial"/>
          <w:lang w:val="en-GB"/>
        </w:rPr>
        <w:t xml:space="preserve"> because violence threatens </w:t>
      </w:r>
      <w:r>
        <w:rPr>
          <w:rFonts w:cs="Arial"/>
          <w:lang w:val="en-GB"/>
        </w:rPr>
        <w:t xml:space="preserve">the </w:t>
      </w:r>
      <w:r w:rsidRPr="006C4A88">
        <w:rPr>
          <w:rFonts w:cs="Arial"/>
          <w:lang w:val="en-GB"/>
        </w:rPr>
        <w:t xml:space="preserve">bodily integrity </w:t>
      </w:r>
      <w:r>
        <w:rPr>
          <w:rFonts w:cs="Arial"/>
          <w:lang w:val="en-GB"/>
        </w:rPr>
        <w:t>aspect of</w:t>
      </w:r>
      <w:r w:rsidRPr="006C4A88">
        <w:rPr>
          <w:rFonts w:cs="Arial"/>
          <w:lang w:val="en-GB"/>
        </w:rPr>
        <w:t xml:space="preserve"> the right to </w:t>
      </w:r>
      <w:r>
        <w:rPr>
          <w:rFonts w:cs="Arial"/>
          <w:lang w:val="en-GB"/>
        </w:rPr>
        <w:t>respect for</w:t>
      </w:r>
      <w:r w:rsidRPr="006C4A88">
        <w:rPr>
          <w:rFonts w:cs="Arial"/>
          <w:lang w:val="en-GB"/>
        </w:rPr>
        <w:t xml:space="preserve"> private life</w:t>
      </w:r>
      <w:r>
        <w:rPr>
          <w:rFonts w:cs="Arial"/>
          <w:lang w:val="en-GB"/>
        </w:rPr>
        <w:t>.</w:t>
      </w:r>
      <w:r>
        <w:rPr>
          <w:rStyle w:val="FootnoteReference"/>
          <w:rFonts w:cs="Arial"/>
          <w:lang w:val="en-GB"/>
        </w:rPr>
        <w:footnoteReference w:id="28"/>
      </w:r>
      <w:r>
        <w:rPr>
          <w:rFonts w:cs="Arial"/>
          <w:lang w:val="en-GB"/>
        </w:rPr>
        <w:t xml:space="preserve"> U</w:t>
      </w:r>
      <w:r w:rsidRPr="006C4A88">
        <w:rPr>
          <w:rFonts w:cs="Arial"/>
          <w:lang w:val="en-GB"/>
        </w:rPr>
        <w:t xml:space="preserve">nder Article 8 </w:t>
      </w:r>
      <w:r>
        <w:rPr>
          <w:rFonts w:cs="Arial"/>
          <w:lang w:val="en-GB"/>
        </w:rPr>
        <w:t xml:space="preserve">ECHR, </w:t>
      </w:r>
      <w:r w:rsidRPr="006C4A88">
        <w:rPr>
          <w:rFonts w:cs="Arial"/>
          <w:lang w:val="en-GB"/>
        </w:rPr>
        <w:t>States have a duty to protect the physical and moral integrity of an individual from other persons</w:t>
      </w:r>
      <w:r>
        <w:rPr>
          <w:rFonts w:cs="Arial"/>
          <w:lang w:val="en-GB"/>
        </w:rPr>
        <w:t xml:space="preserve">, which requires </w:t>
      </w:r>
      <w:r w:rsidRPr="009F727B">
        <w:rPr>
          <w:rFonts w:cs="Arial"/>
          <w:lang w:val="en-GB"/>
        </w:rPr>
        <w:t>affording protection against acts</w:t>
      </w:r>
      <w:r>
        <w:rPr>
          <w:rFonts w:cs="Arial"/>
          <w:lang w:val="en-GB"/>
        </w:rPr>
        <w:t xml:space="preserve"> </w:t>
      </w:r>
      <w:r w:rsidRPr="009F727B">
        <w:rPr>
          <w:rFonts w:cs="Arial"/>
          <w:lang w:val="en-GB"/>
        </w:rPr>
        <w:t xml:space="preserve">of </w:t>
      </w:r>
      <w:r>
        <w:rPr>
          <w:rFonts w:cs="Arial"/>
          <w:lang w:val="en-GB"/>
        </w:rPr>
        <w:t>violence by private individuals.</w:t>
      </w:r>
      <w:r>
        <w:rPr>
          <w:rStyle w:val="FootnoteReference"/>
          <w:rFonts w:cs="Arial"/>
          <w:lang w:val="en-GB"/>
        </w:rPr>
        <w:footnoteReference w:id="29"/>
      </w:r>
    </w:p>
    <w:p w14:paraId="6AFAA475" w14:textId="77777777" w:rsidR="00821B4E" w:rsidRPr="006C4A88" w:rsidRDefault="00821B4E" w:rsidP="002B0AE2">
      <w:pPr>
        <w:pStyle w:val="Default"/>
        <w:spacing w:line="276" w:lineRule="auto"/>
        <w:rPr>
          <w:rFonts w:cs="Arial"/>
          <w:lang w:val="en-GB"/>
        </w:rPr>
      </w:pPr>
    </w:p>
    <w:p w14:paraId="2C83FB97" w14:textId="77777777" w:rsidR="00821B4E" w:rsidRDefault="00821B4E" w:rsidP="002B0AE2">
      <w:pPr>
        <w:pStyle w:val="Default"/>
        <w:numPr>
          <w:ilvl w:val="1"/>
          <w:numId w:val="9"/>
        </w:numPr>
        <w:spacing w:line="276" w:lineRule="auto"/>
        <w:rPr>
          <w:rFonts w:cs="Arial"/>
          <w:lang w:val="en-GB"/>
        </w:rPr>
      </w:pPr>
      <w:r>
        <w:rPr>
          <w:rFonts w:cs="Arial"/>
          <w:lang w:val="en-GB"/>
        </w:rPr>
        <w:t xml:space="preserve">The ECtHR has provided that safeguarding physical integrity under </w:t>
      </w:r>
      <w:r w:rsidRPr="00CC1A29">
        <w:rPr>
          <w:rFonts w:cs="Arial"/>
          <w:lang w:val="en-GB"/>
        </w:rPr>
        <w:t xml:space="preserve">Article 8 </w:t>
      </w:r>
      <w:r>
        <w:rPr>
          <w:rFonts w:cs="Arial"/>
          <w:lang w:val="en-GB"/>
        </w:rPr>
        <w:t>ECHR requires an effective</w:t>
      </w:r>
      <w:r w:rsidRPr="00CC1A29">
        <w:rPr>
          <w:rFonts w:cs="Arial"/>
          <w:lang w:val="en-GB"/>
        </w:rPr>
        <w:t xml:space="preserve"> criminal investigation</w:t>
      </w:r>
      <w:r>
        <w:rPr>
          <w:rFonts w:cs="Arial"/>
          <w:lang w:val="en-GB"/>
        </w:rPr>
        <w:t>.</w:t>
      </w:r>
      <w:r>
        <w:rPr>
          <w:rStyle w:val="FootnoteReference"/>
          <w:rFonts w:cs="Arial"/>
          <w:lang w:val="en-GB"/>
        </w:rPr>
        <w:footnoteReference w:id="30"/>
      </w:r>
      <w:r>
        <w:rPr>
          <w:rFonts w:cs="Arial"/>
          <w:lang w:val="en-GB"/>
        </w:rPr>
        <w:t xml:space="preserve"> </w:t>
      </w:r>
      <w:r w:rsidRPr="00CC1A29">
        <w:rPr>
          <w:rFonts w:cs="Arial"/>
          <w:lang w:val="en-GB"/>
        </w:rPr>
        <w:t>Compliance with Article 8 ECHR in the sphere of protection against acts of individuals is within the State’s margin of appreciation,</w:t>
      </w:r>
      <w:r>
        <w:rPr>
          <w:rFonts w:cs="Arial"/>
          <w:lang w:val="en-GB"/>
        </w:rPr>
        <w:t xml:space="preserve"> yet</w:t>
      </w:r>
      <w:r w:rsidRPr="00CC1A29">
        <w:rPr>
          <w:rFonts w:cs="Arial"/>
          <w:lang w:val="en-GB"/>
        </w:rPr>
        <w:t xml:space="preserve"> effective deterrence against grave acts, where fundamental values and essential aspects of private life are at stake, requires efficient criminal law provisions.</w:t>
      </w:r>
      <w:r>
        <w:rPr>
          <w:rStyle w:val="FootnoteReference"/>
          <w:rFonts w:cs="Arial"/>
          <w:lang w:val="en-GB"/>
        </w:rPr>
        <w:footnoteReference w:id="31"/>
      </w:r>
      <w:r w:rsidRPr="00CC1A29">
        <w:rPr>
          <w:rFonts w:cs="Arial"/>
          <w:lang w:val="en-GB"/>
        </w:rPr>
        <w:t xml:space="preserve"> </w:t>
      </w:r>
    </w:p>
    <w:p w14:paraId="5E5796A9" w14:textId="77777777" w:rsidR="00821B4E" w:rsidRDefault="00821B4E" w:rsidP="002B0AE2">
      <w:pPr>
        <w:pStyle w:val="ListParagraph"/>
        <w:spacing w:line="276" w:lineRule="auto"/>
        <w:rPr>
          <w:rFonts w:cs="Arial"/>
        </w:rPr>
      </w:pPr>
    </w:p>
    <w:p w14:paraId="613BC42F" w14:textId="77777777" w:rsidR="00821B4E" w:rsidRPr="00CC1A29" w:rsidRDefault="00821B4E" w:rsidP="002B0AE2">
      <w:pPr>
        <w:pStyle w:val="Default"/>
        <w:numPr>
          <w:ilvl w:val="1"/>
          <w:numId w:val="9"/>
        </w:numPr>
        <w:spacing w:line="276" w:lineRule="auto"/>
        <w:rPr>
          <w:rFonts w:cs="Arial"/>
          <w:lang w:val="en-GB"/>
        </w:rPr>
      </w:pPr>
      <w:r>
        <w:rPr>
          <w:rFonts w:cs="Arial"/>
          <w:lang w:val="en-GB"/>
        </w:rPr>
        <w:t xml:space="preserve">In the ECtHR cases </w:t>
      </w:r>
      <w:r w:rsidRPr="00D11C97">
        <w:rPr>
          <w:rFonts w:cs="Arial"/>
          <w:i/>
          <w:lang w:val="en-GB"/>
        </w:rPr>
        <w:t>M.A. v. Slovenia</w:t>
      </w:r>
      <w:r>
        <w:rPr>
          <w:rFonts w:cs="Arial"/>
          <w:lang w:val="en-GB"/>
        </w:rPr>
        <w:t xml:space="preserve"> </w:t>
      </w:r>
      <w:r w:rsidRPr="00D11C97">
        <w:rPr>
          <w:rFonts w:cs="Arial"/>
          <w:lang w:val="en-GB"/>
        </w:rPr>
        <w:t xml:space="preserve">and </w:t>
      </w:r>
      <w:r w:rsidRPr="00D11C97">
        <w:rPr>
          <w:rFonts w:cs="Arial"/>
          <w:i/>
          <w:lang w:val="en-GB"/>
        </w:rPr>
        <w:t>N.D. v. Slovenia</w:t>
      </w:r>
      <w:r w:rsidRPr="00D11C97">
        <w:rPr>
          <w:rFonts w:cs="Arial"/>
          <w:lang w:val="en-GB"/>
        </w:rPr>
        <w:t xml:space="preserve"> </w:t>
      </w:r>
      <w:r>
        <w:rPr>
          <w:rFonts w:cs="Arial"/>
          <w:lang w:val="en-GB"/>
        </w:rPr>
        <w:t>t</w:t>
      </w:r>
      <w:r w:rsidRPr="00D11C97">
        <w:rPr>
          <w:rFonts w:cs="Arial"/>
          <w:lang w:val="en-GB"/>
        </w:rPr>
        <w:t xml:space="preserve">he applicants complained that Slovenia had failed to provide an effective system of prosecution and trial against the men whom they had accused of rape, the related criminal proceedings having lasted some 26 years in the first case </w:t>
      </w:r>
      <w:r w:rsidRPr="00D11C97">
        <w:rPr>
          <w:rFonts w:cs="Arial"/>
          <w:lang w:val="en-GB"/>
        </w:rPr>
        <w:lastRenderedPageBreak/>
        <w:t>and over nine years in the second case. In both cases the Court held that there had been a procedural violation</w:t>
      </w:r>
      <w:r>
        <w:rPr>
          <w:rFonts w:cs="Arial"/>
          <w:lang w:val="en-GB"/>
        </w:rPr>
        <w:t xml:space="preserve"> of Article 3 ECHR in regards to the </w:t>
      </w:r>
      <w:r w:rsidRPr="00D11C97">
        <w:rPr>
          <w:rFonts w:cs="Arial"/>
          <w:lang w:val="en-GB"/>
        </w:rPr>
        <w:t>criminal proceedings regarding the applicants’ rape.</w:t>
      </w:r>
    </w:p>
    <w:p w14:paraId="4CE22367" w14:textId="77777777" w:rsidR="00821B4E" w:rsidRPr="00BB24FC" w:rsidRDefault="00821B4E" w:rsidP="002B0AE2">
      <w:pPr>
        <w:pStyle w:val="Default"/>
        <w:spacing w:line="276" w:lineRule="auto"/>
        <w:rPr>
          <w:rFonts w:cs="Arial"/>
          <w:color w:val="auto"/>
        </w:rPr>
      </w:pPr>
    </w:p>
    <w:p w14:paraId="1A750894" w14:textId="05F372C9" w:rsidR="00821B4E" w:rsidRPr="00E82EEF" w:rsidRDefault="00821B4E" w:rsidP="002B0AE2">
      <w:pPr>
        <w:pStyle w:val="Default"/>
        <w:numPr>
          <w:ilvl w:val="1"/>
          <w:numId w:val="9"/>
        </w:numPr>
        <w:spacing w:line="276" w:lineRule="auto"/>
        <w:rPr>
          <w:rFonts w:cs="Arial"/>
          <w:color w:val="auto"/>
        </w:rPr>
      </w:pPr>
      <w:r>
        <w:rPr>
          <w:rFonts w:cs="Arial"/>
          <w:lang w:val="en-GB"/>
        </w:rPr>
        <w:t>Specific</w:t>
      </w:r>
      <w:r w:rsidR="005E2D87">
        <w:rPr>
          <w:rFonts w:cs="Arial"/>
          <w:lang w:val="en-GB"/>
        </w:rPr>
        <w:t>ally in the case of rape,</w:t>
      </w:r>
      <w:r>
        <w:rPr>
          <w:rFonts w:cs="Arial"/>
          <w:lang w:val="en-GB"/>
        </w:rPr>
        <w:t xml:space="preserve"> the ECtHR has clarified that t</w:t>
      </w:r>
      <w:r w:rsidRPr="00CC1A29">
        <w:rPr>
          <w:rFonts w:cs="Arial"/>
          <w:lang w:val="en-GB"/>
        </w:rPr>
        <w:t xml:space="preserve">he State has a positive obligation </w:t>
      </w:r>
      <w:r>
        <w:rPr>
          <w:rFonts w:cs="Arial"/>
          <w:lang w:val="en-GB"/>
        </w:rPr>
        <w:t>under</w:t>
      </w:r>
      <w:r w:rsidRPr="00CC1A29">
        <w:rPr>
          <w:rFonts w:cs="Arial"/>
          <w:lang w:val="en-GB"/>
        </w:rPr>
        <w:t xml:space="preserve"> </w:t>
      </w:r>
      <w:r w:rsidR="005E2D87">
        <w:rPr>
          <w:rFonts w:cs="Arial"/>
          <w:lang w:val="en-GB"/>
        </w:rPr>
        <w:t xml:space="preserve">both </w:t>
      </w:r>
      <w:r w:rsidRPr="00CC1A29">
        <w:rPr>
          <w:rFonts w:cs="Arial"/>
          <w:lang w:val="en-GB"/>
        </w:rPr>
        <w:t xml:space="preserve">Articles 3 and 8 </w:t>
      </w:r>
      <w:r>
        <w:rPr>
          <w:rFonts w:cs="Arial"/>
          <w:lang w:val="en-GB"/>
        </w:rPr>
        <w:t>ECHR</w:t>
      </w:r>
      <w:r w:rsidRPr="00CC1A29">
        <w:rPr>
          <w:rFonts w:cs="Arial"/>
          <w:lang w:val="en-GB"/>
        </w:rPr>
        <w:t xml:space="preserve"> to enact criminal law provisions effectively punishing rape and to apply them in practice through effective investigation and prosecution.</w:t>
      </w:r>
      <w:r>
        <w:rPr>
          <w:rStyle w:val="FootnoteReference"/>
          <w:rFonts w:cs="Arial"/>
          <w:lang w:val="en-GB"/>
        </w:rPr>
        <w:footnoteReference w:id="32"/>
      </w:r>
      <w:r>
        <w:rPr>
          <w:rFonts w:cs="Arial"/>
          <w:lang w:val="en-GB"/>
        </w:rPr>
        <w:t xml:space="preserve"> </w:t>
      </w:r>
      <w:r>
        <w:rPr>
          <w:rFonts w:cs="Arial"/>
          <w:color w:val="auto"/>
        </w:rPr>
        <w:t xml:space="preserve">For example, in </w:t>
      </w:r>
      <w:r>
        <w:rPr>
          <w:rFonts w:cs="Arial"/>
          <w:i/>
          <w:lang w:val="en-GB"/>
        </w:rPr>
        <w:t>MC v</w:t>
      </w:r>
      <w:r w:rsidRPr="005D5D29">
        <w:rPr>
          <w:rFonts w:cs="Arial"/>
          <w:i/>
          <w:lang w:val="en-GB"/>
        </w:rPr>
        <w:t xml:space="preserve"> Bulgaria</w:t>
      </w:r>
      <w:r w:rsidRPr="00BB24FC">
        <w:rPr>
          <w:rFonts w:cs="Arial"/>
          <w:lang w:val="en-GB"/>
        </w:rPr>
        <w:t xml:space="preserve"> </w:t>
      </w:r>
      <w:r>
        <w:rPr>
          <w:rFonts w:cs="Arial"/>
          <w:lang w:val="en-GB"/>
        </w:rPr>
        <w:t>the applicant, who was a girl</w:t>
      </w:r>
      <w:r w:rsidRPr="00BB24FC">
        <w:rPr>
          <w:rFonts w:cs="Arial"/>
          <w:lang w:val="en-GB"/>
        </w:rPr>
        <w:t xml:space="preserve"> aged 14 (which was the age of consent for sexual intercourse in Bulgaria), </w:t>
      </w:r>
      <w:r>
        <w:rPr>
          <w:rFonts w:cs="Arial"/>
          <w:lang w:val="en-GB"/>
        </w:rPr>
        <w:t>was raped by two men</w:t>
      </w:r>
      <w:r w:rsidRPr="00BB24FC">
        <w:rPr>
          <w:rFonts w:cs="Arial"/>
          <w:lang w:val="en-GB"/>
        </w:rPr>
        <w:t xml:space="preserve">. </w:t>
      </w:r>
      <w:r>
        <w:rPr>
          <w:rFonts w:cs="Arial"/>
          <w:lang w:val="en-GB"/>
        </w:rPr>
        <w:t xml:space="preserve">However, </w:t>
      </w:r>
      <w:r w:rsidRPr="00BB24FC">
        <w:rPr>
          <w:rFonts w:cs="Arial"/>
          <w:lang w:val="en-GB"/>
        </w:rPr>
        <w:t xml:space="preserve">it could not be </w:t>
      </w:r>
      <w:r w:rsidR="00836C4E">
        <w:rPr>
          <w:rFonts w:cs="Arial"/>
          <w:lang w:val="en-GB"/>
        </w:rPr>
        <w:t>proved</w:t>
      </w:r>
      <w:r w:rsidRPr="00BB24FC">
        <w:rPr>
          <w:rFonts w:cs="Arial"/>
          <w:lang w:val="en-GB"/>
        </w:rPr>
        <w:t>that she h</w:t>
      </w:r>
      <w:r>
        <w:rPr>
          <w:rFonts w:cs="Arial"/>
          <w:lang w:val="en-GB"/>
        </w:rPr>
        <w:t xml:space="preserve">ad resisted or called for help and </w:t>
      </w:r>
      <w:r w:rsidRPr="00BB24FC">
        <w:rPr>
          <w:rFonts w:cs="Arial"/>
          <w:lang w:val="en-GB"/>
        </w:rPr>
        <w:t xml:space="preserve">the perpetrators were not prosecuted. </w:t>
      </w:r>
      <w:r>
        <w:rPr>
          <w:rFonts w:cs="Arial"/>
          <w:lang w:val="en-GB"/>
        </w:rPr>
        <w:t xml:space="preserve">The ECtHR considered </w:t>
      </w:r>
      <w:r w:rsidRPr="00B84986">
        <w:rPr>
          <w:rFonts w:cs="Arial"/>
          <w:lang w:val="en-GB"/>
        </w:rPr>
        <w:t xml:space="preserve">that </w:t>
      </w:r>
      <w:r>
        <w:rPr>
          <w:rFonts w:cs="Arial"/>
          <w:lang w:val="en-GB"/>
        </w:rPr>
        <w:t>Bulgaria had not satisfied its positive obligation to effectively investigate, punish and prosecute the rape, finding</w:t>
      </w:r>
      <w:r w:rsidRPr="00B84986">
        <w:rPr>
          <w:rFonts w:cs="Arial"/>
          <w:lang w:val="en-GB"/>
        </w:rPr>
        <w:t xml:space="preserve"> a violation of </w:t>
      </w:r>
      <w:r w:rsidR="00512A36">
        <w:rPr>
          <w:rFonts w:cs="Arial"/>
          <w:lang w:val="en-GB"/>
        </w:rPr>
        <w:t xml:space="preserve">both </w:t>
      </w:r>
      <w:r w:rsidRPr="00B84986">
        <w:rPr>
          <w:rFonts w:cs="Arial"/>
          <w:lang w:val="en-GB"/>
        </w:rPr>
        <w:t xml:space="preserve">Article 3 ECHR and Article 8 ECHR. </w:t>
      </w:r>
      <w:r>
        <w:rPr>
          <w:rFonts w:cs="Arial"/>
          <w:lang w:val="en-GB"/>
        </w:rPr>
        <w:t xml:space="preserve">The ECtHR stated: </w:t>
      </w:r>
    </w:p>
    <w:p w14:paraId="16D6C74C" w14:textId="77777777" w:rsidR="00821B4E" w:rsidRDefault="00821B4E" w:rsidP="002B0AE2">
      <w:pPr>
        <w:pStyle w:val="Quote"/>
        <w:spacing w:before="0" w:after="0" w:line="276" w:lineRule="auto"/>
        <w:ind w:left="0"/>
      </w:pPr>
    </w:p>
    <w:p w14:paraId="48A8648F" w14:textId="77777777" w:rsidR="00821B4E" w:rsidRDefault="00821B4E" w:rsidP="002B0AE2">
      <w:pPr>
        <w:pStyle w:val="Quote"/>
        <w:spacing w:before="0" w:after="0" w:line="276" w:lineRule="auto"/>
        <w:ind w:left="1440"/>
      </w:pPr>
      <w:r w:rsidRPr="007A572B">
        <w:t>that any rigid approach to the prosecution of sexual offences, such as requiring proof of physical resistance in all circumstances, risks leaving certain types of rape unpunished and thus jeopardising the effective protection of the individual's sexual autonomy. In accordance with contemporary standards and trends in that area, the member States' positive obligations under Articles 3 and 8 of the Convention must be seen as requiring the penalisation and effective prosecution of any non-consensual sexual act, including in the absence of physical resistance by the victim.</w:t>
      </w:r>
      <w:r>
        <w:rPr>
          <w:rStyle w:val="FootnoteReference"/>
        </w:rPr>
        <w:footnoteReference w:id="33"/>
      </w:r>
    </w:p>
    <w:p w14:paraId="7F269365" w14:textId="77777777" w:rsidR="00821B4E" w:rsidRPr="00E82EEF" w:rsidRDefault="00821B4E" w:rsidP="002B0AE2">
      <w:pPr>
        <w:spacing w:line="276" w:lineRule="auto"/>
        <w:rPr>
          <w:rFonts w:cs="Arial"/>
        </w:rPr>
      </w:pPr>
    </w:p>
    <w:p w14:paraId="05F1748B" w14:textId="49B5AAFB" w:rsidR="00821B4E" w:rsidRPr="000A4066" w:rsidRDefault="00821B4E" w:rsidP="002B0AE2">
      <w:pPr>
        <w:pStyle w:val="Default"/>
        <w:numPr>
          <w:ilvl w:val="1"/>
          <w:numId w:val="9"/>
        </w:numPr>
        <w:spacing w:line="276" w:lineRule="auto"/>
        <w:rPr>
          <w:rFonts w:cs="Arial"/>
          <w:color w:val="auto"/>
        </w:rPr>
      </w:pPr>
      <w:r>
        <w:rPr>
          <w:rFonts w:cs="Arial"/>
          <w:lang w:val="en-GB"/>
        </w:rPr>
        <w:t xml:space="preserve">The ECtHR </w:t>
      </w:r>
      <w:r w:rsidRPr="00BB24FC">
        <w:rPr>
          <w:rFonts w:cs="Arial"/>
          <w:lang w:val="en-GB"/>
        </w:rPr>
        <w:t>not</w:t>
      </w:r>
      <w:r>
        <w:rPr>
          <w:rFonts w:cs="Arial"/>
          <w:lang w:val="en-GB"/>
        </w:rPr>
        <w:t>ed</w:t>
      </w:r>
      <w:r w:rsidRPr="00BB24FC">
        <w:rPr>
          <w:rFonts w:cs="Arial"/>
          <w:lang w:val="en-GB"/>
        </w:rPr>
        <w:t xml:space="preserve"> in particular </w:t>
      </w:r>
      <w:r w:rsidR="00251705">
        <w:rPr>
          <w:rFonts w:cs="Arial"/>
          <w:lang w:val="en-GB"/>
        </w:rPr>
        <w:t xml:space="preserve">that </w:t>
      </w:r>
      <w:r w:rsidRPr="00BB24FC">
        <w:rPr>
          <w:rFonts w:cs="Arial"/>
          <w:lang w:val="en-GB"/>
        </w:rPr>
        <w:t xml:space="preserve">the universal trend </w:t>
      </w:r>
      <w:r w:rsidR="00251705">
        <w:rPr>
          <w:rFonts w:cs="Arial"/>
          <w:lang w:val="en-GB"/>
        </w:rPr>
        <w:t xml:space="preserve">was </w:t>
      </w:r>
      <w:r w:rsidRPr="00BB24FC">
        <w:rPr>
          <w:rFonts w:cs="Arial"/>
          <w:lang w:val="en-GB"/>
        </w:rPr>
        <w:t xml:space="preserve">towards recognising lack of consent as the essential element in determining rape and sexual abuse. Victims of sexual abuse, especially young girls, often </w:t>
      </w:r>
      <w:r w:rsidR="00251705">
        <w:rPr>
          <w:rFonts w:cs="Arial"/>
          <w:lang w:val="en-GB"/>
        </w:rPr>
        <w:t>don’t</w:t>
      </w:r>
      <w:r w:rsidR="00251705" w:rsidRPr="00BB24FC">
        <w:rPr>
          <w:rFonts w:cs="Arial"/>
          <w:lang w:val="en-GB"/>
        </w:rPr>
        <w:t xml:space="preserve"> </w:t>
      </w:r>
      <w:r w:rsidRPr="00BB24FC">
        <w:rPr>
          <w:rFonts w:cs="Arial"/>
          <w:lang w:val="en-GB"/>
        </w:rPr>
        <w:t xml:space="preserve">resist for psychological reasons (either submitting passively or dissociating themselves from the rape) or for fear of further violence. The </w:t>
      </w:r>
      <w:r>
        <w:rPr>
          <w:rFonts w:cs="Arial"/>
          <w:lang w:val="en-GB"/>
        </w:rPr>
        <w:t>ECtHR</w:t>
      </w:r>
      <w:r w:rsidRPr="00BB24FC">
        <w:rPr>
          <w:rFonts w:cs="Arial"/>
          <w:lang w:val="en-GB"/>
        </w:rPr>
        <w:t xml:space="preserve"> stressed that States had an obligation to prosecute any non-consensual sexual act, even where the victim had not resisted physically.</w:t>
      </w:r>
      <w:r>
        <w:rPr>
          <w:rStyle w:val="FootnoteReference"/>
          <w:rFonts w:cs="Arial"/>
          <w:lang w:val="en-GB"/>
        </w:rPr>
        <w:footnoteReference w:id="34"/>
      </w:r>
    </w:p>
    <w:p w14:paraId="1B10ACE0" w14:textId="77777777" w:rsidR="00291823" w:rsidRPr="000A4066" w:rsidRDefault="00291823" w:rsidP="002B0AE2">
      <w:pPr>
        <w:pStyle w:val="Default"/>
        <w:spacing w:line="276" w:lineRule="auto"/>
        <w:ind w:left="720"/>
        <w:rPr>
          <w:rFonts w:cs="Arial"/>
          <w:color w:val="auto"/>
        </w:rPr>
      </w:pPr>
    </w:p>
    <w:p w14:paraId="69C4BF93" w14:textId="4FD519F8" w:rsidR="00291823" w:rsidRDefault="00291823" w:rsidP="002B0AE2">
      <w:pPr>
        <w:pStyle w:val="Default"/>
        <w:numPr>
          <w:ilvl w:val="1"/>
          <w:numId w:val="9"/>
        </w:numPr>
        <w:spacing w:line="276" w:lineRule="auto"/>
        <w:rPr>
          <w:rFonts w:cs="Arial"/>
          <w:color w:val="auto"/>
        </w:rPr>
      </w:pPr>
      <w:r>
        <w:rPr>
          <w:rFonts w:cs="Arial"/>
          <w:color w:val="auto"/>
        </w:rPr>
        <w:t>Furthermore, i</w:t>
      </w:r>
      <w:r w:rsidRPr="00291823">
        <w:rPr>
          <w:rFonts w:cs="Arial"/>
          <w:color w:val="auto"/>
        </w:rPr>
        <w:t xml:space="preserve">n the recent case of </w:t>
      </w:r>
      <w:r w:rsidRPr="000A4066">
        <w:rPr>
          <w:rFonts w:cs="Arial"/>
          <w:i/>
          <w:color w:val="auto"/>
        </w:rPr>
        <w:t>J.L. v Italy</w:t>
      </w:r>
      <w:r w:rsidR="000A4066">
        <w:rPr>
          <w:rFonts w:cs="Arial"/>
          <w:i/>
          <w:color w:val="auto"/>
        </w:rPr>
        <w:t>,</w:t>
      </w:r>
      <w:r>
        <w:rPr>
          <w:rFonts w:cs="Arial"/>
          <w:color w:val="auto"/>
        </w:rPr>
        <w:t xml:space="preserve"> which </w:t>
      </w:r>
      <w:r w:rsidRPr="00291823">
        <w:rPr>
          <w:rFonts w:cs="Arial"/>
          <w:color w:val="auto"/>
        </w:rPr>
        <w:t xml:space="preserve">concerned criminal proceedings against seven men who had been charged </w:t>
      </w:r>
      <w:r w:rsidR="00251705">
        <w:rPr>
          <w:rFonts w:cs="Arial"/>
          <w:color w:val="auto"/>
        </w:rPr>
        <w:t xml:space="preserve">but </w:t>
      </w:r>
      <w:r>
        <w:rPr>
          <w:rFonts w:cs="Arial"/>
          <w:color w:val="auto"/>
        </w:rPr>
        <w:t xml:space="preserve">acquitted </w:t>
      </w:r>
      <w:r w:rsidR="00251705">
        <w:rPr>
          <w:rFonts w:cs="Arial"/>
          <w:color w:val="auto"/>
        </w:rPr>
        <w:t>of the ‘</w:t>
      </w:r>
      <w:r w:rsidRPr="00291823">
        <w:rPr>
          <w:rFonts w:cs="Arial"/>
          <w:color w:val="auto"/>
        </w:rPr>
        <w:t>gang rape</w:t>
      </w:r>
      <w:r w:rsidR="00251705">
        <w:rPr>
          <w:rFonts w:cs="Arial"/>
          <w:color w:val="auto"/>
        </w:rPr>
        <w:t>’</w:t>
      </w:r>
      <w:r w:rsidRPr="00291823">
        <w:rPr>
          <w:rFonts w:cs="Arial"/>
          <w:color w:val="auto"/>
        </w:rPr>
        <w:t xml:space="preserve"> </w:t>
      </w:r>
      <w:r>
        <w:rPr>
          <w:rFonts w:cs="Arial"/>
          <w:color w:val="auto"/>
        </w:rPr>
        <w:t>of the applicant</w:t>
      </w:r>
      <w:r w:rsidR="000A4066">
        <w:rPr>
          <w:rFonts w:cs="Arial"/>
          <w:color w:val="auto"/>
        </w:rPr>
        <w:t>, t</w:t>
      </w:r>
      <w:r w:rsidR="000A4066" w:rsidRPr="00291823">
        <w:rPr>
          <w:rFonts w:cs="Arial"/>
          <w:color w:val="auto"/>
        </w:rPr>
        <w:t xml:space="preserve">he </w:t>
      </w:r>
      <w:r w:rsidRPr="00291823">
        <w:rPr>
          <w:rFonts w:cs="Arial"/>
          <w:color w:val="auto"/>
        </w:rPr>
        <w:t xml:space="preserve">ECtHR held </w:t>
      </w:r>
      <w:r w:rsidR="00251705">
        <w:rPr>
          <w:rFonts w:cs="Arial"/>
          <w:color w:val="auto"/>
        </w:rPr>
        <w:t xml:space="preserve">that </w:t>
      </w:r>
      <w:r w:rsidRPr="00291823">
        <w:rPr>
          <w:rFonts w:cs="Arial"/>
          <w:color w:val="auto"/>
        </w:rPr>
        <w:t>there had been a violation o</w:t>
      </w:r>
      <w:r>
        <w:rPr>
          <w:rFonts w:cs="Arial"/>
          <w:color w:val="auto"/>
        </w:rPr>
        <w:t xml:space="preserve">f Article 8 </w:t>
      </w:r>
      <w:r w:rsidRPr="00291823">
        <w:rPr>
          <w:rFonts w:cs="Arial"/>
          <w:color w:val="auto"/>
        </w:rPr>
        <w:t>ECHR</w:t>
      </w:r>
      <w:r w:rsidR="00251705">
        <w:rPr>
          <w:rFonts w:cs="Arial"/>
          <w:color w:val="auto"/>
        </w:rPr>
        <w:t>,</w:t>
      </w:r>
      <w:r w:rsidRPr="00291823">
        <w:rPr>
          <w:rFonts w:cs="Arial"/>
          <w:color w:val="auto"/>
        </w:rPr>
        <w:t xml:space="preserve"> </w:t>
      </w:r>
      <w:r>
        <w:rPr>
          <w:rFonts w:cs="Arial"/>
          <w:color w:val="auto"/>
        </w:rPr>
        <w:t xml:space="preserve">as the </w:t>
      </w:r>
      <w:r w:rsidRPr="00291823">
        <w:rPr>
          <w:rFonts w:cs="Arial"/>
          <w:color w:val="auto"/>
        </w:rPr>
        <w:t xml:space="preserve">national authorities had not protected the </w:t>
      </w:r>
      <w:r w:rsidRPr="00291823">
        <w:rPr>
          <w:rFonts w:cs="Arial"/>
          <w:color w:val="auto"/>
        </w:rPr>
        <w:lastRenderedPageBreak/>
        <w:t xml:space="preserve">applicant from secondary victimisation </w:t>
      </w:r>
      <w:r w:rsidR="00251705">
        <w:rPr>
          <w:rFonts w:cs="Arial"/>
          <w:color w:val="auto"/>
        </w:rPr>
        <w:t xml:space="preserve">and had failed to do so </w:t>
      </w:r>
      <w:r w:rsidRPr="00291823">
        <w:rPr>
          <w:rFonts w:cs="Arial"/>
          <w:color w:val="auto"/>
        </w:rPr>
        <w:t>throughout the entire criminal proceedings</w:t>
      </w:r>
      <w:r>
        <w:rPr>
          <w:rFonts w:cs="Arial"/>
          <w:color w:val="auto"/>
        </w:rPr>
        <w:t>. The Court found that:</w:t>
      </w:r>
    </w:p>
    <w:p w14:paraId="3BF65F11" w14:textId="77777777" w:rsidR="00291823" w:rsidRDefault="00291823" w:rsidP="002B0AE2">
      <w:pPr>
        <w:pStyle w:val="ListParagraph"/>
        <w:spacing w:line="276" w:lineRule="auto"/>
        <w:rPr>
          <w:rFonts w:cs="Arial"/>
        </w:rPr>
      </w:pPr>
    </w:p>
    <w:p w14:paraId="75A9E1E5" w14:textId="3D52249F" w:rsidR="00291823" w:rsidRPr="00291823" w:rsidRDefault="00291823" w:rsidP="002B0AE2">
      <w:pPr>
        <w:pStyle w:val="Quote"/>
        <w:spacing w:before="0" w:after="0" w:line="276" w:lineRule="auto"/>
        <w:ind w:left="1418"/>
      </w:pPr>
      <w:r w:rsidRPr="00291823">
        <w:t>the language and arguments used by the court of appeal conveyed prejudices existing in Italian society regarding the role of women and were likely to be an obstacle to providing effective protection for the rights of victims of gender-based violence, in spite of a satisfactory legislative framework.</w:t>
      </w:r>
      <w:r>
        <w:rPr>
          <w:rStyle w:val="FootnoteReference"/>
        </w:rPr>
        <w:footnoteReference w:id="35"/>
      </w:r>
    </w:p>
    <w:p w14:paraId="114BFC6A" w14:textId="77777777" w:rsidR="00821B4E" w:rsidRDefault="00821B4E" w:rsidP="002B0AE2">
      <w:pPr>
        <w:pStyle w:val="ListParagraph"/>
        <w:spacing w:line="276" w:lineRule="auto"/>
        <w:rPr>
          <w:rFonts w:cs="Arial"/>
        </w:rPr>
      </w:pPr>
    </w:p>
    <w:p w14:paraId="2B1F297A" w14:textId="1353C653" w:rsidR="00821B4E" w:rsidRPr="0078533F" w:rsidRDefault="00821B4E" w:rsidP="002B0AE2">
      <w:pPr>
        <w:pStyle w:val="Default"/>
        <w:numPr>
          <w:ilvl w:val="1"/>
          <w:numId w:val="9"/>
        </w:numPr>
        <w:spacing w:line="276" w:lineRule="auto"/>
        <w:rPr>
          <w:rFonts w:cs="Arial"/>
          <w:color w:val="auto"/>
        </w:rPr>
      </w:pPr>
      <w:r w:rsidRPr="0078533F">
        <w:rPr>
          <w:rFonts w:cs="Arial"/>
          <w:color w:val="auto"/>
        </w:rPr>
        <w:t xml:space="preserve">The UN CAT Committee, in its 2019 Concluding Observations on the UK, raised concerns of sexual and gender-based violence and concerns about reports that within the UK, including </w:t>
      </w:r>
      <w:r w:rsidR="00CD0E18">
        <w:rPr>
          <w:rFonts w:cs="Arial"/>
          <w:color w:val="auto"/>
        </w:rPr>
        <w:t>NI</w:t>
      </w:r>
      <w:r w:rsidRPr="0078533F">
        <w:rPr>
          <w:rFonts w:cs="Arial"/>
          <w:color w:val="auto"/>
        </w:rPr>
        <w:t>, there are increasing numbers of domestic abuse crimes and sexual offences, mainly against women, being recorded and yet the prosecution and conviction rates in these cases remain low.</w:t>
      </w:r>
      <w:r>
        <w:rPr>
          <w:rStyle w:val="FootnoteReference"/>
          <w:rFonts w:cs="Arial"/>
          <w:color w:val="auto"/>
        </w:rPr>
        <w:footnoteReference w:id="36"/>
      </w:r>
      <w:r w:rsidRPr="0078533F">
        <w:rPr>
          <w:rFonts w:cs="Arial"/>
          <w:color w:val="auto"/>
        </w:rPr>
        <w:t xml:space="preserve"> The Committee recommended the NI Executive:</w:t>
      </w:r>
    </w:p>
    <w:p w14:paraId="65870549" w14:textId="77777777" w:rsidR="00821B4E" w:rsidRPr="00110E0A" w:rsidRDefault="00821B4E" w:rsidP="002B0AE2">
      <w:pPr>
        <w:pStyle w:val="Default"/>
        <w:spacing w:line="276" w:lineRule="auto"/>
        <w:ind w:left="720"/>
      </w:pPr>
    </w:p>
    <w:p w14:paraId="07E2A4CE" w14:textId="77777777" w:rsidR="00821B4E" w:rsidRDefault="00821B4E" w:rsidP="002173D3">
      <w:pPr>
        <w:pStyle w:val="Quote"/>
        <w:spacing w:before="0" w:after="0" w:line="276" w:lineRule="auto"/>
        <w:ind w:left="1418"/>
        <w:rPr>
          <w:lang w:val="en-US"/>
        </w:rPr>
      </w:pPr>
      <w:r w:rsidRPr="00110E0A">
        <w:rPr>
          <w:lang w:val="en-US"/>
        </w:rPr>
        <w:t xml:space="preserve">take effective measures to address low prosecution and conviction rates for domestic abuse and sexual violence in the State party, and to ensure that all cases of gender-based violence, especially those involving actions or omissions by State authorities or other entities that engage the international responsibility of the State party under the Convention, are thoroughly investigated, that the alleged perpetrators are prosecuted and, if convicted, punished appropriately, and that the victims or their families receive redress, </w:t>
      </w:r>
      <w:r>
        <w:rPr>
          <w:lang w:val="en-US"/>
        </w:rPr>
        <w:t>including adequate compensation.</w:t>
      </w:r>
      <w:r>
        <w:rPr>
          <w:rStyle w:val="FootnoteReference"/>
          <w:lang w:val="en-US"/>
        </w:rPr>
        <w:footnoteReference w:id="37"/>
      </w:r>
    </w:p>
    <w:p w14:paraId="1CD919CD" w14:textId="77777777" w:rsidR="00AB63A0" w:rsidRPr="00AB63A0" w:rsidRDefault="00AB63A0" w:rsidP="00AB63A0">
      <w:pPr>
        <w:rPr>
          <w:lang w:val="en-US"/>
        </w:rPr>
      </w:pPr>
    </w:p>
    <w:p w14:paraId="4FBF9255" w14:textId="74EA888A" w:rsidR="00821B4E" w:rsidRPr="00941B20" w:rsidRDefault="00821B4E" w:rsidP="00527D6C">
      <w:pPr>
        <w:pStyle w:val="ListParagraph"/>
        <w:numPr>
          <w:ilvl w:val="1"/>
          <w:numId w:val="9"/>
        </w:numPr>
        <w:shd w:val="clear" w:color="auto" w:fill="FFFFFF"/>
        <w:spacing w:line="276" w:lineRule="auto"/>
        <w:rPr>
          <w:rFonts w:ascii="Verdana" w:eastAsia="Times New Roman" w:hAnsi="Verdana" w:cs="Arial"/>
          <w:bCs/>
          <w:color w:val="161616"/>
          <w:lang w:eastAsia="en-GB"/>
        </w:rPr>
      </w:pPr>
      <w:r w:rsidRPr="00941B20">
        <w:rPr>
          <w:rFonts w:ascii="Verdana" w:eastAsia="Times New Roman" w:hAnsi="Verdana" w:cs="Arial"/>
          <w:bCs/>
          <w:color w:val="161616"/>
          <w:lang w:eastAsia="en-GB"/>
        </w:rPr>
        <w:t xml:space="preserve">The Council of Europe Convention on </w:t>
      </w:r>
      <w:r w:rsidR="00251705">
        <w:rPr>
          <w:rFonts w:ascii="Verdana" w:eastAsia="Times New Roman" w:hAnsi="Verdana" w:cs="Arial"/>
          <w:bCs/>
          <w:color w:val="161616"/>
          <w:lang w:eastAsia="en-GB"/>
        </w:rPr>
        <w:t>P</w:t>
      </w:r>
      <w:r w:rsidRPr="00941B20">
        <w:rPr>
          <w:rFonts w:ascii="Verdana" w:eastAsia="Times New Roman" w:hAnsi="Verdana" w:cs="Arial"/>
          <w:bCs/>
          <w:color w:val="161616"/>
          <w:lang w:eastAsia="en-GB"/>
        </w:rPr>
        <w:t xml:space="preserve">reventing and </w:t>
      </w:r>
      <w:r w:rsidR="00251705">
        <w:rPr>
          <w:rFonts w:ascii="Verdana" w:eastAsia="Times New Roman" w:hAnsi="Verdana" w:cs="Arial"/>
          <w:bCs/>
          <w:color w:val="161616"/>
          <w:lang w:eastAsia="en-GB"/>
        </w:rPr>
        <w:t>C</w:t>
      </w:r>
      <w:r w:rsidRPr="00941B20">
        <w:rPr>
          <w:rFonts w:ascii="Verdana" w:eastAsia="Times New Roman" w:hAnsi="Verdana" w:cs="Arial"/>
          <w:bCs/>
          <w:color w:val="161616"/>
          <w:lang w:eastAsia="en-GB"/>
        </w:rPr>
        <w:t xml:space="preserve">ombating </w:t>
      </w:r>
      <w:r w:rsidR="00251705">
        <w:rPr>
          <w:rFonts w:ascii="Verdana" w:eastAsia="Times New Roman" w:hAnsi="Verdana" w:cs="Arial"/>
          <w:bCs/>
          <w:color w:val="161616"/>
          <w:lang w:eastAsia="en-GB"/>
        </w:rPr>
        <w:t>V</w:t>
      </w:r>
      <w:r w:rsidRPr="00941B20">
        <w:rPr>
          <w:rFonts w:ascii="Verdana" w:eastAsia="Times New Roman" w:hAnsi="Verdana" w:cs="Arial"/>
          <w:bCs/>
          <w:color w:val="161616"/>
          <w:lang w:eastAsia="en-GB"/>
        </w:rPr>
        <w:t xml:space="preserve">iolence against </w:t>
      </w:r>
      <w:r w:rsidR="00251705">
        <w:rPr>
          <w:rFonts w:ascii="Verdana" w:eastAsia="Times New Roman" w:hAnsi="Verdana" w:cs="Arial"/>
          <w:bCs/>
          <w:color w:val="161616"/>
          <w:lang w:eastAsia="en-GB"/>
        </w:rPr>
        <w:t>W</w:t>
      </w:r>
      <w:r w:rsidRPr="00941B20">
        <w:rPr>
          <w:rFonts w:ascii="Verdana" w:eastAsia="Times New Roman" w:hAnsi="Verdana" w:cs="Arial"/>
          <w:bCs/>
          <w:color w:val="161616"/>
          <w:lang w:eastAsia="en-GB"/>
        </w:rPr>
        <w:t xml:space="preserve">omen and </w:t>
      </w:r>
      <w:r w:rsidR="00251705">
        <w:rPr>
          <w:rFonts w:ascii="Verdana" w:eastAsia="Times New Roman" w:hAnsi="Verdana" w:cs="Arial"/>
          <w:bCs/>
          <w:color w:val="161616"/>
          <w:lang w:eastAsia="en-GB"/>
        </w:rPr>
        <w:t>D</w:t>
      </w:r>
      <w:r w:rsidRPr="00941B20">
        <w:rPr>
          <w:rFonts w:ascii="Verdana" w:eastAsia="Times New Roman" w:hAnsi="Verdana" w:cs="Arial"/>
          <w:bCs/>
          <w:color w:val="161616"/>
          <w:lang w:eastAsia="en-GB"/>
        </w:rPr>
        <w:t xml:space="preserve">omestic </w:t>
      </w:r>
      <w:r w:rsidR="00251705">
        <w:rPr>
          <w:rFonts w:ascii="Verdana" w:eastAsia="Times New Roman" w:hAnsi="Verdana" w:cs="Arial"/>
          <w:bCs/>
          <w:color w:val="161616"/>
          <w:lang w:eastAsia="en-GB"/>
        </w:rPr>
        <w:t>V</w:t>
      </w:r>
      <w:r w:rsidRPr="00941B20">
        <w:rPr>
          <w:rFonts w:ascii="Verdana" w:eastAsia="Times New Roman" w:hAnsi="Verdana" w:cs="Arial"/>
          <w:bCs/>
          <w:color w:val="161616"/>
          <w:lang w:eastAsia="en-GB"/>
        </w:rPr>
        <w:t>iolence (</w:t>
      </w:r>
      <w:r w:rsidR="00251705">
        <w:rPr>
          <w:rFonts w:ascii="Verdana" w:eastAsia="Times New Roman" w:hAnsi="Verdana" w:cs="Arial"/>
          <w:bCs/>
          <w:color w:val="161616"/>
          <w:lang w:eastAsia="en-GB"/>
        </w:rPr>
        <w:t xml:space="preserve">the </w:t>
      </w:r>
      <w:r w:rsidRPr="00941B20">
        <w:rPr>
          <w:rFonts w:ascii="Verdana" w:eastAsia="Times New Roman" w:hAnsi="Verdana" w:cs="Arial"/>
          <w:bCs/>
          <w:color w:val="161616"/>
          <w:lang w:eastAsia="en-GB"/>
        </w:rPr>
        <w:t xml:space="preserve">Istanbul Convention) provides a legal framework at pan-European level to protect women against all forms of violence, and prevent, prosecute and eliminate violence against women and domestic violence. </w:t>
      </w:r>
      <w:r w:rsidR="00941B20" w:rsidRPr="00941B20">
        <w:rPr>
          <w:rFonts w:ascii="Verdana" w:eastAsia="Times New Roman" w:hAnsi="Verdana" w:cs="Arial"/>
          <w:bCs/>
          <w:color w:val="161616"/>
          <w:lang w:eastAsia="en-GB"/>
        </w:rPr>
        <w:t xml:space="preserve">It can also be used as an indicator of best practice </w:t>
      </w:r>
      <w:r w:rsidR="00251705">
        <w:rPr>
          <w:rFonts w:ascii="Verdana" w:eastAsia="Times New Roman" w:hAnsi="Verdana" w:cs="Arial"/>
          <w:bCs/>
          <w:color w:val="161616"/>
          <w:lang w:eastAsia="en-GB"/>
        </w:rPr>
        <w:t>and provide</w:t>
      </w:r>
      <w:r w:rsidR="00941B20" w:rsidRPr="00941B20">
        <w:rPr>
          <w:rFonts w:ascii="Verdana" w:eastAsia="Times New Roman" w:hAnsi="Verdana" w:cs="Arial"/>
          <w:bCs/>
          <w:color w:val="161616"/>
          <w:lang w:eastAsia="en-GB"/>
        </w:rPr>
        <w:t xml:space="preserve"> guidance on how to develop legislation in relation to sexual offences.</w:t>
      </w:r>
      <w:r w:rsidR="00941B20">
        <w:rPr>
          <w:rFonts w:ascii="Verdana" w:eastAsia="Times New Roman" w:hAnsi="Verdana" w:cs="Arial"/>
          <w:bCs/>
          <w:color w:val="161616"/>
          <w:lang w:eastAsia="en-GB"/>
        </w:rPr>
        <w:t xml:space="preserve"> </w:t>
      </w:r>
      <w:r w:rsidR="001850BE" w:rsidRPr="00941B20">
        <w:rPr>
          <w:rFonts w:ascii="Verdana" w:eastAsia="Times New Roman" w:hAnsi="Verdana" w:cs="Arial"/>
          <w:bCs/>
          <w:color w:val="161616"/>
          <w:lang w:eastAsia="en-GB"/>
        </w:rPr>
        <w:t xml:space="preserve">Though signed, the UK has not yet ratified </w:t>
      </w:r>
      <w:r w:rsidR="00251705">
        <w:rPr>
          <w:rFonts w:ascii="Verdana" w:eastAsia="Times New Roman" w:hAnsi="Verdana" w:cs="Arial"/>
          <w:bCs/>
          <w:color w:val="161616"/>
          <w:lang w:eastAsia="en-GB"/>
        </w:rPr>
        <w:t>the Istanbul</w:t>
      </w:r>
      <w:r w:rsidR="00251705" w:rsidRPr="00941B20">
        <w:rPr>
          <w:rFonts w:ascii="Verdana" w:eastAsia="Times New Roman" w:hAnsi="Verdana" w:cs="Arial"/>
          <w:bCs/>
          <w:color w:val="161616"/>
          <w:lang w:eastAsia="en-GB"/>
        </w:rPr>
        <w:t xml:space="preserve"> </w:t>
      </w:r>
      <w:r w:rsidR="00C218EA" w:rsidRPr="00941B20">
        <w:rPr>
          <w:rFonts w:ascii="Verdana" w:eastAsia="Times New Roman" w:hAnsi="Verdana" w:cs="Arial"/>
          <w:bCs/>
          <w:color w:val="161616"/>
          <w:lang w:eastAsia="en-GB"/>
        </w:rPr>
        <w:t>C</w:t>
      </w:r>
      <w:r w:rsidR="008949E6" w:rsidRPr="00941B20">
        <w:rPr>
          <w:rFonts w:ascii="Verdana" w:eastAsia="Times New Roman" w:hAnsi="Verdana" w:cs="Arial"/>
          <w:bCs/>
          <w:color w:val="161616"/>
          <w:lang w:eastAsia="en-GB"/>
        </w:rPr>
        <w:t>onvention</w:t>
      </w:r>
      <w:r w:rsidR="00941B20">
        <w:rPr>
          <w:rFonts w:ascii="Verdana" w:eastAsia="Times New Roman" w:hAnsi="Verdana" w:cs="Arial"/>
          <w:bCs/>
          <w:color w:val="161616"/>
          <w:lang w:eastAsia="en-GB"/>
        </w:rPr>
        <w:t>. However, th</w:t>
      </w:r>
      <w:r w:rsidRPr="00941B20">
        <w:rPr>
          <w:rFonts w:ascii="Verdana" w:eastAsia="Times New Roman" w:hAnsi="Verdana" w:cs="Arial"/>
          <w:bCs/>
          <w:color w:val="161616"/>
          <w:lang w:eastAsia="en-GB"/>
        </w:rPr>
        <w:t>e UK Government has made it c</w:t>
      </w:r>
      <w:r w:rsidR="00941B20">
        <w:rPr>
          <w:rFonts w:ascii="Verdana" w:eastAsia="Times New Roman" w:hAnsi="Verdana" w:cs="Arial"/>
          <w:bCs/>
          <w:color w:val="161616"/>
          <w:lang w:eastAsia="en-GB"/>
        </w:rPr>
        <w:t xml:space="preserve">lear </w:t>
      </w:r>
      <w:r w:rsidRPr="00941B20">
        <w:rPr>
          <w:rFonts w:ascii="Verdana" w:eastAsia="Times New Roman" w:hAnsi="Verdana" w:cs="Arial"/>
          <w:bCs/>
          <w:color w:val="161616"/>
          <w:lang w:eastAsia="en-GB"/>
        </w:rPr>
        <w:t xml:space="preserve">that it intends to ratify the Istanbul Convention and is currently in the process of addressing </w:t>
      </w:r>
      <w:r w:rsidR="00527D6C">
        <w:rPr>
          <w:rFonts w:ascii="Verdana" w:eastAsia="Times New Roman" w:hAnsi="Verdana" w:cs="Arial"/>
          <w:bCs/>
          <w:color w:val="161616"/>
          <w:lang w:eastAsia="en-GB"/>
        </w:rPr>
        <w:t xml:space="preserve">existing areas of non-compliance within its domestic legal </w:t>
      </w:r>
      <w:r w:rsidR="00527D6C">
        <w:rPr>
          <w:rFonts w:ascii="Verdana" w:eastAsia="Times New Roman" w:hAnsi="Verdana" w:cs="Arial"/>
          <w:bCs/>
          <w:color w:val="161616"/>
          <w:lang w:eastAsia="en-GB"/>
        </w:rPr>
        <w:lastRenderedPageBreak/>
        <w:t>frameworks</w:t>
      </w:r>
      <w:r w:rsidR="00941B20">
        <w:rPr>
          <w:rFonts w:ascii="Verdana" w:eastAsia="Times New Roman" w:hAnsi="Verdana" w:cs="Arial"/>
          <w:bCs/>
          <w:color w:val="161616"/>
          <w:lang w:eastAsia="en-GB"/>
        </w:rPr>
        <w:t>.</w:t>
      </w:r>
      <w:r w:rsidR="00527D6C">
        <w:rPr>
          <w:rStyle w:val="FootnoteReference"/>
          <w:rFonts w:ascii="Verdana" w:eastAsia="Times New Roman" w:hAnsi="Verdana" w:cs="Arial"/>
          <w:bCs/>
          <w:color w:val="161616"/>
          <w:lang w:eastAsia="en-GB"/>
        </w:rPr>
        <w:footnoteReference w:id="38"/>
      </w:r>
      <w:r w:rsidR="00941B20">
        <w:rPr>
          <w:rFonts w:ascii="Verdana" w:eastAsia="Times New Roman" w:hAnsi="Verdana" w:cs="Arial"/>
          <w:bCs/>
          <w:color w:val="161616"/>
          <w:lang w:eastAsia="en-GB"/>
        </w:rPr>
        <w:t xml:space="preserve"> Therefore, the Commission would highlight </w:t>
      </w:r>
      <w:r w:rsidR="00527D6C">
        <w:rPr>
          <w:rFonts w:ascii="Verdana" w:eastAsia="Times New Roman" w:hAnsi="Verdana" w:cs="Arial"/>
          <w:bCs/>
          <w:color w:val="161616"/>
          <w:lang w:eastAsia="en-GB"/>
        </w:rPr>
        <w:t>that the</w:t>
      </w:r>
      <w:r w:rsidR="00941B20">
        <w:rPr>
          <w:rFonts w:ascii="Verdana" w:eastAsia="Times New Roman" w:hAnsi="Verdana" w:cs="Arial"/>
          <w:bCs/>
          <w:color w:val="161616"/>
          <w:lang w:eastAsia="en-GB"/>
        </w:rPr>
        <w:t xml:space="preserve"> Department must be cognisant </w:t>
      </w:r>
      <w:r w:rsidR="00527D6C">
        <w:rPr>
          <w:rFonts w:ascii="Verdana" w:eastAsia="Times New Roman" w:hAnsi="Verdana" w:cs="Arial"/>
          <w:bCs/>
          <w:color w:val="161616"/>
          <w:lang w:eastAsia="en-GB"/>
        </w:rPr>
        <w:t xml:space="preserve">of the </w:t>
      </w:r>
      <w:r w:rsidR="00251705">
        <w:rPr>
          <w:rFonts w:ascii="Verdana" w:eastAsia="Times New Roman" w:hAnsi="Verdana" w:cs="Arial"/>
          <w:bCs/>
          <w:color w:val="161616"/>
          <w:lang w:eastAsia="en-GB"/>
        </w:rPr>
        <w:t xml:space="preserve">Istanbul </w:t>
      </w:r>
      <w:r w:rsidR="00527D6C">
        <w:rPr>
          <w:rFonts w:ascii="Verdana" w:eastAsia="Times New Roman" w:hAnsi="Verdana" w:cs="Arial"/>
          <w:bCs/>
          <w:color w:val="161616"/>
          <w:lang w:eastAsia="en-GB"/>
        </w:rPr>
        <w:t xml:space="preserve">Convention when bringing forward </w:t>
      </w:r>
      <w:r w:rsidR="00941B20">
        <w:rPr>
          <w:rFonts w:ascii="Verdana" w:eastAsia="Times New Roman" w:hAnsi="Verdana" w:cs="Arial"/>
          <w:bCs/>
          <w:color w:val="161616"/>
          <w:lang w:eastAsia="en-GB"/>
        </w:rPr>
        <w:t>any new relevant legislation</w:t>
      </w:r>
      <w:r w:rsidRPr="00941B20">
        <w:rPr>
          <w:rFonts w:ascii="Verdana" w:eastAsia="Times New Roman" w:hAnsi="Verdana" w:cs="Arial"/>
          <w:bCs/>
          <w:color w:val="161616"/>
          <w:lang w:eastAsia="en-GB"/>
        </w:rPr>
        <w:t>.</w:t>
      </w:r>
    </w:p>
    <w:p w14:paraId="035D9DF3" w14:textId="77777777" w:rsidR="00821B4E" w:rsidRPr="00110E0A" w:rsidRDefault="00821B4E" w:rsidP="002B0AE2">
      <w:pPr>
        <w:pStyle w:val="ListParagraph"/>
        <w:shd w:val="clear" w:color="auto" w:fill="FFFFFF"/>
        <w:spacing w:line="276" w:lineRule="auto"/>
        <w:rPr>
          <w:rFonts w:ascii="Verdana" w:eastAsia="Times New Roman" w:hAnsi="Verdana" w:cs="Arial"/>
          <w:bCs/>
          <w:color w:val="161616"/>
          <w:lang w:eastAsia="en-GB"/>
        </w:rPr>
      </w:pPr>
    </w:p>
    <w:p w14:paraId="3981294D" w14:textId="7A33D205" w:rsidR="00821B4E" w:rsidRDefault="00941B20" w:rsidP="002B0AE2">
      <w:pPr>
        <w:pStyle w:val="ListParagraph"/>
        <w:numPr>
          <w:ilvl w:val="1"/>
          <w:numId w:val="9"/>
        </w:numPr>
        <w:shd w:val="clear" w:color="auto" w:fill="FFFFFF"/>
        <w:spacing w:line="276" w:lineRule="auto"/>
        <w:rPr>
          <w:rFonts w:ascii="Verdana" w:eastAsia="Times New Roman" w:hAnsi="Verdana" w:cs="Arial"/>
          <w:color w:val="161616"/>
          <w:lang w:eastAsia="en-GB"/>
        </w:rPr>
      </w:pPr>
      <w:r>
        <w:rPr>
          <w:rFonts w:ascii="Verdana" w:eastAsia="Times New Roman" w:hAnsi="Verdana" w:cs="Arial"/>
          <w:bCs/>
          <w:color w:val="161616"/>
          <w:lang w:eastAsia="en-GB"/>
        </w:rPr>
        <w:t xml:space="preserve">Relevant to the proposed Bill, </w:t>
      </w:r>
      <w:r w:rsidR="00821B4E" w:rsidRPr="00110E0A">
        <w:rPr>
          <w:rFonts w:ascii="Verdana" w:eastAsia="Times New Roman" w:hAnsi="Verdana" w:cs="Arial"/>
          <w:bCs/>
          <w:color w:val="161616"/>
          <w:lang w:eastAsia="en-GB"/>
        </w:rPr>
        <w:t>Articles 35 and 36 of the Istanbul Convention</w:t>
      </w:r>
      <w:r>
        <w:rPr>
          <w:rFonts w:ascii="Verdana" w:eastAsia="Times New Roman" w:hAnsi="Verdana" w:cs="Arial"/>
          <w:bCs/>
          <w:color w:val="161616"/>
          <w:lang w:eastAsia="en-GB"/>
        </w:rPr>
        <w:t xml:space="preserve"> </w:t>
      </w:r>
      <w:r w:rsidR="00821B4E" w:rsidRPr="00110E0A">
        <w:rPr>
          <w:rFonts w:ascii="Verdana" w:eastAsia="Times New Roman" w:hAnsi="Verdana" w:cs="Arial"/>
          <w:bCs/>
          <w:color w:val="161616"/>
          <w:lang w:eastAsia="en-GB"/>
        </w:rPr>
        <w:t>ensure protection against physical violence and sexual violence</w:t>
      </w:r>
      <w:r w:rsidR="00937944">
        <w:rPr>
          <w:rFonts w:ascii="Verdana" w:eastAsia="Times New Roman" w:hAnsi="Verdana" w:cs="Arial"/>
          <w:bCs/>
          <w:color w:val="161616"/>
          <w:lang w:eastAsia="en-GB"/>
        </w:rPr>
        <w:t>,</w:t>
      </w:r>
      <w:r w:rsidR="00821B4E" w:rsidRPr="00110E0A">
        <w:rPr>
          <w:rFonts w:ascii="Verdana" w:eastAsia="Times New Roman" w:hAnsi="Verdana" w:cs="Arial"/>
          <w:bCs/>
          <w:color w:val="161616"/>
          <w:lang w:eastAsia="en-GB"/>
        </w:rPr>
        <w:t xml:space="preserve"> including rape. </w:t>
      </w:r>
      <w:r w:rsidR="00821B4E" w:rsidRPr="00110E0A">
        <w:rPr>
          <w:rFonts w:ascii="Verdana" w:eastAsia="Times New Roman" w:hAnsi="Verdana" w:cs="Arial"/>
          <w:color w:val="161616"/>
          <w:lang w:eastAsia="en-GB"/>
        </w:rPr>
        <w:t>It provides that the state shall take the necessary legislative or other measures to ensure that the intentional conduct of committing acts of physical violence against another person is criminalised. Consent must be given voluntarily as the result of the person’s free will assessed in the context of the surrounding circumstances.</w:t>
      </w:r>
    </w:p>
    <w:p w14:paraId="2B1A4764" w14:textId="77777777" w:rsidR="0051014E" w:rsidRDefault="0051014E" w:rsidP="002B0AE2">
      <w:pPr>
        <w:pStyle w:val="ListParagraph"/>
        <w:shd w:val="clear" w:color="auto" w:fill="FFFFFF"/>
        <w:spacing w:line="276" w:lineRule="auto"/>
        <w:rPr>
          <w:rFonts w:ascii="Verdana" w:eastAsia="Times New Roman" w:hAnsi="Verdana" w:cs="Arial"/>
          <w:color w:val="161616"/>
          <w:lang w:eastAsia="en-GB"/>
        </w:rPr>
      </w:pPr>
    </w:p>
    <w:p w14:paraId="2A3187B1" w14:textId="77777777" w:rsidR="00821B4E" w:rsidRPr="007B2223" w:rsidRDefault="00527D6C" w:rsidP="005B7372">
      <w:pPr>
        <w:pStyle w:val="ListParagraph"/>
        <w:numPr>
          <w:ilvl w:val="1"/>
          <w:numId w:val="9"/>
        </w:numPr>
        <w:spacing w:line="276" w:lineRule="auto"/>
        <w:rPr>
          <w:rFonts w:ascii="Verdana" w:hAnsi="Verdana"/>
        </w:rPr>
      </w:pPr>
      <w:r w:rsidRPr="007B2223">
        <w:rPr>
          <w:rFonts w:ascii="Verdana" w:hAnsi="Verdana"/>
        </w:rPr>
        <w:t>Furthermore, A</w:t>
      </w:r>
      <w:r w:rsidR="00821B4E" w:rsidRPr="007B2223">
        <w:rPr>
          <w:rFonts w:ascii="Verdana" w:hAnsi="Verdana"/>
        </w:rPr>
        <w:t>rticle 49 of the Istanbul Convention provides that the State should take the necessary legislative or other measures, in conformity with the fundamental principles of human rights and having regard to the gendered understanding of violence, to ensure the effective investigation and prosecution of offences established in accordance with this Convention.</w:t>
      </w:r>
      <w:r w:rsidR="007B2223" w:rsidRPr="007B2223">
        <w:rPr>
          <w:rFonts w:ascii="Verdana" w:hAnsi="Verdana"/>
        </w:rPr>
        <w:t xml:space="preserve"> </w:t>
      </w:r>
      <w:r w:rsidR="007B2223">
        <w:rPr>
          <w:rFonts w:ascii="Verdana" w:hAnsi="Verdana"/>
        </w:rPr>
        <w:t>Article 54 of the Convention considers i</w:t>
      </w:r>
      <w:r w:rsidR="007B2223" w:rsidRPr="007B2223">
        <w:rPr>
          <w:rFonts w:ascii="Verdana" w:hAnsi="Verdana"/>
        </w:rPr>
        <w:t xml:space="preserve">nvestigations and evidence </w:t>
      </w:r>
      <w:r w:rsidR="007B2223">
        <w:rPr>
          <w:rFonts w:ascii="Verdana" w:hAnsi="Verdana"/>
        </w:rPr>
        <w:t>and requires that state to</w:t>
      </w:r>
      <w:r w:rsidR="007B2223" w:rsidRPr="007B2223">
        <w:rPr>
          <w:rFonts w:ascii="Verdana" w:hAnsi="Verdana"/>
        </w:rPr>
        <w:t xml:space="preserve"> take the necessary legislative or other measures to ensure that, in any civil or criminal proceedings, evidence relating to the sexual history and conduct of the victim shall be permitted only when it is relevant and necessary.</w:t>
      </w:r>
    </w:p>
    <w:p w14:paraId="492F6C43" w14:textId="77777777" w:rsidR="00AB3268" w:rsidRPr="00AB3268" w:rsidRDefault="00AB3268" w:rsidP="002B0AE2">
      <w:pPr>
        <w:pStyle w:val="ListParagraph"/>
        <w:spacing w:line="276" w:lineRule="auto"/>
        <w:rPr>
          <w:rFonts w:ascii="Verdana" w:hAnsi="Verdana"/>
          <w:b/>
        </w:rPr>
      </w:pPr>
    </w:p>
    <w:p w14:paraId="3B5933D0" w14:textId="77777777" w:rsidR="00821B4E" w:rsidRDefault="00821B4E" w:rsidP="002B0AE2">
      <w:pPr>
        <w:pStyle w:val="ListParagraph"/>
        <w:numPr>
          <w:ilvl w:val="1"/>
          <w:numId w:val="9"/>
        </w:numPr>
        <w:spacing w:line="276" w:lineRule="auto"/>
        <w:rPr>
          <w:rFonts w:ascii="Verdana" w:hAnsi="Verdana"/>
          <w:b/>
        </w:rPr>
      </w:pPr>
      <w:r w:rsidRPr="001B676F">
        <w:rPr>
          <w:rFonts w:ascii="Verdana" w:hAnsi="Verdana"/>
          <w:b/>
        </w:rPr>
        <w:t xml:space="preserve">The NIHRC recommends that the </w:t>
      </w:r>
      <w:r w:rsidR="00AB3268">
        <w:rPr>
          <w:rFonts w:ascii="Verdana" w:hAnsi="Verdana"/>
          <w:b/>
        </w:rPr>
        <w:t xml:space="preserve">Committee ensure the </w:t>
      </w:r>
      <w:r w:rsidRPr="001B676F">
        <w:rPr>
          <w:rFonts w:ascii="Verdana" w:hAnsi="Verdana"/>
          <w:b/>
        </w:rPr>
        <w:t>propose</w:t>
      </w:r>
      <w:r>
        <w:rPr>
          <w:rFonts w:ascii="Verdana" w:hAnsi="Verdana"/>
          <w:b/>
        </w:rPr>
        <w:t xml:space="preserve">d legislation </w:t>
      </w:r>
      <w:r w:rsidR="00AB3268">
        <w:rPr>
          <w:rFonts w:ascii="Verdana" w:hAnsi="Verdana"/>
          <w:b/>
        </w:rPr>
        <w:t xml:space="preserve">complies </w:t>
      </w:r>
      <w:r>
        <w:rPr>
          <w:rFonts w:ascii="Verdana" w:hAnsi="Verdana"/>
          <w:b/>
        </w:rPr>
        <w:t xml:space="preserve">with human rights standards including recognition of </w:t>
      </w:r>
      <w:r w:rsidRPr="001B676F">
        <w:rPr>
          <w:rFonts w:ascii="Verdana" w:hAnsi="Verdana"/>
          <w:b/>
        </w:rPr>
        <w:t xml:space="preserve">gender-based violence, using the UN CEDAW, UN CAT and Istanbul Convention as a </w:t>
      </w:r>
      <w:r w:rsidR="00A715E8">
        <w:rPr>
          <w:rFonts w:ascii="Verdana" w:hAnsi="Verdana"/>
          <w:b/>
        </w:rPr>
        <w:t>framework</w:t>
      </w:r>
      <w:r w:rsidRPr="001B676F">
        <w:rPr>
          <w:rFonts w:ascii="Verdana" w:hAnsi="Verdana"/>
          <w:b/>
        </w:rPr>
        <w:t>.</w:t>
      </w:r>
    </w:p>
    <w:p w14:paraId="6825747F" w14:textId="77777777" w:rsidR="00821B4E" w:rsidRDefault="00821B4E" w:rsidP="002B0AE2">
      <w:pPr>
        <w:spacing w:line="276" w:lineRule="auto"/>
        <w:rPr>
          <w:rFonts w:ascii="Verdana" w:hAnsi="Verdana"/>
          <w:b/>
        </w:rPr>
      </w:pPr>
    </w:p>
    <w:p w14:paraId="7FF32657" w14:textId="77777777" w:rsidR="00821B4E" w:rsidRPr="00821B4E" w:rsidRDefault="00821B4E" w:rsidP="002B0AE2">
      <w:pPr>
        <w:pStyle w:val="Heading2"/>
        <w:spacing w:before="0" w:line="276" w:lineRule="auto"/>
      </w:pPr>
      <w:bookmarkStart w:id="3" w:name="_Toc83380405"/>
      <w:r w:rsidRPr="00821B4E">
        <w:t>The Ireland/Northern Ireland Protocol</w:t>
      </w:r>
      <w:bookmarkEnd w:id="3"/>
    </w:p>
    <w:p w14:paraId="2E12E1A0" w14:textId="77777777" w:rsidR="00821B4E" w:rsidRPr="00821B4E" w:rsidRDefault="00821B4E" w:rsidP="002B0AE2">
      <w:pPr>
        <w:pStyle w:val="ListParagraph"/>
        <w:spacing w:line="276" w:lineRule="auto"/>
        <w:rPr>
          <w:rFonts w:ascii="Verdana" w:hAnsi="Verdana"/>
          <w:b/>
        </w:rPr>
      </w:pPr>
    </w:p>
    <w:p w14:paraId="25668115" w14:textId="77777777" w:rsidR="00821B4E" w:rsidRPr="000A4066" w:rsidRDefault="00821B4E" w:rsidP="002B0AE2">
      <w:pPr>
        <w:pStyle w:val="ListParagraph"/>
        <w:numPr>
          <w:ilvl w:val="1"/>
          <w:numId w:val="9"/>
        </w:numPr>
        <w:spacing w:line="276" w:lineRule="auto"/>
        <w:rPr>
          <w:rFonts w:ascii="Verdana" w:hAnsi="Verdana"/>
          <w:b/>
        </w:rPr>
      </w:pPr>
      <w:r w:rsidRPr="000A4066">
        <w:rPr>
          <w:rFonts w:ascii="Verdana" w:hAnsi="Verdana" w:cs="Arial"/>
        </w:rPr>
        <w:t xml:space="preserve">Article 2 of the Ireland/Northern Ireland Protocol (the Protocol) requires the UK government to ensure no diminution of rights, safeguards and equality of opportunity, as set out in the Belfast (Good Friday) Agreement 1998, results from the UK’s withdrawal from the EU. </w:t>
      </w:r>
      <w:r w:rsidR="00EF35F7" w:rsidRPr="000A4066">
        <w:rPr>
          <w:rFonts w:ascii="Verdana" w:hAnsi="Verdana" w:cs="Arial"/>
        </w:rPr>
        <w:t xml:space="preserve"> It further</w:t>
      </w:r>
      <w:r w:rsidRPr="000A4066">
        <w:rPr>
          <w:rFonts w:ascii="Verdana" w:hAnsi="Verdana" w:cs="Arial"/>
        </w:rPr>
        <w:t xml:space="preserve"> commits the UK government to keep pace with certain provisions of EU law concerning non-discrimination</w:t>
      </w:r>
      <w:r w:rsidR="00EF35F7" w:rsidRPr="000A4066">
        <w:rPr>
          <w:rFonts w:ascii="Verdana" w:hAnsi="Verdana" w:cs="Arial"/>
        </w:rPr>
        <w:t>, as</w:t>
      </w:r>
      <w:r w:rsidRPr="000A4066">
        <w:rPr>
          <w:rFonts w:ascii="Verdana" w:hAnsi="Verdana" w:cs="Arial"/>
        </w:rPr>
        <w:t xml:space="preserve"> listed in Annex 1 of the Protocol. </w:t>
      </w:r>
      <w:r w:rsidR="00A715E8" w:rsidRPr="000A4066">
        <w:rPr>
          <w:rFonts w:ascii="Verdana" w:hAnsi="Verdana" w:cs="Arial"/>
        </w:rPr>
        <w:t xml:space="preserve">This means that </w:t>
      </w:r>
      <w:r w:rsidRPr="000A4066">
        <w:rPr>
          <w:rFonts w:ascii="Verdana" w:hAnsi="Verdana" w:cs="Arial"/>
        </w:rPr>
        <w:t xml:space="preserve">should the EU decide to amend or replace the substantive rights in the Annex 1 Directives to improve the minimum level of </w:t>
      </w:r>
      <w:r w:rsidRPr="000A4066">
        <w:rPr>
          <w:rFonts w:ascii="Verdana" w:hAnsi="Verdana" w:cs="Arial"/>
        </w:rPr>
        <w:lastRenderedPageBreak/>
        <w:t xml:space="preserve">protections, </w:t>
      </w:r>
      <w:r w:rsidR="00A715E8" w:rsidRPr="000A4066">
        <w:rPr>
          <w:rFonts w:ascii="Verdana" w:hAnsi="Verdana" w:cs="Arial"/>
        </w:rPr>
        <w:t xml:space="preserve">those </w:t>
      </w:r>
      <w:r w:rsidRPr="000A4066">
        <w:rPr>
          <w:rFonts w:ascii="Verdana" w:hAnsi="Verdana" w:cs="Arial"/>
        </w:rPr>
        <w:t xml:space="preserve">protections in </w:t>
      </w:r>
      <w:r w:rsidR="00512A36" w:rsidRPr="000A4066">
        <w:rPr>
          <w:rFonts w:ascii="Verdana" w:hAnsi="Verdana" w:cs="Arial"/>
        </w:rPr>
        <w:t>NI</w:t>
      </w:r>
      <w:r w:rsidRPr="000A4066">
        <w:rPr>
          <w:rFonts w:ascii="Verdana" w:hAnsi="Verdana" w:cs="Arial"/>
        </w:rPr>
        <w:t xml:space="preserve"> will also be enhanced to reflect these improvements.</w:t>
      </w:r>
      <w:r w:rsidRPr="00821B4E">
        <w:rPr>
          <w:rStyle w:val="FootnoteReference"/>
          <w:rFonts w:ascii="Verdana" w:hAnsi="Verdana" w:cs="Arial"/>
        </w:rPr>
        <w:footnoteReference w:id="39"/>
      </w:r>
    </w:p>
    <w:p w14:paraId="6872C0D1" w14:textId="77777777" w:rsidR="00821B4E" w:rsidRPr="00821B4E" w:rsidRDefault="00821B4E" w:rsidP="002B0AE2">
      <w:pPr>
        <w:pStyle w:val="ListParagraph"/>
        <w:spacing w:line="276" w:lineRule="auto"/>
        <w:rPr>
          <w:rFonts w:ascii="Verdana" w:hAnsi="Verdana"/>
          <w:b/>
        </w:rPr>
      </w:pPr>
    </w:p>
    <w:p w14:paraId="155C08FD" w14:textId="77777777" w:rsidR="00821B4E" w:rsidRPr="001B2A57" w:rsidRDefault="00821B4E" w:rsidP="002B0AE2">
      <w:pPr>
        <w:pStyle w:val="ListParagraph"/>
        <w:numPr>
          <w:ilvl w:val="1"/>
          <w:numId w:val="9"/>
        </w:numPr>
        <w:spacing w:line="276" w:lineRule="auto"/>
        <w:rPr>
          <w:rFonts w:ascii="Verdana" w:hAnsi="Verdana"/>
          <w:b/>
        </w:rPr>
      </w:pPr>
      <w:r w:rsidRPr="001B2A57">
        <w:rPr>
          <w:rFonts w:ascii="Verdana" w:hAnsi="Verdana"/>
        </w:rPr>
        <w:t xml:space="preserve">There are additional EU laws and subsequent jurisprudence that are relevant to the Rights, Safeguards and Equality of Opportunity chapter of the Belfast Agreement, which is given effect in </w:t>
      </w:r>
      <w:r w:rsidR="00EF35F7" w:rsidRPr="001B2A57">
        <w:rPr>
          <w:rFonts w:ascii="Verdana" w:hAnsi="Verdana"/>
        </w:rPr>
        <w:t>NI</w:t>
      </w:r>
      <w:r w:rsidRPr="001B2A57">
        <w:rPr>
          <w:rFonts w:ascii="Verdana" w:hAnsi="Verdana"/>
        </w:rPr>
        <w:t xml:space="preserve"> through retained EU law or domestic provisions. While the UK Government has said that it does not envisage any rollback of these provisions post-Brexit, it acknowledges that these fall within scope of the Government’s no-diminution commitment under article 2.</w:t>
      </w:r>
      <w:r w:rsidRPr="001B2A57">
        <w:rPr>
          <w:rStyle w:val="FootnoteReference"/>
          <w:rFonts w:ascii="Verdana" w:hAnsi="Verdana"/>
        </w:rPr>
        <w:footnoteReference w:id="40"/>
      </w:r>
      <w:r w:rsidRPr="001B2A57">
        <w:rPr>
          <w:rFonts w:ascii="Verdana" w:hAnsi="Verdana"/>
        </w:rPr>
        <w:t xml:space="preserve"> Therefore, any future provision which falls below the standard of protections within the relevant EU laws and jurisprudence as they were on 31 December 2020, would breach article 2 of the Protocol. </w:t>
      </w:r>
    </w:p>
    <w:p w14:paraId="06D19D71" w14:textId="77777777" w:rsidR="00821B4E" w:rsidRPr="00821B4E" w:rsidRDefault="00821B4E" w:rsidP="002B0AE2">
      <w:pPr>
        <w:pStyle w:val="ListParagraph"/>
        <w:spacing w:line="276" w:lineRule="auto"/>
        <w:rPr>
          <w:rFonts w:ascii="Verdana" w:hAnsi="Verdana"/>
          <w:b/>
        </w:rPr>
      </w:pPr>
    </w:p>
    <w:p w14:paraId="3291AF20" w14:textId="77777777" w:rsidR="00821B4E" w:rsidRPr="00821B4E" w:rsidRDefault="00821B4E" w:rsidP="002B0AE2">
      <w:pPr>
        <w:pStyle w:val="ListParagraph"/>
        <w:numPr>
          <w:ilvl w:val="1"/>
          <w:numId w:val="9"/>
        </w:numPr>
        <w:spacing w:line="276" w:lineRule="auto"/>
        <w:rPr>
          <w:rFonts w:ascii="Verdana" w:hAnsi="Verdana"/>
          <w:b/>
        </w:rPr>
      </w:pPr>
      <w:r w:rsidRPr="00821B4E">
        <w:rPr>
          <w:rFonts w:ascii="Verdana" w:hAnsi="Verdana"/>
        </w:rPr>
        <w:t>Directive 2012/29/EU of the European Parliament and Council establishing minimum standards on the rights, support and protection of victims of crime, known as the Victims’ Directi</w:t>
      </w:r>
      <w:r w:rsidR="006C37FC">
        <w:rPr>
          <w:rFonts w:ascii="Verdana" w:hAnsi="Verdana"/>
        </w:rPr>
        <w:t>ve, falls within scope of A</w:t>
      </w:r>
      <w:r w:rsidRPr="00821B4E">
        <w:rPr>
          <w:rFonts w:ascii="Verdana" w:hAnsi="Verdana"/>
        </w:rPr>
        <w:t>rticle 2</w:t>
      </w:r>
      <w:r w:rsidR="00E21E78" w:rsidRPr="00E21E78">
        <w:rPr>
          <w:rFonts w:ascii="Verdana" w:hAnsi="Verdana"/>
        </w:rPr>
        <w:t xml:space="preserve"> </w:t>
      </w:r>
      <w:r w:rsidR="00E21E78">
        <w:rPr>
          <w:rFonts w:ascii="Verdana" w:hAnsi="Verdana"/>
        </w:rPr>
        <w:t>in relation to the no-diminution commitment</w:t>
      </w:r>
      <w:r w:rsidRPr="00821B4E">
        <w:rPr>
          <w:rFonts w:ascii="Verdana" w:hAnsi="Verdana"/>
        </w:rPr>
        <w:t>.</w:t>
      </w:r>
      <w:r w:rsidRPr="00821B4E">
        <w:rPr>
          <w:rStyle w:val="FootnoteReference"/>
          <w:rFonts w:ascii="Verdana" w:hAnsi="Verdana"/>
        </w:rPr>
        <w:footnoteReference w:id="41"/>
      </w:r>
      <w:r w:rsidRPr="00821B4E">
        <w:rPr>
          <w:rFonts w:ascii="Verdana" w:hAnsi="Verdana"/>
        </w:rPr>
        <w:t xml:space="preserve"> The Victims’ Directive reinforces existing national measures with minimum standards on the rights, support and protection of victims of crime in all EU countries. The Directive establishes the right for victims, including child victims, to have their case heard in court, review a decision by the state not to prosecute, have their expenses reimbursed, access legal aid and recover stolen property.</w:t>
      </w:r>
      <w:r w:rsidRPr="00821B4E">
        <w:rPr>
          <w:rStyle w:val="FootnoteReference"/>
          <w:rFonts w:ascii="Verdana" w:hAnsi="Verdana"/>
        </w:rPr>
        <w:footnoteReference w:id="42"/>
      </w:r>
      <w:r w:rsidRPr="00821B4E">
        <w:rPr>
          <w:rFonts w:ascii="Verdana" w:hAnsi="Verdana"/>
        </w:rPr>
        <w:t xml:space="preserve"> The Directive also requires that national authorities minimise the difficulties faced when a victim is a resident of an EU country which differs from where the offence was committed.</w:t>
      </w:r>
      <w:r w:rsidRPr="00821B4E">
        <w:rPr>
          <w:rStyle w:val="FootnoteReference"/>
          <w:rFonts w:ascii="Verdana" w:hAnsi="Verdana"/>
        </w:rPr>
        <w:footnoteReference w:id="43"/>
      </w:r>
      <w:r w:rsidRPr="00821B4E">
        <w:rPr>
          <w:rFonts w:ascii="Verdana" w:hAnsi="Verdana"/>
        </w:rPr>
        <w:t xml:space="preserve"> </w:t>
      </w:r>
    </w:p>
    <w:p w14:paraId="19F82583" w14:textId="77777777" w:rsidR="00821B4E" w:rsidRPr="00821B4E" w:rsidRDefault="00821B4E" w:rsidP="002B0AE2">
      <w:pPr>
        <w:pStyle w:val="ListParagraph"/>
        <w:spacing w:line="276" w:lineRule="auto"/>
        <w:rPr>
          <w:rFonts w:ascii="Verdana" w:hAnsi="Verdana"/>
          <w:b/>
        </w:rPr>
      </w:pPr>
    </w:p>
    <w:p w14:paraId="5FC3BF9F" w14:textId="77777777" w:rsidR="00821B4E" w:rsidRPr="00AE5CA2" w:rsidRDefault="00821B4E" w:rsidP="00607881">
      <w:pPr>
        <w:pStyle w:val="ListParagraph"/>
        <w:numPr>
          <w:ilvl w:val="1"/>
          <w:numId w:val="9"/>
        </w:numPr>
        <w:spacing w:line="276" w:lineRule="auto"/>
        <w:rPr>
          <w:rFonts w:ascii="Verdana" w:hAnsi="Verdana"/>
          <w:b/>
        </w:rPr>
      </w:pPr>
      <w:r w:rsidRPr="00AE5CA2">
        <w:rPr>
          <w:rFonts w:ascii="Verdana" w:hAnsi="Verdana"/>
        </w:rPr>
        <w:t xml:space="preserve">The Victims’ Directive refers to additional </w:t>
      </w:r>
      <w:r w:rsidR="00EF35F7" w:rsidRPr="00AE5CA2">
        <w:rPr>
          <w:rFonts w:ascii="Verdana" w:hAnsi="Verdana"/>
        </w:rPr>
        <w:t xml:space="preserve">provisions </w:t>
      </w:r>
      <w:r w:rsidRPr="00AE5CA2">
        <w:rPr>
          <w:rFonts w:ascii="Verdana" w:hAnsi="Verdana"/>
        </w:rPr>
        <w:t xml:space="preserve">of EU law </w:t>
      </w:r>
      <w:r w:rsidR="00EF35F7" w:rsidRPr="00AE5CA2">
        <w:rPr>
          <w:rFonts w:ascii="Verdana" w:hAnsi="Verdana"/>
        </w:rPr>
        <w:t>such as</w:t>
      </w:r>
      <w:r w:rsidRPr="00AE5CA2">
        <w:rPr>
          <w:rFonts w:ascii="Verdana" w:hAnsi="Verdana"/>
        </w:rPr>
        <w:t xml:space="preserve"> Directive 2011/36/EU on preventing and combatting trafficking in human beings and protecting its victims and Directive 2011/93/EU on combatting the sexual abuse and sexual exploitation of children and child pornography.</w:t>
      </w:r>
      <w:r w:rsidRPr="00821B4E">
        <w:rPr>
          <w:rStyle w:val="FootnoteReference"/>
          <w:rFonts w:ascii="Verdana" w:hAnsi="Verdana"/>
        </w:rPr>
        <w:footnoteReference w:id="44"/>
      </w:r>
      <w:r w:rsidR="00410D8B" w:rsidRPr="00AE5CA2">
        <w:rPr>
          <w:rFonts w:ascii="Verdana" w:hAnsi="Verdana"/>
        </w:rPr>
        <w:t xml:space="preserve"> The Trafficking Directive lays down the minimum common rules for determining human trafficking offences and punishing offenders, </w:t>
      </w:r>
      <w:r w:rsidR="00410D8B" w:rsidRPr="00AE5CA2">
        <w:rPr>
          <w:rFonts w:ascii="Verdana" w:hAnsi="Verdana"/>
        </w:rPr>
        <w:lastRenderedPageBreak/>
        <w:t>while providing for measures to better prevent human trafficking and strengthen protection for victims.</w:t>
      </w:r>
      <w:r w:rsidR="00410D8B">
        <w:rPr>
          <w:rStyle w:val="FootnoteReference"/>
          <w:rFonts w:ascii="Verdana" w:hAnsi="Verdana"/>
        </w:rPr>
        <w:footnoteReference w:id="45"/>
      </w:r>
      <w:r w:rsidR="003E64AF" w:rsidRPr="00AE5CA2">
        <w:rPr>
          <w:rFonts w:ascii="Verdana" w:hAnsi="Verdana"/>
        </w:rPr>
        <w:t xml:space="preserve"> The Child Sexual Exploitation Directive aims to improve the protection of children for sexual abuse and exploitation by obliging EU countries to adopt prevention measure, protect child victims and investigate and prosecute offenders.</w:t>
      </w:r>
      <w:r w:rsidR="003E64AF">
        <w:rPr>
          <w:rStyle w:val="FootnoteReference"/>
          <w:rFonts w:ascii="Verdana" w:hAnsi="Verdana"/>
        </w:rPr>
        <w:footnoteReference w:id="46"/>
      </w:r>
      <w:r w:rsidR="00AE5CA2" w:rsidRPr="00AE5CA2">
        <w:rPr>
          <w:rFonts w:ascii="Verdana" w:hAnsi="Verdana"/>
        </w:rPr>
        <w:t xml:space="preserve"> The Victims Directive will be interpreted in light of these additional </w:t>
      </w:r>
      <w:r w:rsidR="00AE5CA2">
        <w:rPr>
          <w:rFonts w:ascii="Verdana" w:hAnsi="Verdana"/>
        </w:rPr>
        <w:t>Directives, therefore they should be considered as part of the framework that the Bill must comply with.</w:t>
      </w:r>
    </w:p>
    <w:p w14:paraId="739B16F8" w14:textId="77777777" w:rsidR="00AE5CA2" w:rsidRPr="00AE5CA2" w:rsidRDefault="00AE5CA2" w:rsidP="00AE5CA2">
      <w:pPr>
        <w:spacing w:line="276" w:lineRule="auto"/>
        <w:rPr>
          <w:rFonts w:ascii="Verdana" w:hAnsi="Verdana"/>
          <w:b/>
        </w:rPr>
      </w:pPr>
    </w:p>
    <w:p w14:paraId="1FCD0AA0" w14:textId="77777777" w:rsidR="00821B4E" w:rsidRPr="00821B4E" w:rsidRDefault="00821B4E" w:rsidP="002B0AE2">
      <w:pPr>
        <w:pStyle w:val="ListParagraph"/>
        <w:numPr>
          <w:ilvl w:val="1"/>
          <w:numId w:val="9"/>
        </w:numPr>
        <w:spacing w:line="276" w:lineRule="auto"/>
        <w:rPr>
          <w:rFonts w:ascii="Verdana" w:hAnsi="Verdana"/>
          <w:b/>
        </w:rPr>
      </w:pPr>
      <w:r w:rsidRPr="00821B4E">
        <w:rPr>
          <w:rFonts w:ascii="Verdana" w:hAnsi="Verdana"/>
        </w:rPr>
        <w:t>While currently no breach of the no-diminution re</w:t>
      </w:r>
      <w:r w:rsidR="006C37FC">
        <w:rPr>
          <w:rFonts w:ascii="Verdana" w:hAnsi="Verdana"/>
        </w:rPr>
        <w:t>quirement under A</w:t>
      </w:r>
      <w:r w:rsidRPr="00821B4E">
        <w:rPr>
          <w:rFonts w:ascii="Verdana" w:hAnsi="Verdana"/>
        </w:rPr>
        <w:t xml:space="preserve">rticle 2 of the </w:t>
      </w:r>
      <w:r w:rsidR="00EF35F7">
        <w:rPr>
          <w:rFonts w:ascii="Verdana" w:hAnsi="Verdana"/>
        </w:rPr>
        <w:t>P</w:t>
      </w:r>
      <w:r w:rsidRPr="00821B4E">
        <w:rPr>
          <w:rFonts w:ascii="Verdana" w:hAnsi="Verdana"/>
        </w:rPr>
        <w:t>rotocol has been identified, close attention should be paid to the relevant Directives and related CJEU jurisprudence throughout the development and implementation of this legislation.</w:t>
      </w:r>
    </w:p>
    <w:p w14:paraId="181D7092" w14:textId="77777777" w:rsidR="00821B4E" w:rsidRPr="00821B4E" w:rsidRDefault="00821B4E" w:rsidP="002B0AE2">
      <w:pPr>
        <w:pStyle w:val="ListParagraph"/>
        <w:spacing w:line="276" w:lineRule="auto"/>
        <w:rPr>
          <w:rFonts w:ascii="Verdana" w:hAnsi="Verdana"/>
          <w:b/>
        </w:rPr>
      </w:pPr>
    </w:p>
    <w:p w14:paraId="3C745FB7" w14:textId="77777777" w:rsidR="00821B4E" w:rsidRPr="00821B4E" w:rsidRDefault="00821B4E" w:rsidP="002B0AE2">
      <w:pPr>
        <w:pStyle w:val="ListParagraph"/>
        <w:numPr>
          <w:ilvl w:val="1"/>
          <w:numId w:val="9"/>
        </w:numPr>
        <w:spacing w:line="276" w:lineRule="auto"/>
        <w:rPr>
          <w:rFonts w:ascii="Verdana" w:hAnsi="Verdana"/>
          <w:b/>
        </w:rPr>
      </w:pPr>
      <w:r w:rsidRPr="00821B4E">
        <w:rPr>
          <w:rFonts w:ascii="Verdana" w:hAnsi="Verdana"/>
          <w:b/>
        </w:rPr>
        <w:t>The NIHRC recommend</w:t>
      </w:r>
      <w:r w:rsidR="00F50428">
        <w:rPr>
          <w:rFonts w:ascii="Verdana" w:hAnsi="Verdana"/>
          <w:b/>
        </w:rPr>
        <w:t>s</w:t>
      </w:r>
      <w:r w:rsidRPr="00821B4E">
        <w:rPr>
          <w:rFonts w:ascii="Verdana" w:hAnsi="Verdana"/>
          <w:b/>
        </w:rPr>
        <w:t xml:space="preserve"> that the Committee for Justice asks the Department to continue to monitor relevant EU Directives and relating CJEU jurisprudence to ensure there is no diminution of victims</w:t>
      </w:r>
      <w:r w:rsidR="0051014E">
        <w:rPr>
          <w:rFonts w:ascii="Verdana" w:hAnsi="Verdana"/>
          <w:b/>
        </w:rPr>
        <w:t>’</w:t>
      </w:r>
      <w:r w:rsidR="006C37FC">
        <w:rPr>
          <w:rFonts w:ascii="Verdana" w:hAnsi="Verdana"/>
          <w:b/>
        </w:rPr>
        <w:t xml:space="preserve"> rights in keeping with A</w:t>
      </w:r>
      <w:r w:rsidRPr="00821B4E">
        <w:rPr>
          <w:rFonts w:ascii="Verdana" w:hAnsi="Verdana"/>
          <w:b/>
        </w:rPr>
        <w:t>rticle 2 of the Protocol.</w:t>
      </w:r>
    </w:p>
    <w:p w14:paraId="5788BEAE" w14:textId="77777777" w:rsidR="00821B4E" w:rsidRPr="00821B4E" w:rsidRDefault="00821B4E" w:rsidP="002B0AE2">
      <w:pPr>
        <w:spacing w:line="276" w:lineRule="auto"/>
      </w:pPr>
    </w:p>
    <w:p w14:paraId="3407F2D4" w14:textId="77777777" w:rsidR="005A004C" w:rsidRDefault="005A004C" w:rsidP="002B0AE2">
      <w:pPr>
        <w:spacing w:line="276" w:lineRule="auto"/>
      </w:pPr>
    </w:p>
    <w:p w14:paraId="2FFB6BC9" w14:textId="77777777" w:rsidR="00BB1763" w:rsidRPr="00BB1763" w:rsidRDefault="00BB1763" w:rsidP="002B0AE2">
      <w:pPr>
        <w:pStyle w:val="Heading1"/>
        <w:numPr>
          <w:ilvl w:val="0"/>
          <w:numId w:val="12"/>
        </w:numPr>
        <w:spacing w:before="0" w:line="276" w:lineRule="auto"/>
      </w:pPr>
      <w:bookmarkStart w:id="4" w:name="_Toc83380406"/>
      <w:r w:rsidRPr="00BB1763">
        <w:t>Part 1: Sexual Offences</w:t>
      </w:r>
      <w:bookmarkEnd w:id="4"/>
      <w:r w:rsidRPr="00BB1763">
        <w:t xml:space="preserve"> </w:t>
      </w:r>
    </w:p>
    <w:p w14:paraId="5B62BD68" w14:textId="77777777" w:rsidR="00BB1763" w:rsidRDefault="00BB1763" w:rsidP="002B0AE2">
      <w:pPr>
        <w:pStyle w:val="Heading2"/>
        <w:spacing w:before="0" w:line="276" w:lineRule="auto"/>
      </w:pPr>
    </w:p>
    <w:p w14:paraId="7609323E" w14:textId="77777777" w:rsidR="00F00049" w:rsidRDefault="00F00049" w:rsidP="002B0AE2">
      <w:pPr>
        <w:pStyle w:val="Heading2"/>
        <w:spacing w:before="0" w:line="276" w:lineRule="auto"/>
      </w:pPr>
      <w:bookmarkStart w:id="5" w:name="_Toc83380407"/>
      <w:r>
        <w:t>Voyeurism</w:t>
      </w:r>
      <w:bookmarkEnd w:id="5"/>
    </w:p>
    <w:p w14:paraId="59D97134" w14:textId="77777777" w:rsidR="00467AD8" w:rsidRPr="00467AD8" w:rsidRDefault="00467AD8" w:rsidP="002B0AE2">
      <w:pPr>
        <w:spacing w:line="276" w:lineRule="auto"/>
        <w:rPr>
          <w:rFonts w:ascii="Verdana" w:hAnsi="Verdana"/>
        </w:rPr>
      </w:pPr>
    </w:p>
    <w:p w14:paraId="05D8BB53" w14:textId="77777777" w:rsidR="00821B4E" w:rsidRPr="00821B4E" w:rsidRDefault="00821B4E" w:rsidP="002B0AE2">
      <w:pPr>
        <w:pStyle w:val="ListParagraph"/>
        <w:numPr>
          <w:ilvl w:val="0"/>
          <w:numId w:val="9"/>
        </w:numPr>
        <w:spacing w:line="276" w:lineRule="auto"/>
        <w:rPr>
          <w:rFonts w:ascii="Verdana" w:hAnsi="Verdana"/>
          <w:vanish/>
        </w:rPr>
      </w:pPr>
    </w:p>
    <w:p w14:paraId="6697140D" w14:textId="77777777" w:rsidR="00821B4E" w:rsidRPr="00821B4E" w:rsidRDefault="00821B4E" w:rsidP="002B0AE2">
      <w:pPr>
        <w:pStyle w:val="ListParagraph"/>
        <w:numPr>
          <w:ilvl w:val="0"/>
          <w:numId w:val="9"/>
        </w:numPr>
        <w:spacing w:line="276" w:lineRule="auto"/>
        <w:rPr>
          <w:rFonts w:ascii="Verdana" w:hAnsi="Verdana"/>
          <w:vanish/>
        </w:rPr>
      </w:pPr>
    </w:p>
    <w:p w14:paraId="4CE919B4" w14:textId="5F3E23DB" w:rsidR="00C53916" w:rsidRPr="000A4066" w:rsidRDefault="00467AD8" w:rsidP="002B0AE2">
      <w:pPr>
        <w:pStyle w:val="ListParagraph"/>
        <w:numPr>
          <w:ilvl w:val="1"/>
          <w:numId w:val="12"/>
        </w:numPr>
        <w:spacing w:line="276" w:lineRule="auto"/>
        <w:rPr>
          <w:rFonts w:ascii="Verdana" w:hAnsi="Verdana"/>
        </w:rPr>
      </w:pPr>
      <w:r w:rsidRPr="000A4066">
        <w:rPr>
          <w:rFonts w:ascii="Verdana" w:hAnsi="Verdana"/>
        </w:rPr>
        <w:t xml:space="preserve">The NIHRC welcomes </w:t>
      </w:r>
      <w:r w:rsidR="00C53916" w:rsidRPr="000A4066">
        <w:rPr>
          <w:rFonts w:ascii="Verdana" w:hAnsi="Verdana"/>
        </w:rPr>
        <w:t xml:space="preserve">provisions </w:t>
      </w:r>
      <w:r w:rsidR="00A97B63" w:rsidRPr="000A4066">
        <w:rPr>
          <w:rFonts w:ascii="Verdana" w:hAnsi="Verdana"/>
        </w:rPr>
        <w:t xml:space="preserve">of the Bill </w:t>
      </w:r>
      <w:r w:rsidR="00C53916" w:rsidRPr="000A4066">
        <w:rPr>
          <w:rFonts w:ascii="Verdana" w:hAnsi="Verdana"/>
        </w:rPr>
        <w:t xml:space="preserve">to create a new offence of </w:t>
      </w:r>
      <w:r w:rsidR="00937944">
        <w:rPr>
          <w:rFonts w:ascii="Verdana" w:hAnsi="Verdana"/>
        </w:rPr>
        <w:t>‘</w:t>
      </w:r>
      <w:r w:rsidR="00C53916" w:rsidRPr="000A4066">
        <w:rPr>
          <w:rFonts w:ascii="Verdana" w:hAnsi="Verdana"/>
        </w:rPr>
        <w:t>up-skirting</w:t>
      </w:r>
      <w:r w:rsidR="00937944">
        <w:rPr>
          <w:rFonts w:ascii="Verdana" w:hAnsi="Verdana"/>
        </w:rPr>
        <w:t>’</w:t>
      </w:r>
      <w:r w:rsidR="00C53916" w:rsidRPr="000A4066">
        <w:rPr>
          <w:rFonts w:ascii="Verdana" w:hAnsi="Verdana"/>
        </w:rPr>
        <w:t xml:space="preserve"> and </w:t>
      </w:r>
      <w:r w:rsidR="00937944">
        <w:rPr>
          <w:rFonts w:ascii="Verdana" w:hAnsi="Verdana"/>
        </w:rPr>
        <w:t>‘</w:t>
      </w:r>
      <w:r w:rsidR="00C53916" w:rsidRPr="000A4066">
        <w:rPr>
          <w:rFonts w:ascii="Verdana" w:hAnsi="Verdana"/>
        </w:rPr>
        <w:t>down-blousing</w:t>
      </w:r>
      <w:r w:rsidR="00937944">
        <w:rPr>
          <w:rFonts w:ascii="Verdana" w:hAnsi="Verdana"/>
        </w:rPr>
        <w:t>’</w:t>
      </w:r>
      <w:r w:rsidR="00A97B63" w:rsidRPr="000A4066">
        <w:rPr>
          <w:rFonts w:ascii="Verdana" w:hAnsi="Verdana"/>
        </w:rPr>
        <w:t xml:space="preserve"> in N</w:t>
      </w:r>
      <w:r w:rsidR="00937944">
        <w:rPr>
          <w:rFonts w:ascii="Verdana" w:hAnsi="Verdana"/>
        </w:rPr>
        <w:t xml:space="preserve">orthern </w:t>
      </w:r>
      <w:r w:rsidR="00A97B63" w:rsidRPr="000A4066">
        <w:rPr>
          <w:rFonts w:ascii="Verdana" w:hAnsi="Verdana"/>
        </w:rPr>
        <w:t>I</w:t>
      </w:r>
      <w:r w:rsidR="00937944">
        <w:rPr>
          <w:rFonts w:ascii="Verdana" w:hAnsi="Verdana"/>
        </w:rPr>
        <w:t>reland (NI)</w:t>
      </w:r>
      <w:r w:rsidR="00C53916" w:rsidRPr="000A4066">
        <w:rPr>
          <w:rFonts w:ascii="Verdana" w:hAnsi="Verdana"/>
        </w:rPr>
        <w:t>.</w:t>
      </w:r>
      <w:r w:rsidR="003523A7" w:rsidRPr="000A4066">
        <w:rPr>
          <w:rFonts w:ascii="Verdana" w:hAnsi="Verdana"/>
        </w:rPr>
        <w:t xml:space="preserve"> </w:t>
      </w:r>
      <w:r w:rsidR="00C53916" w:rsidRPr="000A4066">
        <w:rPr>
          <w:rFonts w:ascii="Verdana" w:hAnsi="Verdana"/>
        </w:rPr>
        <w:t>In England and Wales, the Voyeu</w:t>
      </w:r>
      <w:r w:rsidR="003B2947" w:rsidRPr="000A4066">
        <w:rPr>
          <w:rFonts w:ascii="Verdana" w:hAnsi="Verdana"/>
        </w:rPr>
        <w:t xml:space="preserve">rism (Offences) Act 2019 </w:t>
      </w:r>
      <w:r w:rsidR="00C53916" w:rsidRPr="000A4066">
        <w:rPr>
          <w:rFonts w:ascii="Verdana" w:hAnsi="Verdana"/>
        </w:rPr>
        <w:t xml:space="preserve">came into force on 12 April 2019. Similar legislative provision has </w:t>
      </w:r>
      <w:r w:rsidR="00DC21BD" w:rsidRPr="000A4066">
        <w:rPr>
          <w:rFonts w:ascii="Verdana" w:hAnsi="Verdana"/>
        </w:rPr>
        <w:t xml:space="preserve">also </w:t>
      </w:r>
      <w:r w:rsidR="00C53916" w:rsidRPr="000A4066">
        <w:rPr>
          <w:rFonts w:ascii="Verdana" w:hAnsi="Verdana"/>
        </w:rPr>
        <w:t xml:space="preserve">been made in Scotland through the Sexual Offences (Scotland) Act 2009. The Commission has previously raised concerns that no similar provisions provide for the specific offence of </w:t>
      </w:r>
      <w:r w:rsidR="00937944">
        <w:rPr>
          <w:rFonts w:ascii="Verdana" w:hAnsi="Verdana"/>
        </w:rPr>
        <w:t>‘</w:t>
      </w:r>
      <w:r w:rsidR="00C53916" w:rsidRPr="000A4066">
        <w:rPr>
          <w:rFonts w:ascii="Verdana" w:hAnsi="Verdana"/>
        </w:rPr>
        <w:t>up</w:t>
      </w:r>
      <w:r w:rsidR="00937944">
        <w:rPr>
          <w:rFonts w:ascii="Verdana" w:hAnsi="Verdana"/>
        </w:rPr>
        <w:t>-</w:t>
      </w:r>
      <w:r w:rsidR="00C53916" w:rsidRPr="000A4066">
        <w:rPr>
          <w:rFonts w:ascii="Verdana" w:hAnsi="Verdana"/>
        </w:rPr>
        <w:t>skirting</w:t>
      </w:r>
      <w:r w:rsidR="00937944">
        <w:rPr>
          <w:rFonts w:ascii="Verdana" w:hAnsi="Verdana"/>
        </w:rPr>
        <w:t>’</w:t>
      </w:r>
      <w:r w:rsidR="00C53916" w:rsidRPr="000A4066">
        <w:rPr>
          <w:rFonts w:ascii="Verdana" w:hAnsi="Verdana"/>
        </w:rPr>
        <w:t xml:space="preserve"> and </w:t>
      </w:r>
      <w:r w:rsidR="00937944">
        <w:rPr>
          <w:rFonts w:ascii="Verdana" w:hAnsi="Verdana"/>
        </w:rPr>
        <w:t>‘</w:t>
      </w:r>
      <w:r w:rsidR="003523A7" w:rsidRPr="000A4066">
        <w:rPr>
          <w:rFonts w:ascii="Verdana" w:hAnsi="Verdana"/>
        </w:rPr>
        <w:t>down-blousing</w:t>
      </w:r>
      <w:r w:rsidR="00937944">
        <w:rPr>
          <w:rFonts w:ascii="Verdana" w:hAnsi="Verdana"/>
        </w:rPr>
        <w:t>’</w:t>
      </w:r>
      <w:r w:rsidR="00C53916" w:rsidRPr="000A4066">
        <w:rPr>
          <w:rFonts w:ascii="Verdana" w:hAnsi="Verdana"/>
        </w:rPr>
        <w:t xml:space="preserve"> in NI.</w:t>
      </w:r>
    </w:p>
    <w:p w14:paraId="258BE635" w14:textId="77777777" w:rsidR="003523A7" w:rsidRDefault="003523A7" w:rsidP="002B0AE2">
      <w:pPr>
        <w:pStyle w:val="ListParagraph"/>
        <w:spacing w:line="276" w:lineRule="auto"/>
        <w:rPr>
          <w:rFonts w:ascii="Verdana" w:hAnsi="Verdana"/>
        </w:rPr>
      </w:pPr>
    </w:p>
    <w:p w14:paraId="030B549A" w14:textId="2D93A05D" w:rsidR="003523A7" w:rsidRPr="003523A7" w:rsidRDefault="00937944" w:rsidP="002B0AE2">
      <w:pPr>
        <w:pStyle w:val="ListParagraph"/>
        <w:numPr>
          <w:ilvl w:val="1"/>
          <w:numId w:val="12"/>
        </w:numPr>
        <w:spacing w:line="276" w:lineRule="auto"/>
        <w:rPr>
          <w:rFonts w:ascii="Verdana" w:hAnsi="Verdana"/>
        </w:rPr>
      </w:pPr>
      <w:r>
        <w:rPr>
          <w:rFonts w:ascii="Verdana" w:hAnsi="Verdana"/>
        </w:rPr>
        <w:t>The</w:t>
      </w:r>
      <w:r w:rsidR="003523A7">
        <w:rPr>
          <w:rFonts w:ascii="Verdana" w:hAnsi="Verdana"/>
        </w:rPr>
        <w:t xml:space="preserve"> Commission</w:t>
      </w:r>
      <w:r>
        <w:rPr>
          <w:rFonts w:ascii="Verdana" w:hAnsi="Verdana"/>
        </w:rPr>
        <w:t xml:space="preserve"> remains </w:t>
      </w:r>
      <w:r w:rsidR="003523A7">
        <w:rPr>
          <w:rFonts w:ascii="Verdana" w:hAnsi="Verdana"/>
        </w:rPr>
        <w:t xml:space="preserve">concerned that the current draft Bill provides for lesser protections for victims of voyeurism in NI </w:t>
      </w:r>
      <w:r>
        <w:rPr>
          <w:rFonts w:ascii="Verdana" w:hAnsi="Verdana"/>
        </w:rPr>
        <w:t xml:space="preserve">when </w:t>
      </w:r>
      <w:r w:rsidR="003523A7">
        <w:rPr>
          <w:rFonts w:ascii="Verdana" w:hAnsi="Verdana"/>
        </w:rPr>
        <w:t>compar</w:t>
      </w:r>
      <w:r>
        <w:rPr>
          <w:rFonts w:ascii="Verdana" w:hAnsi="Verdana"/>
        </w:rPr>
        <w:t>ed</w:t>
      </w:r>
      <w:r w:rsidR="003523A7">
        <w:rPr>
          <w:rFonts w:ascii="Verdana" w:hAnsi="Verdana"/>
        </w:rPr>
        <w:t xml:space="preserve"> to provision in England</w:t>
      </w:r>
      <w:r>
        <w:rPr>
          <w:rFonts w:ascii="Verdana" w:hAnsi="Verdana"/>
        </w:rPr>
        <w:t>;</w:t>
      </w:r>
      <w:r w:rsidR="001B676F">
        <w:rPr>
          <w:rFonts w:ascii="Verdana" w:hAnsi="Verdana"/>
        </w:rPr>
        <w:t xml:space="preserve"> the sentencing for a maximum summary conviction is reduced from 12 months to 6 months. </w:t>
      </w:r>
    </w:p>
    <w:p w14:paraId="64B94726" w14:textId="77777777" w:rsidR="00C53916" w:rsidRPr="00C53916" w:rsidRDefault="00C53916" w:rsidP="002B0AE2">
      <w:pPr>
        <w:pStyle w:val="ListParagraph"/>
        <w:spacing w:line="276" w:lineRule="auto"/>
        <w:rPr>
          <w:rFonts w:ascii="Verdana" w:hAnsi="Verdana"/>
        </w:rPr>
      </w:pPr>
    </w:p>
    <w:p w14:paraId="32EB6748" w14:textId="137BED4C" w:rsidR="00A97B63" w:rsidRDefault="0037287D" w:rsidP="002B0AE2">
      <w:pPr>
        <w:pStyle w:val="ListParagraph"/>
        <w:numPr>
          <w:ilvl w:val="1"/>
          <w:numId w:val="12"/>
        </w:numPr>
        <w:spacing w:line="276" w:lineRule="auto"/>
        <w:rPr>
          <w:rFonts w:ascii="Verdana" w:hAnsi="Verdana"/>
        </w:rPr>
      </w:pPr>
      <w:r>
        <w:rPr>
          <w:rFonts w:ascii="Verdana" w:hAnsi="Verdana"/>
        </w:rPr>
        <w:t>Within the</w:t>
      </w:r>
      <w:r w:rsidR="001B676F">
        <w:rPr>
          <w:rFonts w:ascii="Verdana" w:hAnsi="Verdana"/>
        </w:rPr>
        <w:t xml:space="preserve"> current</w:t>
      </w:r>
      <w:r>
        <w:rPr>
          <w:rFonts w:ascii="Verdana" w:hAnsi="Verdana"/>
        </w:rPr>
        <w:t xml:space="preserve"> draft </w:t>
      </w:r>
      <w:r w:rsidR="00BD4852">
        <w:rPr>
          <w:rFonts w:ascii="Verdana" w:hAnsi="Verdana"/>
        </w:rPr>
        <w:t>Bill,</w:t>
      </w:r>
      <w:r>
        <w:rPr>
          <w:rFonts w:ascii="Verdana" w:hAnsi="Verdana"/>
        </w:rPr>
        <w:t xml:space="preserve"> the</w:t>
      </w:r>
      <w:r w:rsidR="00A97B63" w:rsidRPr="00A97B63">
        <w:rPr>
          <w:rFonts w:ascii="Verdana" w:hAnsi="Verdana"/>
        </w:rPr>
        <w:t xml:space="preserve"> person guilty of an offen</w:t>
      </w:r>
      <w:r w:rsidR="00D45A1E">
        <w:rPr>
          <w:rFonts w:ascii="Verdana" w:hAnsi="Verdana"/>
        </w:rPr>
        <w:t xml:space="preserve">ce </w:t>
      </w:r>
      <w:r w:rsidR="003B2947">
        <w:rPr>
          <w:rFonts w:ascii="Verdana" w:hAnsi="Verdana"/>
        </w:rPr>
        <w:t xml:space="preserve">is liable: </w:t>
      </w:r>
    </w:p>
    <w:p w14:paraId="0BE603E9" w14:textId="77777777" w:rsidR="003B2947" w:rsidRPr="00A97B63" w:rsidRDefault="003B2947" w:rsidP="002B0AE2">
      <w:pPr>
        <w:pStyle w:val="ListParagraph"/>
        <w:spacing w:line="276" w:lineRule="auto"/>
        <w:rPr>
          <w:rFonts w:ascii="Verdana" w:hAnsi="Verdana"/>
        </w:rPr>
      </w:pPr>
    </w:p>
    <w:p w14:paraId="1230B174" w14:textId="77777777" w:rsidR="00A97B63" w:rsidRPr="00A97B63" w:rsidRDefault="00A97B63" w:rsidP="002B0AE2">
      <w:pPr>
        <w:pStyle w:val="Quote"/>
        <w:numPr>
          <w:ilvl w:val="0"/>
          <w:numId w:val="10"/>
        </w:numPr>
        <w:spacing w:before="0" w:after="0" w:line="276" w:lineRule="auto"/>
      </w:pPr>
      <w:r w:rsidRPr="00A97B63">
        <w:t>on summary conviction, to imprisonment for a ter</w:t>
      </w:r>
      <w:r w:rsidR="0037287D">
        <w:t xml:space="preserve">m not exceeding 6 </w:t>
      </w:r>
      <w:r w:rsidRPr="00A97B63">
        <w:t>months or a fine not exceeding the statutory maximum or both;</w:t>
      </w:r>
    </w:p>
    <w:p w14:paraId="71145E45" w14:textId="77777777" w:rsidR="00AA2A88" w:rsidRDefault="00A97B63" w:rsidP="002B0AE2">
      <w:pPr>
        <w:pStyle w:val="Quote"/>
        <w:numPr>
          <w:ilvl w:val="0"/>
          <w:numId w:val="10"/>
        </w:numPr>
        <w:spacing w:before="0" w:after="0" w:line="276" w:lineRule="auto"/>
      </w:pPr>
      <w:r w:rsidRPr="00A97B63">
        <w:t>on conviction on indictment, to imprisonment for a term not</w:t>
      </w:r>
      <w:r>
        <w:t xml:space="preserve"> </w:t>
      </w:r>
      <w:r w:rsidR="003B2947">
        <w:t>exceeding 2 years.</w:t>
      </w:r>
      <w:r w:rsidR="003B2947">
        <w:rPr>
          <w:rStyle w:val="FootnoteReference"/>
        </w:rPr>
        <w:footnoteReference w:id="47"/>
      </w:r>
    </w:p>
    <w:p w14:paraId="35716092" w14:textId="77777777" w:rsidR="003612D1" w:rsidRDefault="003612D1" w:rsidP="002B0AE2">
      <w:pPr>
        <w:pStyle w:val="ListParagraph"/>
        <w:spacing w:line="276" w:lineRule="auto"/>
        <w:rPr>
          <w:rFonts w:ascii="Verdana" w:hAnsi="Verdana"/>
        </w:rPr>
      </w:pPr>
    </w:p>
    <w:p w14:paraId="5992A345" w14:textId="77777777" w:rsidR="003B2947" w:rsidRDefault="001B676F" w:rsidP="002B0AE2">
      <w:pPr>
        <w:pStyle w:val="ListParagraph"/>
        <w:numPr>
          <w:ilvl w:val="1"/>
          <w:numId w:val="12"/>
        </w:numPr>
        <w:spacing w:line="276" w:lineRule="auto"/>
        <w:rPr>
          <w:rFonts w:ascii="Verdana" w:hAnsi="Verdana"/>
        </w:rPr>
      </w:pPr>
      <w:r>
        <w:rPr>
          <w:rFonts w:ascii="Verdana" w:hAnsi="Verdana"/>
        </w:rPr>
        <w:t>In comparison, w</w:t>
      </w:r>
      <w:r w:rsidR="003B2947">
        <w:rPr>
          <w:rFonts w:ascii="Verdana" w:hAnsi="Verdana"/>
        </w:rPr>
        <w:t xml:space="preserve">ithin the </w:t>
      </w:r>
      <w:r w:rsidR="003B2947" w:rsidRPr="003B2947">
        <w:rPr>
          <w:rFonts w:ascii="Verdana" w:hAnsi="Verdana"/>
        </w:rPr>
        <w:t>Voyeurism (Offences) Act 2019</w:t>
      </w:r>
      <w:r w:rsidR="003B2947">
        <w:rPr>
          <w:rFonts w:ascii="Verdana" w:hAnsi="Verdana"/>
        </w:rPr>
        <w:t xml:space="preserve">, the </w:t>
      </w:r>
      <w:r w:rsidR="003B2947" w:rsidRPr="003B2947">
        <w:rPr>
          <w:rFonts w:ascii="Verdana" w:hAnsi="Verdana"/>
        </w:rPr>
        <w:t>person guilty of an offence under this section is liable—</w:t>
      </w:r>
    </w:p>
    <w:p w14:paraId="698E6CEC" w14:textId="77777777" w:rsidR="003B2947" w:rsidRPr="003B2947" w:rsidRDefault="003B2947" w:rsidP="002B0AE2">
      <w:pPr>
        <w:pStyle w:val="ListParagraph"/>
        <w:spacing w:line="276" w:lineRule="auto"/>
        <w:rPr>
          <w:rFonts w:ascii="Verdana" w:hAnsi="Verdana"/>
        </w:rPr>
      </w:pPr>
    </w:p>
    <w:p w14:paraId="17F5984B" w14:textId="77777777" w:rsidR="003B2947" w:rsidRPr="003B2947" w:rsidRDefault="003B2947" w:rsidP="002B0AE2">
      <w:pPr>
        <w:pStyle w:val="Quote"/>
        <w:numPr>
          <w:ilvl w:val="0"/>
          <w:numId w:val="11"/>
        </w:numPr>
        <w:spacing w:before="0" w:after="0" w:line="276" w:lineRule="auto"/>
      </w:pPr>
      <w:r w:rsidRPr="003B2947">
        <w:t>on summary conviction, to imprisonment for a term not exceeding 12 months, or to a fine, or to both;</w:t>
      </w:r>
    </w:p>
    <w:p w14:paraId="43E020B4" w14:textId="77777777" w:rsidR="003B2947" w:rsidRDefault="003B2947" w:rsidP="002B0AE2">
      <w:pPr>
        <w:pStyle w:val="Quote"/>
        <w:numPr>
          <w:ilvl w:val="0"/>
          <w:numId w:val="11"/>
        </w:numPr>
        <w:spacing w:before="0" w:after="0" w:line="276" w:lineRule="auto"/>
      </w:pPr>
      <w:r w:rsidRPr="003B2947">
        <w:t>on conviction on indictment, to imprisonment for a term not exceeding 2 years.</w:t>
      </w:r>
      <w:r>
        <w:rPr>
          <w:rStyle w:val="FootnoteReference"/>
        </w:rPr>
        <w:footnoteReference w:id="48"/>
      </w:r>
    </w:p>
    <w:p w14:paraId="085380B8" w14:textId="77777777" w:rsidR="00AA2A88" w:rsidRDefault="00AA2A88" w:rsidP="002B0AE2">
      <w:pPr>
        <w:pStyle w:val="ListParagraph"/>
        <w:spacing w:line="276" w:lineRule="auto"/>
        <w:rPr>
          <w:rFonts w:ascii="Verdana" w:hAnsi="Verdana"/>
        </w:rPr>
      </w:pPr>
    </w:p>
    <w:p w14:paraId="067DD8D5" w14:textId="77777777" w:rsidR="000B15C3" w:rsidRPr="001B676F" w:rsidRDefault="000B15C3" w:rsidP="002B0AE2">
      <w:pPr>
        <w:pStyle w:val="ListParagraph"/>
        <w:numPr>
          <w:ilvl w:val="1"/>
          <w:numId w:val="12"/>
        </w:numPr>
        <w:spacing w:line="276" w:lineRule="auto"/>
        <w:rPr>
          <w:rFonts w:ascii="Verdana" w:hAnsi="Verdana"/>
          <w:b/>
        </w:rPr>
      </w:pPr>
      <w:r w:rsidRPr="001B676F">
        <w:rPr>
          <w:rFonts w:ascii="Verdana" w:hAnsi="Verdana"/>
          <w:b/>
        </w:rPr>
        <w:t xml:space="preserve">The NIHRC </w:t>
      </w:r>
      <w:r w:rsidR="00AB3268">
        <w:rPr>
          <w:rFonts w:ascii="Verdana" w:hAnsi="Verdana"/>
          <w:b/>
        </w:rPr>
        <w:t xml:space="preserve">welcomes the creation of the offence of voyeurism in NI however, </w:t>
      </w:r>
      <w:r w:rsidR="006C37FC">
        <w:rPr>
          <w:rFonts w:ascii="Verdana" w:hAnsi="Verdana"/>
          <w:b/>
        </w:rPr>
        <w:t xml:space="preserve">the Committee </w:t>
      </w:r>
      <w:r w:rsidR="00DC21BD">
        <w:rPr>
          <w:rFonts w:ascii="Verdana" w:hAnsi="Verdana"/>
          <w:b/>
        </w:rPr>
        <w:t xml:space="preserve">may wish to recommend </w:t>
      </w:r>
      <w:r w:rsidR="001B676F">
        <w:rPr>
          <w:rFonts w:ascii="Verdana" w:hAnsi="Verdana"/>
          <w:b/>
        </w:rPr>
        <w:t>a</w:t>
      </w:r>
      <w:r w:rsidR="00DC21BD">
        <w:rPr>
          <w:rFonts w:ascii="Verdana" w:hAnsi="Verdana"/>
          <w:b/>
        </w:rPr>
        <w:t>s</w:t>
      </w:r>
      <w:r w:rsidR="001B676F">
        <w:rPr>
          <w:rFonts w:ascii="Verdana" w:hAnsi="Verdana"/>
          <w:b/>
        </w:rPr>
        <w:t xml:space="preserve"> </w:t>
      </w:r>
      <w:r w:rsidR="00DC21BD">
        <w:rPr>
          <w:rFonts w:ascii="Verdana" w:hAnsi="Verdana"/>
          <w:b/>
        </w:rPr>
        <w:t xml:space="preserve">a </w:t>
      </w:r>
      <w:r w:rsidR="001B676F">
        <w:rPr>
          <w:rFonts w:ascii="Verdana" w:hAnsi="Verdana"/>
          <w:b/>
        </w:rPr>
        <w:t>minimum</w:t>
      </w:r>
      <w:r w:rsidR="00DC21BD">
        <w:rPr>
          <w:rFonts w:ascii="Verdana" w:hAnsi="Verdana"/>
          <w:b/>
        </w:rPr>
        <w:t>,</w:t>
      </w:r>
      <w:r w:rsidR="001B676F">
        <w:rPr>
          <w:rFonts w:ascii="Verdana" w:hAnsi="Verdana"/>
          <w:b/>
        </w:rPr>
        <w:t xml:space="preserve"> equal</w:t>
      </w:r>
      <w:r w:rsidR="00AB3268">
        <w:rPr>
          <w:rFonts w:ascii="Verdana" w:hAnsi="Verdana"/>
          <w:b/>
        </w:rPr>
        <w:t xml:space="preserve"> protection for victims </w:t>
      </w:r>
      <w:r w:rsidR="001B676F">
        <w:rPr>
          <w:rFonts w:ascii="Verdana" w:hAnsi="Verdana"/>
          <w:b/>
        </w:rPr>
        <w:t xml:space="preserve">in </w:t>
      </w:r>
      <w:r w:rsidR="003612D1" w:rsidRPr="001B676F">
        <w:rPr>
          <w:rFonts w:ascii="Verdana" w:hAnsi="Verdana"/>
          <w:b/>
        </w:rPr>
        <w:t>NI</w:t>
      </w:r>
      <w:r w:rsidR="00077BE3">
        <w:rPr>
          <w:rFonts w:ascii="Verdana" w:hAnsi="Verdana"/>
          <w:b/>
        </w:rPr>
        <w:t xml:space="preserve"> to those in other UK jurisdictions</w:t>
      </w:r>
      <w:r w:rsidR="001B676F">
        <w:rPr>
          <w:rFonts w:ascii="Verdana" w:hAnsi="Verdana"/>
          <w:b/>
        </w:rPr>
        <w:t>.</w:t>
      </w:r>
      <w:r w:rsidR="003612D1" w:rsidRPr="001B676F">
        <w:rPr>
          <w:rFonts w:ascii="Verdana" w:hAnsi="Verdana"/>
          <w:b/>
        </w:rPr>
        <w:t xml:space="preserve"> </w:t>
      </w:r>
    </w:p>
    <w:p w14:paraId="24F40985" w14:textId="77777777" w:rsidR="00467AD8" w:rsidRPr="00467AD8" w:rsidRDefault="00467AD8" w:rsidP="002B0AE2">
      <w:pPr>
        <w:spacing w:line="276" w:lineRule="auto"/>
        <w:rPr>
          <w:rFonts w:ascii="Verdana" w:hAnsi="Verdana"/>
        </w:rPr>
      </w:pPr>
    </w:p>
    <w:p w14:paraId="411DF840" w14:textId="77777777" w:rsidR="00467AD8" w:rsidRDefault="00467AD8" w:rsidP="002B0AE2">
      <w:pPr>
        <w:pStyle w:val="Heading2"/>
        <w:spacing w:before="0" w:line="276" w:lineRule="auto"/>
      </w:pPr>
      <w:bookmarkStart w:id="6" w:name="_Toc83380408"/>
      <w:r w:rsidRPr="00467AD8">
        <w:t>Child Sexual Exploitation</w:t>
      </w:r>
      <w:bookmarkEnd w:id="6"/>
      <w:r w:rsidRPr="00467AD8">
        <w:t xml:space="preserve"> </w:t>
      </w:r>
    </w:p>
    <w:p w14:paraId="35C98D49" w14:textId="77777777" w:rsidR="00467AD8" w:rsidRDefault="00467AD8" w:rsidP="002B0AE2">
      <w:pPr>
        <w:spacing w:line="276" w:lineRule="auto"/>
      </w:pPr>
    </w:p>
    <w:p w14:paraId="103E01CA" w14:textId="77777777" w:rsidR="00A97B63" w:rsidRDefault="00A97B63" w:rsidP="002B0AE2">
      <w:pPr>
        <w:pStyle w:val="ListParagraph"/>
        <w:numPr>
          <w:ilvl w:val="1"/>
          <w:numId w:val="12"/>
        </w:numPr>
        <w:spacing w:line="276" w:lineRule="auto"/>
        <w:rPr>
          <w:rFonts w:ascii="Verdana" w:hAnsi="Verdana"/>
        </w:rPr>
      </w:pPr>
      <w:r>
        <w:rPr>
          <w:rFonts w:ascii="Verdana" w:hAnsi="Verdana"/>
        </w:rPr>
        <w:t>The NIHRC welcomes p</w:t>
      </w:r>
      <w:r w:rsidR="00467AD8" w:rsidRPr="00A97B63">
        <w:rPr>
          <w:rFonts w:ascii="Verdana" w:hAnsi="Verdana"/>
        </w:rPr>
        <w:t>rovisions to</w:t>
      </w:r>
      <w:r w:rsidR="00AB3268">
        <w:rPr>
          <w:rFonts w:ascii="Verdana" w:hAnsi="Verdana"/>
        </w:rPr>
        <w:t xml:space="preserve"> give effect to the outcome of the</w:t>
      </w:r>
      <w:r w:rsidR="00467AD8" w:rsidRPr="00A97B63">
        <w:rPr>
          <w:rFonts w:ascii="Verdana" w:hAnsi="Verdana"/>
        </w:rPr>
        <w:t xml:space="preserve"> review of the law on child sexual exploitation and sexual offences against children to include live streamed images in the definition of exploitation for sexual purposes and to create a new offence of adults masquerading as children online</w:t>
      </w:r>
      <w:r>
        <w:rPr>
          <w:rFonts w:ascii="Verdana" w:hAnsi="Verdana"/>
        </w:rPr>
        <w:t>.</w:t>
      </w:r>
    </w:p>
    <w:p w14:paraId="35D754CF" w14:textId="77777777" w:rsidR="00D8678D" w:rsidRDefault="00D8678D" w:rsidP="002B0AE2">
      <w:pPr>
        <w:pStyle w:val="ListParagraph"/>
        <w:spacing w:line="276" w:lineRule="auto"/>
        <w:rPr>
          <w:rFonts w:ascii="Verdana" w:hAnsi="Verdana"/>
        </w:rPr>
      </w:pPr>
    </w:p>
    <w:p w14:paraId="20DD6C68" w14:textId="58AFDC24" w:rsidR="00D8678D" w:rsidRPr="00D8678D" w:rsidRDefault="00D8678D" w:rsidP="002B0AE2">
      <w:pPr>
        <w:pStyle w:val="ListParagraph"/>
        <w:numPr>
          <w:ilvl w:val="1"/>
          <w:numId w:val="12"/>
        </w:numPr>
        <w:spacing w:line="276" w:lineRule="auto"/>
        <w:rPr>
          <w:rFonts w:ascii="Verdana" w:hAnsi="Verdana"/>
        </w:rPr>
      </w:pPr>
      <w:r>
        <w:rPr>
          <w:rFonts w:ascii="Verdana" w:hAnsi="Verdana"/>
        </w:rPr>
        <w:t>The</w:t>
      </w:r>
      <w:r w:rsidRPr="00D8678D">
        <w:rPr>
          <w:rFonts w:ascii="Verdana" w:hAnsi="Verdana"/>
        </w:rPr>
        <w:t xml:space="preserve"> Independent Inquiry into </w:t>
      </w:r>
      <w:r>
        <w:rPr>
          <w:rFonts w:ascii="Verdana" w:hAnsi="Verdana"/>
        </w:rPr>
        <w:t>Child Sexual Exploitation in N</w:t>
      </w:r>
      <w:r w:rsidR="00937944">
        <w:rPr>
          <w:rFonts w:ascii="Verdana" w:hAnsi="Verdana"/>
        </w:rPr>
        <w:t xml:space="preserve">orthern </w:t>
      </w:r>
      <w:r>
        <w:rPr>
          <w:rFonts w:ascii="Verdana" w:hAnsi="Verdana"/>
        </w:rPr>
        <w:t>I</w:t>
      </w:r>
      <w:r w:rsidR="00937944">
        <w:rPr>
          <w:rFonts w:ascii="Verdana" w:hAnsi="Verdana"/>
        </w:rPr>
        <w:t>reland</w:t>
      </w:r>
      <w:r>
        <w:rPr>
          <w:rFonts w:ascii="Verdana" w:hAnsi="Verdana"/>
        </w:rPr>
        <w:t xml:space="preserve"> made </w:t>
      </w:r>
      <w:r w:rsidR="00F53D40">
        <w:rPr>
          <w:rFonts w:ascii="Verdana" w:hAnsi="Verdana"/>
        </w:rPr>
        <w:t>several</w:t>
      </w:r>
      <w:r>
        <w:rPr>
          <w:rFonts w:ascii="Verdana" w:hAnsi="Verdana"/>
        </w:rPr>
        <w:t xml:space="preserve"> </w:t>
      </w:r>
      <w:r w:rsidRPr="00D8678D">
        <w:rPr>
          <w:rFonts w:ascii="Verdana" w:hAnsi="Verdana"/>
        </w:rPr>
        <w:t xml:space="preserve">recommendations </w:t>
      </w:r>
      <w:r>
        <w:rPr>
          <w:rFonts w:ascii="Verdana" w:hAnsi="Verdana"/>
        </w:rPr>
        <w:t xml:space="preserve">to </w:t>
      </w:r>
      <w:r w:rsidRPr="00D8678D">
        <w:rPr>
          <w:rFonts w:ascii="Verdana" w:hAnsi="Verdana"/>
        </w:rPr>
        <w:t xml:space="preserve">address the need for legislative reform in a number of areas, including addressing a gap in protection under the Sexual Offences (NI) Order 2008.  </w:t>
      </w:r>
      <w:r w:rsidR="0070351E">
        <w:rPr>
          <w:rFonts w:ascii="Verdana" w:hAnsi="Verdana"/>
        </w:rPr>
        <w:t>The Commission made a s</w:t>
      </w:r>
      <w:r w:rsidR="0070351E" w:rsidRPr="0070351E">
        <w:rPr>
          <w:rFonts w:ascii="Verdana" w:hAnsi="Verdana"/>
        </w:rPr>
        <w:t xml:space="preserve">ubmission to </w:t>
      </w:r>
      <w:r w:rsidR="00937944">
        <w:rPr>
          <w:rFonts w:ascii="Verdana" w:hAnsi="Verdana"/>
        </w:rPr>
        <w:t xml:space="preserve">the </w:t>
      </w:r>
      <w:r w:rsidR="0070351E" w:rsidRPr="0070351E">
        <w:rPr>
          <w:rFonts w:ascii="Verdana" w:hAnsi="Verdana"/>
        </w:rPr>
        <w:t>Department of Justice’s Review of the Law on Child Sexual Exploitation</w:t>
      </w:r>
      <w:r w:rsidR="00DC21BD">
        <w:rPr>
          <w:rFonts w:ascii="Verdana" w:hAnsi="Verdana"/>
        </w:rPr>
        <w:t>,</w:t>
      </w:r>
      <w:r w:rsidR="0070351E">
        <w:rPr>
          <w:rFonts w:ascii="Verdana" w:hAnsi="Verdana"/>
        </w:rPr>
        <w:t xml:space="preserve"> which the Commission would highlight to the Committee.</w:t>
      </w:r>
      <w:r w:rsidR="006C37FC">
        <w:rPr>
          <w:rStyle w:val="FootnoteReference"/>
          <w:rFonts w:ascii="Verdana" w:hAnsi="Verdana"/>
        </w:rPr>
        <w:footnoteReference w:id="49"/>
      </w:r>
      <w:r w:rsidR="0070351E">
        <w:rPr>
          <w:rFonts w:ascii="Verdana" w:hAnsi="Verdana"/>
        </w:rPr>
        <w:t xml:space="preserve"> </w:t>
      </w:r>
    </w:p>
    <w:p w14:paraId="69949823" w14:textId="77777777" w:rsidR="00A97B63" w:rsidRDefault="00A97B63" w:rsidP="002B0AE2">
      <w:pPr>
        <w:pStyle w:val="ListParagraph"/>
        <w:spacing w:line="276" w:lineRule="auto"/>
        <w:rPr>
          <w:rFonts w:ascii="Verdana" w:hAnsi="Verdana"/>
        </w:rPr>
      </w:pPr>
    </w:p>
    <w:p w14:paraId="049D6610" w14:textId="77777777" w:rsidR="00A97B63" w:rsidRDefault="00D8678D" w:rsidP="002B0AE2">
      <w:pPr>
        <w:pStyle w:val="ListParagraph"/>
        <w:numPr>
          <w:ilvl w:val="1"/>
          <w:numId w:val="12"/>
        </w:numPr>
        <w:spacing w:line="276" w:lineRule="auto"/>
        <w:rPr>
          <w:rFonts w:ascii="Verdana" w:hAnsi="Verdana"/>
        </w:rPr>
      </w:pPr>
      <w:r>
        <w:rPr>
          <w:rFonts w:ascii="Verdana" w:hAnsi="Verdana"/>
        </w:rPr>
        <w:t xml:space="preserve">The </w:t>
      </w:r>
      <w:r w:rsidR="00373958">
        <w:rPr>
          <w:rFonts w:ascii="Verdana" w:hAnsi="Verdana"/>
        </w:rPr>
        <w:t>UN CRC Committee ha</w:t>
      </w:r>
      <w:r w:rsidR="00862456">
        <w:rPr>
          <w:rFonts w:ascii="Verdana" w:hAnsi="Verdana"/>
        </w:rPr>
        <w:t>s</w:t>
      </w:r>
      <w:r w:rsidR="00A97B63" w:rsidRPr="00A97B63">
        <w:rPr>
          <w:rFonts w:ascii="Verdana" w:hAnsi="Verdana"/>
        </w:rPr>
        <w:t xml:space="preserve"> raised the need to shift the burden of proof from the prosecution to the </w:t>
      </w:r>
      <w:r w:rsidR="00BD63CE">
        <w:rPr>
          <w:rFonts w:ascii="Verdana" w:hAnsi="Verdana"/>
        </w:rPr>
        <w:t>defence</w:t>
      </w:r>
      <w:r w:rsidR="00BD63CE" w:rsidRPr="00A97B63">
        <w:rPr>
          <w:rFonts w:ascii="Verdana" w:hAnsi="Verdana"/>
        </w:rPr>
        <w:t xml:space="preserve"> </w:t>
      </w:r>
      <w:r w:rsidR="00A97B63" w:rsidRPr="00A97B63">
        <w:rPr>
          <w:rFonts w:ascii="Verdana" w:hAnsi="Verdana"/>
        </w:rPr>
        <w:t>in legislation gover</w:t>
      </w:r>
      <w:r w:rsidR="00373958">
        <w:rPr>
          <w:rFonts w:ascii="Verdana" w:hAnsi="Verdana"/>
        </w:rPr>
        <w:t xml:space="preserve">ning specific sexual offences. </w:t>
      </w:r>
      <w:r w:rsidR="00A97B63" w:rsidRPr="00A97B63">
        <w:rPr>
          <w:rFonts w:ascii="Verdana" w:hAnsi="Verdana"/>
        </w:rPr>
        <w:t>In particular:</w:t>
      </w:r>
    </w:p>
    <w:p w14:paraId="25612425" w14:textId="77777777" w:rsidR="00A97B63" w:rsidRPr="00A97B63" w:rsidRDefault="00A97B63" w:rsidP="002B0AE2">
      <w:pPr>
        <w:pStyle w:val="ListParagraph"/>
        <w:spacing w:line="276" w:lineRule="auto"/>
        <w:rPr>
          <w:rFonts w:ascii="Verdana" w:hAnsi="Verdana"/>
        </w:rPr>
      </w:pPr>
    </w:p>
    <w:p w14:paraId="1AB458FD" w14:textId="77777777" w:rsidR="005A004C" w:rsidRDefault="00D4793F" w:rsidP="002B0AE2">
      <w:pPr>
        <w:pStyle w:val="Quote"/>
        <w:spacing w:before="0" w:after="0" w:line="276" w:lineRule="auto"/>
        <w:ind w:left="1418"/>
      </w:pPr>
      <w:r w:rsidRPr="003D7286">
        <w:rPr>
          <w:color w:val="000000"/>
        </w:rPr>
        <w:t>The Committee is concerned that, under the</w:t>
      </w:r>
      <w:r w:rsidR="00AF703D">
        <w:t xml:space="preserve"> </w:t>
      </w:r>
      <w:r w:rsidR="00A97B63" w:rsidRPr="00A97B63">
        <w:t>Sexual Offences (NI) Order 2008, for certain grave offences of sexual exploitation of children between 13 and 16 years of age, such as meeting a child following sexual grooming, engaging in sexual activity with a child, arranging or facilitating a child sex offence, the defendant may claim that he/she believed the victim to be above 16 years</w:t>
      </w:r>
      <w:r w:rsidR="00A97B63" w:rsidRPr="003D7286">
        <w:t>.</w:t>
      </w:r>
      <w:r w:rsidR="00043827" w:rsidRPr="003D7286">
        <w:t xml:space="preserve"> </w:t>
      </w:r>
      <w:r w:rsidR="00043827" w:rsidRPr="00D01D49">
        <w:rPr>
          <w:color w:val="000000"/>
        </w:rPr>
        <w:t>The Committee is also concerned that it is then for the prosecution to prove that the defendant “did not reasonably believe” this, with the risk of further cross-examinations of child victims and their consequent re-victimization.</w:t>
      </w:r>
      <w:r w:rsidR="00043827">
        <w:rPr>
          <w:rStyle w:val="FootnoteReference"/>
        </w:rPr>
        <w:t xml:space="preserve"> </w:t>
      </w:r>
      <w:r w:rsidR="001B676F">
        <w:rPr>
          <w:rStyle w:val="FootnoteReference"/>
        </w:rPr>
        <w:footnoteReference w:id="50"/>
      </w:r>
      <w:r w:rsidR="00A97B63" w:rsidRPr="00A97B63">
        <w:t xml:space="preserve"> </w:t>
      </w:r>
    </w:p>
    <w:p w14:paraId="13C6A892" w14:textId="77777777" w:rsidR="005A004C" w:rsidRPr="005A004C" w:rsidRDefault="005A004C" w:rsidP="002B0AE2">
      <w:pPr>
        <w:spacing w:line="276" w:lineRule="auto"/>
      </w:pPr>
    </w:p>
    <w:p w14:paraId="473DA787" w14:textId="509B616A" w:rsidR="00A97B63" w:rsidRDefault="00D8678D" w:rsidP="002B0AE2">
      <w:pPr>
        <w:pStyle w:val="Quote"/>
        <w:numPr>
          <w:ilvl w:val="1"/>
          <w:numId w:val="12"/>
        </w:numPr>
        <w:spacing w:before="0" w:after="0" w:line="276" w:lineRule="auto"/>
      </w:pPr>
      <w:r>
        <w:t xml:space="preserve">The </w:t>
      </w:r>
      <w:r w:rsidR="00DC21BD">
        <w:t xml:space="preserve">Commission </w:t>
      </w:r>
      <w:r>
        <w:t>would further high</w:t>
      </w:r>
      <w:r w:rsidR="00373958">
        <w:t xml:space="preserve">light </w:t>
      </w:r>
      <w:r>
        <w:t xml:space="preserve">the </w:t>
      </w:r>
      <w:r w:rsidR="00A97B63" w:rsidRPr="00A97B63">
        <w:t>C</w:t>
      </w:r>
      <w:r w:rsidR="00937944">
        <w:t xml:space="preserve">ouncil </w:t>
      </w:r>
      <w:r w:rsidR="00A97B63" w:rsidRPr="00A97B63">
        <w:t>o</w:t>
      </w:r>
      <w:r w:rsidR="00937944">
        <w:t xml:space="preserve">f </w:t>
      </w:r>
      <w:r w:rsidR="00A97B63" w:rsidRPr="00A97B63">
        <w:t>E</w:t>
      </w:r>
      <w:r w:rsidR="00937944">
        <w:t>urope</w:t>
      </w:r>
      <w:r w:rsidR="00A97B63" w:rsidRPr="00A97B63">
        <w:t xml:space="preserve"> Convention on the Protection of Children and Young People against Sexual Exploitation and Sexual Abuse (the Lanzarote Convention). This imposes obligations on the UK Government and NI Executive to undertake preventative measures to combat child sexual exploitation and to take additional steps to raise awareness of the issue amongst children and those who work with children. </w:t>
      </w:r>
    </w:p>
    <w:p w14:paraId="2350D29E" w14:textId="77777777" w:rsidR="005A004C" w:rsidRPr="005A004C" w:rsidRDefault="005A004C" w:rsidP="002B0AE2">
      <w:pPr>
        <w:spacing w:line="276" w:lineRule="auto"/>
      </w:pPr>
    </w:p>
    <w:p w14:paraId="6EACB270" w14:textId="77777777" w:rsidR="00A97B63" w:rsidRDefault="006C37FC" w:rsidP="002B0AE2">
      <w:pPr>
        <w:pStyle w:val="Quote"/>
        <w:numPr>
          <w:ilvl w:val="1"/>
          <w:numId w:val="12"/>
        </w:numPr>
        <w:spacing w:before="0" w:after="0" w:line="276" w:lineRule="auto"/>
      </w:pPr>
      <w:r>
        <w:t>Furthermore, in June 2020</w:t>
      </w:r>
      <w:r w:rsidR="00A97B63" w:rsidRPr="00A97B63">
        <w:t xml:space="preserve"> the Criminal Justice Inspection NI published its inspection report on child sexual exploitation, which considers the frontline response and investigation</w:t>
      </w:r>
      <w:r>
        <w:t xml:space="preserve"> of child sexual exploitation. The</w:t>
      </w:r>
      <w:r w:rsidR="00373958">
        <w:t xml:space="preserve"> report noted concern </w:t>
      </w:r>
      <w:r w:rsidR="00A97B63" w:rsidRPr="00A97B63">
        <w:t>that little was known about the perpetrators of child sexual exploitation and the criminal justice system was urged to develop its r</w:t>
      </w:r>
      <w:r w:rsidR="00373958">
        <w:t>esponse in this respect</w:t>
      </w:r>
      <w:r w:rsidR="00A97B63" w:rsidRPr="00A97B63">
        <w:t>.  It found that:</w:t>
      </w:r>
    </w:p>
    <w:p w14:paraId="724677FB" w14:textId="77777777" w:rsidR="005A004C" w:rsidRPr="005A004C" w:rsidRDefault="005A004C" w:rsidP="002B0AE2">
      <w:pPr>
        <w:spacing w:line="276" w:lineRule="auto"/>
      </w:pPr>
    </w:p>
    <w:p w14:paraId="1475DDC9" w14:textId="77777777" w:rsidR="005A004C" w:rsidRDefault="00A97B63" w:rsidP="002B0AE2">
      <w:pPr>
        <w:pStyle w:val="Quote"/>
        <w:spacing w:before="0" w:after="0" w:line="276" w:lineRule="auto"/>
        <w:ind w:left="1418"/>
      </w:pPr>
      <w:r w:rsidRPr="00A97B63">
        <w:t xml:space="preserve">a review of a sample of files held by the Public Prosecution Service NI showed that where the Police Service NI had passed files to prosecutors, evidence of case building and identification of factors pertinent to child sexual exploitation was at times good. However, the Public Prosecution Service NI needed to better support prosecutors to reflect how factors related to exploitation and grooming had been weighted in decisions. Myths and stereotypes including about children having ‘demonstrated affection’ required to be addressed in the planning of cases. Public Prosecution Service NI staff </w:t>
      </w:r>
      <w:r w:rsidRPr="00A97B63">
        <w:lastRenderedPageBreak/>
        <w:t>instructions specific to child sexual abuse and exploitation were needed.</w:t>
      </w:r>
      <w:r w:rsidR="0037287D">
        <w:rPr>
          <w:rStyle w:val="FootnoteReference"/>
        </w:rPr>
        <w:footnoteReference w:id="51"/>
      </w:r>
      <w:r w:rsidRPr="00A97B63">
        <w:t xml:space="preserve"> </w:t>
      </w:r>
    </w:p>
    <w:p w14:paraId="08CA1667" w14:textId="77777777" w:rsidR="005A004C" w:rsidRPr="005A004C" w:rsidRDefault="005A004C" w:rsidP="002B0AE2">
      <w:pPr>
        <w:spacing w:line="276" w:lineRule="auto"/>
      </w:pPr>
    </w:p>
    <w:p w14:paraId="4BCA319A" w14:textId="754F0EAE" w:rsidR="00A97B63" w:rsidRDefault="00373958" w:rsidP="002B0AE2">
      <w:pPr>
        <w:pStyle w:val="Quote"/>
        <w:numPr>
          <w:ilvl w:val="1"/>
          <w:numId w:val="12"/>
        </w:numPr>
        <w:spacing w:before="0" w:after="0" w:line="276" w:lineRule="auto"/>
      </w:pPr>
      <w:r>
        <w:t xml:space="preserve">The report further found that </w:t>
      </w:r>
      <w:r w:rsidR="00A97B63" w:rsidRPr="00A97B63">
        <w:t xml:space="preserve">where cases did progress to court, </w:t>
      </w:r>
      <w:r w:rsidR="00AC5798">
        <w:t xml:space="preserve">further </w:t>
      </w:r>
      <w:r w:rsidR="00A97B63" w:rsidRPr="00A97B63">
        <w:t>su</w:t>
      </w:r>
      <w:r>
        <w:t xml:space="preserve">pport for children was required and that </w:t>
      </w:r>
      <w:r w:rsidR="00A97B63" w:rsidRPr="00A97B63">
        <w:t>consideration should be given to the Gillen Review recommendations.</w:t>
      </w:r>
      <w:r>
        <w:rPr>
          <w:rStyle w:val="FootnoteReference"/>
        </w:rPr>
        <w:footnoteReference w:id="52"/>
      </w:r>
      <w:r w:rsidR="002173D3">
        <w:t xml:space="preserve"> </w:t>
      </w:r>
      <w:r>
        <w:t>The report highlighted t</w:t>
      </w:r>
      <w:r w:rsidR="00A97B63" w:rsidRPr="00A97B63">
        <w:t>hat:</w:t>
      </w:r>
    </w:p>
    <w:p w14:paraId="26DDC607" w14:textId="77777777" w:rsidR="005A004C" w:rsidRPr="005A004C" w:rsidRDefault="005A004C" w:rsidP="002B0AE2">
      <w:pPr>
        <w:spacing w:line="276" w:lineRule="auto"/>
      </w:pPr>
    </w:p>
    <w:p w14:paraId="2502AF4B" w14:textId="77777777" w:rsidR="00A97B63" w:rsidRDefault="00A97B63" w:rsidP="002B0AE2">
      <w:pPr>
        <w:pStyle w:val="Quote"/>
        <w:spacing w:before="0" w:after="0" w:line="276" w:lineRule="auto"/>
        <w:ind w:left="1418"/>
      </w:pPr>
      <w:r w:rsidRPr="00A97B63">
        <w:t>within the Public Prosecution Service NI and the NI Courts and Tribunals Service, a tailored child safeguarding procedure to enhance internal governance and direction on this, including the considerations that the Equal Treatment Bench Book outlined, would be of benefit.</w:t>
      </w:r>
      <w:r w:rsidR="001B676F">
        <w:rPr>
          <w:rStyle w:val="FootnoteReference"/>
        </w:rPr>
        <w:footnoteReference w:id="53"/>
      </w:r>
      <w:r w:rsidRPr="00A97B63">
        <w:t xml:space="preserve"> </w:t>
      </w:r>
    </w:p>
    <w:p w14:paraId="730BA549" w14:textId="77777777" w:rsidR="003B6F77" w:rsidRDefault="003B6F77" w:rsidP="002B0AE2">
      <w:pPr>
        <w:spacing w:line="276" w:lineRule="auto"/>
      </w:pPr>
    </w:p>
    <w:p w14:paraId="20D0E7F1" w14:textId="77777777" w:rsidR="003B6F77" w:rsidRPr="00D61475" w:rsidRDefault="003B6F77" w:rsidP="002B0AE2">
      <w:pPr>
        <w:pStyle w:val="ListParagraph"/>
        <w:numPr>
          <w:ilvl w:val="1"/>
          <w:numId w:val="12"/>
        </w:numPr>
        <w:spacing w:line="276" w:lineRule="auto"/>
      </w:pPr>
      <w:r w:rsidRPr="003B6F77">
        <w:rPr>
          <w:rFonts w:ascii="Verdana" w:hAnsi="Verdana"/>
        </w:rPr>
        <w:t>The Criminal Justice Inspection NI report also highlighted that t</w:t>
      </w:r>
      <w:r>
        <w:rPr>
          <w:rFonts w:ascii="Verdana" w:hAnsi="Verdana"/>
        </w:rPr>
        <w:t xml:space="preserve">he Barnahus </w:t>
      </w:r>
      <w:r w:rsidRPr="003B6F77">
        <w:rPr>
          <w:rFonts w:ascii="Verdana" w:hAnsi="Verdana"/>
        </w:rPr>
        <w:t>(children’s house) model was proposed as the preferred approach</w:t>
      </w:r>
      <w:r>
        <w:rPr>
          <w:rFonts w:ascii="Verdana" w:hAnsi="Verdana"/>
        </w:rPr>
        <w:t xml:space="preserve"> for children subjected to sexual violence. </w:t>
      </w:r>
      <w:r w:rsidRPr="003B6F77">
        <w:rPr>
          <w:rFonts w:ascii="Verdana" w:hAnsi="Verdana"/>
        </w:rPr>
        <w:t>This is essential if we want to ensure our justice system meets the needs of child victims, reduces the risk of re-traumatisation and improves the fairness and quality of justice for all involved.</w:t>
      </w:r>
    </w:p>
    <w:p w14:paraId="095EDD4C" w14:textId="77777777" w:rsidR="00AB3268" w:rsidRPr="00AB3268" w:rsidRDefault="00AB3268" w:rsidP="002B0AE2">
      <w:pPr>
        <w:pStyle w:val="ListParagraph"/>
        <w:spacing w:line="276" w:lineRule="auto"/>
        <w:rPr>
          <w:rFonts w:ascii="Verdana" w:hAnsi="Verdana"/>
        </w:rPr>
      </w:pPr>
    </w:p>
    <w:p w14:paraId="175C70CC" w14:textId="77777777" w:rsidR="00DF0EFB" w:rsidRPr="00DF0EFB" w:rsidRDefault="00AB3268" w:rsidP="002B0AE2">
      <w:pPr>
        <w:pStyle w:val="ListParagraph"/>
        <w:numPr>
          <w:ilvl w:val="1"/>
          <w:numId w:val="12"/>
        </w:numPr>
        <w:spacing w:line="276" w:lineRule="auto"/>
        <w:rPr>
          <w:rFonts w:ascii="Verdana" w:hAnsi="Verdana"/>
        </w:rPr>
      </w:pPr>
      <w:r w:rsidRPr="00DF0EFB">
        <w:rPr>
          <w:rFonts w:ascii="Verdana" w:hAnsi="Verdana"/>
          <w:b/>
        </w:rPr>
        <w:t>The NIHRC</w:t>
      </w:r>
      <w:r w:rsidR="005A004C" w:rsidRPr="00DF0EFB">
        <w:rPr>
          <w:rFonts w:ascii="Verdana" w:hAnsi="Verdana"/>
          <w:b/>
        </w:rPr>
        <w:t xml:space="preserve"> recommends </w:t>
      </w:r>
      <w:r w:rsidRPr="00DF0EFB">
        <w:rPr>
          <w:rFonts w:ascii="Verdana" w:hAnsi="Verdana"/>
          <w:b/>
        </w:rPr>
        <w:t>that the Committee ensures that all recommendations of the review of the law on child sexual exploitation are implemented</w:t>
      </w:r>
      <w:r w:rsidR="00900764">
        <w:rPr>
          <w:rFonts w:ascii="Verdana" w:hAnsi="Verdana"/>
          <w:b/>
        </w:rPr>
        <w:t>, a</w:t>
      </w:r>
      <w:r w:rsidRPr="00DF0EFB">
        <w:rPr>
          <w:rFonts w:ascii="Verdana" w:hAnsi="Verdana"/>
          <w:b/>
        </w:rPr>
        <w:t xml:space="preserve">s well as recommendations of the Criminal Justice Inspectorate </w:t>
      </w:r>
      <w:r w:rsidR="00DF0EFB">
        <w:rPr>
          <w:rFonts w:ascii="Verdana" w:hAnsi="Verdana"/>
          <w:b/>
        </w:rPr>
        <w:t>NI report into child exploitation in NI</w:t>
      </w:r>
      <w:r w:rsidR="003B6F77">
        <w:rPr>
          <w:rFonts w:ascii="Verdana" w:hAnsi="Verdana"/>
          <w:b/>
        </w:rPr>
        <w:t xml:space="preserve">, including </w:t>
      </w:r>
      <w:r w:rsidR="003B6F77" w:rsidRPr="003B6F77">
        <w:rPr>
          <w:rFonts w:ascii="Verdana" w:hAnsi="Verdana"/>
          <w:b/>
        </w:rPr>
        <w:t>develop</w:t>
      </w:r>
      <w:r w:rsidR="003B6F77">
        <w:rPr>
          <w:rFonts w:ascii="Verdana" w:hAnsi="Verdana"/>
          <w:b/>
        </w:rPr>
        <w:t>ing</w:t>
      </w:r>
      <w:r w:rsidR="003B6F77" w:rsidRPr="003B6F77">
        <w:rPr>
          <w:rFonts w:ascii="Verdana" w:hAnsi="Verdana"/>
          <w:b/>
        </w:rPr>
        <w:t xml:space="preserve"> an approach modelled on Barnahus for child subjected to sexual violence.</w:t>
      </w:r>
    </w:p>
    <w:p w14:paraId="506000D3" w14:textId="77777777" w:rsidR="00DF0EFB" w:rsidRPr="00DF0EFB" w:rsidRDefault="00DF0EFB" w:rsidP="002B0AE2">
      <w:pPr>
        <w:pStyle w:val="ListParagraph"/>
        <w:spacing w:line="276" w:lineRule="auto"/>
        <w:rPr>
          <w:rFonts w:ascii="Verdana" w:hAnsi="Verdana"/>
        </w:rPr>
      </w:pPr>
    </w:p>
    <w:p w14:paraId="0E0C79C5" w14:textId="77777777" w:rsidR="00467AD8" w:rsidRPr="00467AD8" w:rsidRDefault="00467AD8" w:rsidP="002B0AE2">
      <w:pPr>
        <w:pStyle w:val="Heading2"/>
        <w:spacing w:before="0" w:line="276" w:lineRule="auto"/>
      </w:pPr>
      <w:bookmarkStart w:id="7" w:name="_Toc83380409"/>
      <w:r w:rsidRPr="00467AD8">
        <w:t>Gillen Review Recommendations</w:t>
      </w:r>
      <w:bookmarkEnd w:id="7"/>
    </w:p>
    <w:p w14:paraId="0FA82940" w14:textId="77777777" w:rsidR="00467AD8" w:rsidRPr="00467AD8" w:rsidRDefault="00467AD8" w:rsidP="002B0AE2">
      <w:pPr>
        <w:spacing w:line="276" w:lineRule="auto"/>
        <w:rPr>
          <w:rFonts w:ascii="Verdana" w:hAnsi="Verdana"/>
        </w:rPr>
      </w:pPr>
    </w:p>
    <w:p w14:paraId="414335F2" w14:textId="369925A9" w:rsidR="00AA2A88" w:rsidRPr="00D01D49" w:rsidRDefault="00467AD8" w:rsidP="002B0AE2">
      <w:pPr>
        <w:pStyle w:val="ListParagraph"/>
        <w:numPr>
          <w:ilvl w:val="1"/>
          <w:numId w:val="12"/>
        </w:numPr>
        <w:spacing w:line="276" w:lineRule="auto"/>
        <w:rPr>
          <w:rFonts w:ascii="Verdana" w:hAnsi="Verdana"/>
        </w:rPr>
      </w:pPr>
      <w:r w:rsidRPr="00CE0968">
        <w:rPr>
          <w:rFonts w:ascii="Verdana" w:hAnsi="Verdana"/>
        </w:rPr>
        <w:t xml:space="preserve">The </w:t>
      </w:r>
      <w:r w:rsidR="00E86670">
        <w:rPr>
          <w:rFonts w:ascii="Verdana" w:hAnsi="Verdana"/>
        </w:rPr>
        <w:t xml:space="preserve">Commission </w:t>
      </w:r>
      <w:r w:rsidRPr="00CE0968">
        <w:rPr>
          <w:rFonts w:ascii="Verdana" w:hAnsi="Verdana"/>
        </w:rPr>
        <w:t xml:space="preserve">welcomes </w:t>
      </w:r>
      <w:r w:rsidR="005A004C" w:rsidRPr="00CE0968">
        <w:rPr>
          <w:rFonts w:ascii="Verdana" w:hAnsi="Verdana"/>
        </w:rPr>
        <w:t>p</w:t>
      </w:r>
      <w:r w:rsidRPr="00CE0968">
        <w:rPr>
          <w:rFonts w:ascii="Verdana" w:hAnsi="Verdana"/>
        </w:rPr>
        <w:t xml:space="preserve">rovisions </w:t>
      </w:r>
      <w:r w:rsidR="005A004C" w:rsidRPr="00CE0968">
        <w:rPr>
          <w:rFonts w:ascii="Verdana" w:hAnsi="Verdana"/>
        </w:rPr>
        <w:t xml:space="preserve">within the draft Bill which introduce </w:t>
      </w:r>
      <w:r w:rsidR="00CE0968">
        <w:rPr>
          <w:rFonts w:ascii="Verdana" w:hAnsi="Verdana"/>
        </w:rPr>
        <w:t xml:space="preserve">a number of </w:t>
      </w:r>
      <w:r w:rsidR="005A004C" w:rsidRPr="00CE0968">
        <w:rPr>
          <w:rFonts w:ascii="Verdana" w:hAnsi="Verdana"/>
        </w:rPr>
        <w:t xml:space="preserve">recommendations </w:t>
      </w:r>
      <w:r w:rsidRPr="00CE0968">
        <w:rPr>
          <w:rFonts w:ascii="Verdana" w:hAnsi="Verdana"/>
        </w:rPr>
        <w:t xml:space="preserve">arising from the Gillen Review </w:t>
      </w:r>
      <w:r w:rsidR="00F238DF" w:rsidRPr="00D01D49">
        <w:rPr>
          <w:rFonts w:ascii="Verdana" w:hAnsi="Verdana"/>
        </w:rPr>
        <w:t xml:space="preserve">into the law and procedures in serious sexual offences in </w:t>
      </w:r>
      <w:r w:rsidR="00F238DF">
        <w:rPr>
          <w:rFonts w:ascii="Verdana" w:hAnsi="Verdana"/>
        </w:rPr>
        <w:t>N</w:t>
      </w:r>
      <w:r w:rsidR="00AC5798">
        <w:rPr>
          <w:rFonts w:ascii="Verdana" w:hAnsi="Verdana"/>
        </w:rPr>
        <w:t xml:space="preserve">orthern </w:t>
      </w:r>
      <w:r w:rsidR="00F238DF">
        <w:rPr>
          <w:rFonts w:ascii="Verdana" w:hAnsi="Verdana"/>
        </w:rPr>
        <w:t>I</w:t>
      </w:r>
      <w:r w:rsidR="00AC5798">
        <w:rPr>
          <w:rFonts w:ascii="Verdana" w:hAnsi="Verdana"/>
        </w:rPr>
        <w:t>reland</w:t>
      </w:r>
      <w:r w:rsidR="006E2F1E">
        <w:rPr>
          <w:rFonts w:ascii="Verdana" w:hAnsi="Verdana"/>
        </w:rPr>
        <w:t xml:space="preserve">, </w:t>
      </w:r>
      <w:r w:rsidR="00CE0968">
        <w:rPr>
          <w:rFonts w:ascii="Verdana" w:hAnsi="Verdana"/>
        </w:rPr>
        <w:t>including</w:t>
      </w:r>
      <w:r w:rsidR="00CE0968" w:rsidRPr="00CE0968">
        <w:rPr>
          <w:rFonts w:ascii="Verdana" w:hAnsi="Verdana"/>
        </w:rPr>
        <w:t xml:space="preserve"> </w:t>
      </w:r>
      <w:r w:rsidR="00CE0968">
        <w:rPr>
          <w:rFonts w:ascii="Verdana" w:hAnsi="Verdana"/>
        </w:rPr>
        <w:t>introducing</w:t>
      </w:r>
      <w:r w:rsidR="00CE0968" w:rsidRPr="00CE0968">
        <w:rPr>
          <w:rFonts w:ascii="Verdana" w:hAnsi="Verdana"/>
        </w:rPr>
        <w:t xml:space="preserve"> anonymity for defendants pre-charge.</w:t>
      </w:r>
      <w:r w:rsidR="00CE0968">
        <w:rPr>
          <w:rFonts w:ascii="Verdana" w:hAnsi="Verdana"/>
        </w:rPr>
        <w:t xml:space="preserve"> </w:t>
      </w:r>
      <w:r w:rsidR="00E86670">
        <w:rPr>
          <w:rFonts w:ascii="Verdana" w:hAnsi="Verdana"/>
        </w:rPr>
        <w:t xml:space="preserve">However, a significant number of the Gillen Review recommendations </w:t>
      </w:r>
      <w:r w:rsidR="00AC5798">
        <w:rPr>
          <w:rFonts w:ascii="Verdana" w:hAnsi="Verdana"/>
        </w:rPr>
        <w:t xml:space="preserve">have not yet been introduced. Therefore, </w:t>
      </w:r>
      <w:r w:rsidR="00607881">
        <w:rPr>
          <w:rFonts w:ascii="Verdana" w:hAnsi="Verdana"/>
        </w:rPr>
        <w:t>consideration of all recommendations is r</w:t>
      </w:r>
      <w:r w:rsidR="00E86670">
        <w:rPr>
          <w:rFonts w:ascii="Verdana" w:hAnsi="Verdana"/>
        </w:rPr>
        <w:t xml:space="preserve">equired in </w:t>
      </w:r>
      <w:r w:rsidR="00E86670">
        <w:rPr>
          <w:rFonts w:ascii="Verdana" w:hAnsi="Verdana"/>
        </w:rPr>
        <w:lastRenderedPageBreak/>
        <w:t xml:space="preserve">order to fully address the highlighted inadequacies of the current legislative framework and processes.  </w:t>
      </w:r>
    </w:p>
    <w:p w14:paraId="4A795982" w14:textId="77777777" w:rsidR="0070351E" w:rsidRPr="0070351E" w:rsidRDefault="0070351E" w:rsidP="002B0AE2">
      <w:pPr>
        <w:pStyle w:val="ListParagraph"/>
        <w:spacing w:line="276" w:lineRule="auto"/>
        <w:rPr>
          <w:rFonts w:ascii="Verdana" w:hAnsi="Verdana"/>
        </w:rPr>
      </w:pPr>
    </w:p>
    <w:p w14:paraId="2C6BACD7" w14:textId="4B8D415C" w:rsidR="0070351E" w:rsidRPr="0070351E" w:rsidRDefault="0070351E" w:rsidP="002B0AE2">
      <w:pPr>
        <w:pStyle w:val="ListParagraph"/>
        <w:numPr>
          <w:ilvl w:val="1"/>
          <w:numId w:val="12"/>
        </w:numPr>
        <w:spacing w:line="276" w:lineRule="auto"/>
        <w:rPr>
          <w:rFonts w:ascii="Verdana" w:hAnsi="Verdana"/>
        </w:rPr>
      </w:pPr>
      <w:r w:rsidRPr="0070351E">
        <w:rPr>
          <w:rFonts w:ascii="Verdana" w:hAnsi="Verdana"/>
        </w:rPr>
        <w:t xml:space="preserve">The Commission recognises that </w:t>
      </w:r>
      <w:r w:rsidR="00AC5798">
        <w:rPr>
          <w:rFonts w:ascii="Verdana" w:hAnsi="Verdana"/>
        </w:rPr>
        <w:t>C</w:t>
      </w:r>
      <w:r w:rsidRPr="0070351E">
        <w:rPr>
          <w:rFonts w:ascii="Verdana" w:hAnsi="Verdana"/>
        </w:rPr>
        <w:t xml:space="preserve">hapter </w:t>
      </w:r>
      <w:r w:rsidR="00AC5798">
        <w:rPr>
          <w:rFonts w:ascii="Verdana" w:hAnsi="Verdana"/>
        </w:rPr>
        <w:t>T</w:t>
      </w:r>
      <w:r w:rsidRPr="0070351E">
        <w:rPr>
          <w:rFonts w:ascii="Verdana" w:hAnsi="Verdana"/>
        </w:rPr>
        <w:t xml:space="preserve">hree of the Gillen Review </w:t>
      </w:r>
      <w:r w:rsidR="00AC5798">
        <w:rPr>
          <w:rFonts w:ascii="Verdana" w:hAnsi="Verdana"/>
        </w:rPr>
        <w:t>considers</w:t>
      </w:r>
      <w:r w:rsidR="00AC5798" w:rsidRPr="0070351E">
        <w:rPr>
          <w:rFonts w:ascii="Verdana" w:hAnsi="Verdana"/>
        </w:rPr>
        <w:t xml:space="preserve"> </w:t>
      </w:r>
      <w:r w:rsidRPr="0070351E">
        <w:rPr>
          <w:rFonts w:ascii="Verdana" w:hAnsi="Verdana"/>
        </w:rPr>
        <w:t>restricting access of members of the public to court proceedings</w:t>
      </w:r>
      <w:r w:rsidR="007B2223">
        <w:rPr>
          <w:rFonts w:ascii="Verdana" w:hAnsi="Verdana"/>
        </w:rPr>
        <w:t xml:space="preserve">, and recommends </w:t>
      </w:r>
      <w:r w:rsidR="00E86670">
        <w:rPr>
          <w:rFonts w:ascii="Verdana" w:hAnsi="Verdana"/>
        </w:rPr>
        <w:t xml:space="preserve">the </w:t>
      </w:r>
      <w:r w:rsidRPr="0070351E">
        <w:rPr>
          <w:rFonts w:ascii="Verdana" w:hAnsi="Verdana"/>
        </w:rPr>
        <w:t>exclu</w:t>
      </w:r>
      <w:r w:rsidR="00E86670">
        <w:rPr>
          <w:rFonts w:ascii="Verdana" w:hAnsi="Verdana"/>
        </w:rPr>
        <w:t>sion</w:t>
      </w:r>
      <w:r w:rsidRPr="0070351E">
        <w:rPr>
          <w:rFonts w:ascii="Verdana" w:hAnsi="Verdana"/>
        </w:rPr>
        <w:t xml:space="preserve"> </w:t>
      </w:r>
      <w:r w:rsidR="00AC5798">
        <w:rPr>
          <w:rFonts w:ascii="Verdana" w:hAnsi="Verdana"/>
        </w:rPr>
        <w:t xml:space="preserve">of </w:t>
      </w:r>
      <w:r w:rsidRPr="0070351E">
        <w:rPr>
          <w:rFonts w:ascii="Verdana" w:hAnsi="Verdana"/>
        </w:rPr>
        <w:t>the public from all serious sexual offence hearings, save for</w:t>
      </w:r>
      <w:r w:rsidR="00AC5798">
        <w:rPr>
          <w:rFonts w:ascii="Verdana" w:hAnsi="Verdana"/>
        </w:rPr>
        <w:t>:</w:t>
      </w:r>
      <w:r w:rsidRPr="0070351E">
        <w:rPr>
          <w:rFonts w:ascii="Verdana" w:hAnsi="Verdana"/>
        </w:rPr>
        <w:t xml:space="preserve"> officers of the court</w:t>
      </w:r>
      <w:r w:rsidR="00AC5798">
        <w:rPr>
          <w:rFonts w:ascii="Verdana" w:hAnsi="Verdana"/>
        </w:rPr>
        <w:t>;</w:t>
      </w:r>
      <w:r w:rsidRPr="0070351E">
        <w:rPr>
          <w:rFonts w:ascii="Verdana" w:hAnsi="Verdana"/>
        </w:rPr>
        <w:t xml:space="preserve"> persons connected with </w:t>
      </w:r>
      <w:r w:rsidR="00AC5798">
        <w:rPr>
          <w:rFonts w:ascii="Verdana" w:hAnsi="Verdana"/>
        </w:rPr>
        <w:t xml:space="preserve">the </w:t>
      </w:r>
      <w:r w:rsidRPr="0070351E">
        <w:rPr>
          <w:rFonts w:ascii="Verdana" w:hAnsi="Verdana"/>
        </w:rPr>
        <w:t>proceedings</w:t>
      </w:r>
      <w:r w:rsidR="00AC5798">
        <w:rPr>
          <w:rFonts w:ascii="Verdana" w:hAnsi="Verdana"/>
        </w:rPr>
        <w:t>;</w:t>
      </w:r>
      <w:r w:rsidRPr="0070351E">
        <w:rPr>
          <w:rFonts w:ascii="Verdana" w:hAnsi="Verdana"/>
        </w:rPr>
        <w:t xml:space="preserve"> the press</w:t>
      </w:r>
      <w:r w:rsidR="00AC5798">
        <w:rPr>
          <w:rFonts w:ascii="Verdana" w:hAnsi="Verdana"/>
        </w:rPr>
        <w:t>;</w:t>
      </w:r>
      <w:r w:rsidRPr="0070351E">
        <w:rPr>
          <w:rFonts w:ascii="Verdana" w:hAnsi="Verdana"/>
        </w:rPr>
        <w:t xml:space="preserve"> a parent, relative or friend of the complainant.  Other persons may be permitted </w:t>
      </w:r>
      <w:r w:rsidR="00AC5798">
        <w:rPr>
          <w:rFonts w:ascii="Verdana" w:hAnsi="Verdana"/>
        </w:rPr>
        <w:t xml:space="preserve">access but it is a matter of the </w:t>
      </w:r>
      <w:r w:rsidRPr="0070351E">
        <w:rPr>
          <w:rFonts w:ascii="Verdana" w:hAnsi="Verdana"/>
        </w:rPr>
        <w:t>discretion of the Court.</w:t>
      </w:r>
      <w:r w:rsidRPr="0070351E">
        <w:rPr>
          <w:rStyle w:val="FootnoteReference"/>
          <w:rFonts w:ascii="Verdana" w:hAnsi="Verdana"/>
        </w:rPr>
        <w:footnoteReference w:id="54"/>
      </w:r>
    </w:p>
    <w:p w14:paraId="39D27B10" w14:textId="77777777" w:rsidR="0070351E" w:rsidRPr="0070351E" w:rsidRDefault="0070351E" w:rsidP="002B0AE2">
      <w:pPr>
        <w:pStyle w:val="ListParagraph"/>
        <w:spacing w:line="276" w:lineRule="auto"/>
        <w:rPr>
          <w:rFonts w:ascii="Verdana" w:hAnsi="Verdana"/>
        </w:rPr>
      </w:pPr>
    </w:p>
    <w:p w14:paraId="5AC7EF2D" w14:textId="1302B5F3" w:rsidR="0070351E" w:rsidRPr="0070351E" w:rsidRDefault="0070351E" w:rsidP="002B0AE2">
      <w:pPr>
        <w:pStyle w:val="ListParagraph"/>
        <w:numPr>
          <w:ilvl w:val="1"/>
          <w:numId w:val="12"/>
        </w:numPr>
        <w:spacing w:line="276" w:lineRule="auto"/>
        <w:rPr>
          <w:rFonts w:ascii="Verdana" w:hAnsi="Verdana"/>
        </w:rPr>
      </w:pPr>
      <w:r>
        <w:rPr>
          <w:rFonts w:ascii="Verdana" w:hAnsi="Verdana"/>
        </w:rPr>
        <w:t xml:space="preserve">The Commission </w:t>
      </w:r>
      <w:r w:rsidR="00AC5798">
        <w:rPr>
          <w:rFonts w:ascii="Verdana" w:hAnsi="Verdana"/>
        </w:rPr>
        <w:t xml:space="preserve">understands the recommendation intends to </w:t>
      </w:r>
      <w:r w:rsidRPr="0070351E">
        <w:rPr>
          <w:rFonts w:ascii="Verdana" w:hAnsi="Verdana"/>
        </w:rPr>
        <w:t>protect the anonymity of the complainant</w:t>
      </w:r>
      <w:r w:rsidR="00AC5798">
        <w:rPr>
          <w:rFonts w:ascii="Verdana" w:hAnsi="Verdana"/>
        </w:rPr>
        <w:t xml:space="preserve">. This is </w:t>
      </w:r>
      <w:r w:rsidRPr="0070351E">
        <w:rPr>
          <w:rFonts w:ascii="Verdana" w:hAnsi="Verdana"/>
        </w:rPr>
        <w:t>particular</w:t>
      </w:r>
      <w:r w:rsidR="00AC5798">
        <w:rPr>
          <w:rFonts w:ascii="Verdana" w:hAnsi="Verdana"/>
        </w:rPr>
        <w:t xml:space="preserve">ly relevant in Northern Ireland, which </w:t>
      </w:r>
      <w:r w:rsidRPr="0070351E">
        <w:rPr>
          <w:rFonts w:ascii="Verdana" w:hAnsi="Verdana"/>
        </w:rPr>
        <w:t>is a small jurisdiction.</w:t>
      </w:r>
      <w:r w:rsidRPr="0070351E">
        <w:rPr>
          <w:rStyle w:val="FootnoteReference"/>
          <w:rFonts w:ascii="Verdana" w:hAnsi="Verdana"/>
        </w:rPr>
        <w:footnoteReference w:id="55"/>
      </w:r>
      <w:r w:rsidRPr="0070351E">
        <w:rPr>
          <w:rFonts w:ascii="Verdana" w:hAnsi="Verdana"/>
        </w:rPr>
        <w:t xml:space="preserve"> The NIHRC </w:t>
      </w:r>
      <w:r w:rsidR="00AC5798">
        <w:rPr>
          <w:rFonts w:ascii="Verdana" w:hAnsi="Verdana"/>
        </w:rPr>
        <w:t xml:space="preserve">also </w:t>
      </w:r>
      <w:r w:rsidRPr="0070351E">
        <w:rPr>
          <w:rFonts w:ascii="Verdana" w:hAnsi="Verdana"/>
        </w:rPr>
        <w:t>recognises that domestic law already enables special measures for victims in sexual offences cases, in particular</w:t>
      </w:r>
      <w:r w:rsidR="00C12106">
        <w:rPr>
          <w:rFonts w:ascii="Verdana" w:hAnsi="Verdana"/>
        </w:rPr>
        <w:t xml:space="preserve"> for</w:t>
      </w:r>
      <w:r w:rsidRPr="0070351E">
        <w:rPr>
          <w:rFonts w:ascii="Verdana" w:hAnsi="Verdana"/>
        </w:rPr>
        <w:t xml:space="preserve"> a judge to clear a courtroom when a witness is giving evidence.</w:t>
      </w:r>
      <w:r w:rsidRPr="0070351E">
        <w:rPr>
          <w:rStyle w:val="FootnoteReference"/>
          <w:rFonts w:ascii="Verdana" w:hAnsi="Verdana"/>
        </w:rPr>
        <w:footnoteReference w:id="56"/>
      </w:r>
      <w:r w:rsidRPr="0070351E">
        <w:rPr>
          <w:rFonts w:ascii="Verdana" w:hAnsi="Verdana"/>
        </w:rPr>
        <w:t xml:space="preserve"> The report </w:t>
      </w:r>
      <w:r w:rsidR="00AC5798">
        <w:rPr>
          <w:rFonts w:ascii="Verdana" w:hAnsi="Verdana"/>
        </w:rPr>
        <w:t xml:space="preserve">however </w:t>
      </w:r>
      <w:r w:rsidRPr="0070351E">
        <w:rPr>
          <w:rFonts w:ascii="Verdana" w:hAnsi="Verdana"/>
        </w:rPr>
        <w:t>suggests that the provision to clear the court is rarely invoked, suggesting it is too widely drafted in order to be effective.</w:t>
      </w:r>
      <w:r w:rsidRPr="0070351E">
        <w:rPr>
          <w:rStyle w:val="FootnoteReference"/>
          <w:rFonts w:ascii="Verdana" w:hAnsi="Verdana"/>
        </w:rPr>
        <w:footnoteReference w:id="57"/>
      </w:r>
      <w:r w:rsidRPr="0070351E">
        <w:rPr>
          <w:rFonts w:ascii="Verdana" w:hAnsi="Verdana"/>
        </w:rPr>
        <w:t xml:space="preserve"> The report does not consider how the</w:t>
      </w:r>
      <w:r w:rsidR="00732B72">
        <w:rPr>
          <w:rFonts w:ascii="Verdana" w:hAnsi="Verdana"/>
        </w:rPr>
        <w:t xml:space="preserve"> ability for</w:t>
      </w:r>
      <w:r w:rsidRPr="0070351E">
        <w:rPr>
          <w:rFonts w:ascii="Verdana" w:hAnsi="Verdana"/>
        </w:rPr>
        <w:t xml:space="preserve"> discretion could be </w:t>
      </w:r>
      <w:r w:rsidR="006469CE">
        <w:rPr>
          <w:rFonts w:ascii="Verdana" w:hAnsi="Verdana"/>
        </w:rPr>
        <w:t>clarified</w:t>
      </w:r>
      <w:r w:rsidR="006469CE" w:rsidRPr="0070351E">
        <w:rPr>
          <w:rFonts w:ascii="Verdana" w:hAnsi="Verdana"/>
        </w:rPr>
        <w:t xml:space="preserve"> </w:t>
      </w:r>
      <w:r w:rsidRPr="0070351E">
        <w:rPr>
          <w:rFonts w:ascii="Verdana" w:hAnsi="Verdana"/>
        </w:rPr>
        <w:t xml:space="preserve">to ensure it operates more effectively to allow for consideration on a case-by-case basis of the merits of a closed hearing. </w:t>
      </w:r>
    </w:p>
    <w:p w14:paraId="432F6D6F" w14:textId="77777777" w:rsidR="0070351E" w:rsidRPr="0070351E" w:rsidRDefault="0070351E" w:rsidP="002B0AE2">
      <w:pPr>
        <w:pStyle w:val="ListParagraph"/>
        <w:spacing w:line="276" w:lineRule="auto"/>
        <w:rPr>
          <w:rFonts w:ascii="Verdana" w:hAnsi="Verdana"/>
        </w:rPr>
      </w:pPr>
    </w:p>
    <w:p w14:paraId="0D861E3C" w14:textId="77777777" w:rsidR="0070351E" w:rsidRPr="0070351E" w:rsidRDefault="0070351E" w:rsidP="002B0AE2">
      <w:pPr>
        <w:pStyle w:val="ListParagraph"/>
        <w:numPr>
          <w:ilvl w:val="1"/>
          <w:numId w:val="12"/>
        </w:numPr>
        <w:spacing w:line="276" w:lineRule="auto"/>
        <w:rPr>
          <w:rFonts w:ascii="Verdana" w:hAnsi="Verdana"/>
        </w:rPr>
      </w:pPr>
      <w:r w:rsidRPr="0070351E">
        <w:rPr>
          <w:rFonts w:ascii="Verdana" w:hAnsi="Verdana"/>
        </w:rPr>
        <w:t xml:space="preserve">The right to a fair and public hearing, as enshrined as an element of </w:t>
      </w:r>
      <w:r>
        <w:rPr>
          <w:rFonts w:ascii="Verdana" w:hAnsi="Verdana"/>
        </w:rPr>
        <w:t xml:space="preserve">Article 6 ECHR, </w:t>
      </w:r>
      <w:r w:rsidRPr="0070351E">
        <w:rPr>
          <w:rFonts w:ascii="Verdana" w:hAnsi="Verdana"/>
        </w:rPr>
        <w:t>the right to fair trial</w:t>
      </w:r>
      <w:r w:rsidR="00392189">
        <w:rPr>
          <w:rStyle w:val="FootnoteReference"/>
          <w:rFonts w:ascii="Verdana" w:hAnsi="Verdana"/>
        </w:rPr>
        <w:footnoteReference w:id="58"/>
      </w:r>
      <w:r w:rsidRPr="0070351E">
        <w:rPr>
          <w:rFonts w:ascii="Verdana" w:hAnsi="Verdana"/>
        </w:rPr>
        <w:t>, is recognised as being one of the foundations of a democratic society</w:t>
      </w:r>
      <w:r w:rsidRPr="0070351E">
        <w:rPr>
          <w:rStyle w:val="FootnoteReference"/>
          <w:rFonts w:ascii="Verdana" w:hAnsi="Verdana"/>
        </w:rPr>
        <w:footnoteReference w:id="59"/>
      </w:r>
      <w:r w:rsidRPr="0070351E">
        <w:rPr>
          <w:rFonts w:ascii="Verdana" w:hAnsi="Verdana"/>
        </w:rPr>
        <w:t xml:space="preserve"> and a safeguard of the rule of law</w:t>
      </w:r>
      <w:r w:rsidRPr="0070351E">
        <w:rPr>
          <w:rStyle w:val="FootnoteReference"/>
          <w:rFonts w:ascii="Verdana" w:hAnsi="Verdana"/>
        </w:rPr>
        <w:footnoteReference w:id="60"/>
      </w:r>
      <w:r w:rsidRPr="0070351E">
        <w:rPr>
          <w:rFonts w:ascii="Verdana" w:hAnsi="Verdana"/>
        </w:rPr>
        <w:t>.  The ECtHR has observed “the public character of proceedings protects litigants against the administration of justice in secret with no public scrutiny; it is also one of the means whereby confidence in the courts can be maintained. By rendering the administration of justice visible, publicity contributes to the achievement of the aim of Article 6 § 1, a fair hearing”.</w:t>
      </w:r>
      <w:r w:rsidRPr="0070351E">
        <w:rPr>
          <w:rStyle w:val="FootnoteReference"/>
          <w:rFonts w:ascii="Verdana" w:hAnsi="Verdana"/>
        </w:rPr>
        <w:footnoteReference w:id="61"/>
      </w:r>
    </w:p>
    <w:p w14:paraId="6D428E47" w14:textId="77777777" w:rsidR="0070351E" w:rsidRPr="0070351E" w:rsidRDefault="0070351E" w:rsidP="002B0AE2">
      <w:pPr>
        <w:pStyle w:val="ListParagraph"/>
        <w:spacing w:line="276" w:lineRule="auto"/>
        <w:rPr>
          <w:rFonts w:ascii="Verdana" w:hAnsi="Verdana"/>
        </w:rPr>
      </w:pPr>
    </w:p>
    <w:p w14:paraId="2D59399F" w14:textId="792F8F48" w:rsidR="0070351E" w:rsidRDefault="0070351E" w:rsidP="002B0AE2">
      <w:pPr>
        <w:pStyle w:val="ListParagraph"/>
        <w:numPr>
          <w:ilvl w:val="1"/>
          <w:numId w:val="12"/>
        </w:numPr>
        <w:spacing w:line="276" w:lineRule="auto"/>
        <w:rPr>
          <w:rFonts w:ascii="Verdana" w:hAnsi="Verdana"/>
        </w:rPr>
      </w:pPr>
      <w:r w:rsidRPr="0070351E">
        <w:rPr>
          <w:rFonts w:ascii="Verdana" w:hAnsi="Verdana"/>
        </w:rPr>
        <w:t>The right to a public hearing is not</w:t>
      </w:r>
      <w:r w:rsidR="004F494F">
        <w:rPr>
          <w:rFonts w:ascii="Verdana" w:hAnsi="Verdana"/>
        </w:rPr>
        <w:t>, however,</w:t>
      </w:r>
      <w:r w:rsidRPr="0070351E">
        <w:rPr>
          <w:rFonts w:ascii="Verdana" w:hAnsi="Verdana"/>
        </w:rPr>
        <w:t xml:space="preserve"> absolute. The provisions of the ICCPR and ECHR both permit the exclusion of the press or the public from all or part of a trial, “where the interests of juveniles or the private </w:t>
      </w:r>
      <w:r w:rsidRPr="0070351E">
        <w:rPr>
          <w:rFonts w:ascii="Verdana" w:hAnsi="Verdana"/>
        </w:rPr>
        <w:lastRenderedPageBreak/>
        <w:t>life of the parties so require, or to the extent strictly necessary in the opinion of the court in special circumstances where publicity would prejudice the interests of justice”.</w:t>
      </w:r>
      <w:r w:rsidRPr="0070351E">
        <w:rPr>
          <w:rStyle w:val="FootnoteReference"/>
          <w:rFonts w:ascii="Verdana" w:hAnsi="Verdana"/>
        </w:rPr>
        <w:footnoteReference w:id="62"/>
      </w:r>
      <w:r w:rsidRPr="0070351E">
        <w:rPr>
          <w:rFonts w:ascii="Verdana" w:hAnsi="Verdana"/>
        </w:rPr>
        <w:t xml:space="preserve"> </w:t>
      </w:r>
    </w:p>
    <w:p w14:paraId="53045E1B" w14:textId="77777777" w:rsidR="0070351E" w:rsidRPr="0070351E" w:rsidRDefault="0070351E" w:rsidP="002B0AE2">
      <w:pPr>
        <w:pStyle w:val="ListParagraph"/>
        <w:spacing w:line="276" w:lineRule="auto"/>
        <w:rPr>
          <w:rFonts w:ascii="Verdana" w:hAnsi="Verdana"/>
        </w:rPr>
      </w:pPr>
    </w:p>
    <w:p w14:paraId="699B0760" w14:textId="77777777" w:rsidR="0070351E" w:rsidRDefault="0070351E" w:rsidP="002B0AE2">
      <w:pPr>
        <w:pStyle w:val="ListParagraph"/>
        <w:numPr>
          <w:ilvl w:val="1"/>
          <w:numId w:val="12"/>
        </w:numPr>
        <w:spacing w:line="276" w:lineRule="auto"/>
        <w:rPr>
          <w:rFonts w:ascii="Verdana" w:hAnsi="Verdana"/>
        </w:rPr>
      </w:pPr>
      <w:r w:rsidRPr="0070351E">
        <w:rPr>
          <w:rFonts w:ascii="Verdana" w:hAnsi="Verdana"/>
        </w:rPr>
        <w:t>However, even where there is a high ex</w:t>
      </w:r>
      <w:r w:rsidR="0051014E">
        <w:rPr>
          <w:rFonts w:ascii="Verdana" w:hAnsi="Verdana"/>
        </w:rPr>
        <w:t>pectation of publicity, the ECt</w:t>
      </w:r>
      <w:r w:rsidRPr="0070351E">
        <w:rPr>
          <w:rFonts w:ascii="Verdana" w:hAnsi="Verdana"/>
        </w:rPr>
        <w:t>HR has recognised that it may “on occasion be necessary under Article 6 to limit the open and public nature of proceedings in order, for example, to protect the safety or privacy of witnesses or to promote the free exchange of information and opinion in the pursuit of justice”.</w:t>
      </w:r>
      <w:r w:rsidRPr="0070351E">
        <w:rPr>
          <w:rStyle w:val="FootnoteReference"/>
          <w:rFonts w:ascii="Verdana" w:hAnsi="Verdana"/>
        </w:rPr>
        <w:footnoteReference w:id="63"/>
      </w:r>
      <w:r w:rsidRPr="0070351E">
        <w:rPr>
          <w:rFonts w:ascii="Verdana" w:hAnsi="Verdana"/>
        </w:rPr>
        <w:t xml:space="preserve"> The ECtHR has found a violation of Article 6(1) where the domestic authorities did not provide sufficient reasoning to demonstrate that closure of a court was necessary.</w:t>
      </w:r>
      <w:r w:rsidRPr="0070351E">
        <w:rPr>
          <w:rStyle w:val="FootnoteReference"/>
          <w:rFonts w:ascii="Verdana" w:hAnsi="Verdana"/>
        </w:rPr>
        <w:footnoteReference w:id="64"/>
      </w:r>
    </w:p>
    <w:p w14:paraId="7B76D858" w14:textId="77777777" w:rsidR="0070351E" w:rsidRPr="0070351E" w:rsidRDefault="0070351E" w:rsidP="002B0AE2">
      <w:pPr>
        <w:pStyle w:val="ListParagraph"/>
        <w:spacing w:line="276" w:lineRule="auto"/>
        <w:rPr>
          <w:rFonts w:ascii="Verdana" w:hAnsi="Verdana"/>
        </w:rPr>
      </w:pPr>
    </w:p>
    <w:p w14:paraId="1956AC72" w14:textId="77777777" w:rsidR="00821B4E" w:rsidRPr="00D01D49" w:rsidRDefault="0070351E" w:rsidP="002B0AE2">
      <w:pPr>
        <w:pStyle w:val="ListParagraph"/>
        <w:numPr>
          <w:ilvl w:val="1"/>
          <w:numId w:val="12"/>
        </w:numPr>
        <w:spacing w:line="276" w:lineRule="auto"/>
        <w:rPr>
          <w:rFonts w:ascii="Verdana" w:hAnsi="Verdana"/>
        </w:rPr>
      </w:pPr>
      <w:r w:rsidRPr="00D01D49">
        <w:rPr>
          <w:rFonts w:ascii="Verdana" w:hAnsi="Verdana"/>
        </w:rPr>
        <w:t>Similarly, the ICCPR requires that a hearing be open to the public “apart from exceptional circumstances”.</w:t>
      </w:r>
      <w:r w:rsidRPr="0070351E">
        <w:rPr>
          <w:rStyle w:val="FootnoteReference"/>
          <w:rFonts w:ascii="Verdana" w:hAnsi="Verdana"/>
        </w:rPr>
        <w:footnoteReference w:id="65"/>
      </w:r>
    </w:p>
    <w:p w14:paraId="2D224A49" w14:textId="77777777" w:rsidR="0070351E" w:rsidRPr="00821B4E" w:rsidRDefault="0070351E" w:rsidP="002B0AE2">
      <w:pPr>
        <w:pStyle w:val="ListParagraph"/>
        <w:spacing w:line="276" w:lineRule="auto"/>
        <w:rPr>
          <w:rFonts w:ascii="Verdana" w:hAnsi="Verdana"/>
        </w:rPr>
      </w:pPr>
    </w:p>
    <w:p w14:paraId="1788A731" w14:textId="3CF0F0B8" w:rsidR="0070351E" w:rsidRDefault="00821B4E" w:rsidP="002B0AE2">
      <w:pPr>
        <w:pStyle w:val="ListParagraph"/>
        <w:numPr>
          <w:ilvl w:val="1"/>
          <w:numId w:val="12"/>
        </w:numPr>
        <w:spacing w:line="276" w:lineRule="auto"/>
        <w:rPr>
          <w:rFonts w:ascii="Verdana" w:hAnsi="Verdana"/>
        </w:rPr>
      </w:pPr>
      <w:r w:rsidRPr="00821B4E">
        <w:rPr>
          <w:rFonts w:ascii="Verdana" w:hAnsi="Verdana"/>
        </w:rPr>
        <w:t>Under the Victims’</w:t>
      </w:r>
      <w:r w:rsidR="0070351E" w:rsidRPr="00821B4E">
        <w:rPr>
          <w:rFonts w:ascii="Verdana" w:hAnsi="Verdana"/>
        </w:rPr>
        <w:t xml:space="preserve"> Directive, States are required to conduct an individualised assessment of the victim in order to identify any specific protection needs and to </w:t>
      </w:r>
      <w:r w:rsidR="004F494F">
        <w:rPr>
          <w:rFonts w:ascii="Verdana" w:hAnsi="Verdana"/>
        </w:rPr>
        <w:t>consider whether</w:t>
      </w:r>
      <w:r w:rsidR="0070351E" w:rsidRPr="00821B4E">
        <w:rPr>
          <w:rFonts w:ascii="Verdana" w:hAnsi="Verdana"/>
        </w:rPr>
        <w:t xml:space="preserve"> special measures could be used in the course of proceedings.</w:t>
      </w:r>
      <w:r w:rsidR="0070351E" w:rsidRPr="00821B4E">
        <w:rPr>
          <w:rStyle w:val="FootnoteReference"/>
          <w:rFonts w:ascii="Verdana" w:hAnsi="Verdana"/>
        </w:rPr>
        <w:footnoteReference w:id="66"/>
      </w:r>
      <w:r w:rsidR="0070351E" w:rsidRPr="00821B4E">
        <w:rPr>
          <w:rFonts w:ascii="Verdana" w:hAnsi="Verdana"/>
        </w:rPr>
        <w:t xml:space="preserve"> Such an assessment need</w:t>
      </w:r>
      <w:r w:rsidR="004F494F">
        <w:rPr>
          <w:rFonts w:ascii="Verdana" w:hAnsi="Verdana"/>
        </w:rPr>
        <w:t>s</w:t>
      </w:r>
      <w:r w:rsidR="0070351E" w:rsidRPr="00821B4E">
        <w:rPr>
          <w:rFonts w:ascii="Verdana" w:hAnsi="Verdana"/>
        </w:rPr>
        <w:t xml:space="preserve"> to take into account the personal characteristics of the victim and the nature and circumstances of the crime, with particular attention to those suffering considerable harm or a victim of a crime committed with a discriminatory motive.</w:t>
      </w:r>
      <w:r w:rsidR="0070351E" w:rsidRPr="00821B4E">
        <w:rPr>
          <w:rStyle w:val="FootnoteReference"/>
          <w:rFonts w:ascii="Verdana" w:hAnsi="Verdana"/>
        </w:rPr>
        <w:footnoteReference w:id="67"/>
      </w:r>
      <w:r w:rsidR="0070351E" w:rsidRPr="00821B4E">
        <w:rPr>
          <w:rFonts w:ascii="Verdana" w:hAnsi="Verdana"/>
        </w:rPr>
        <w:t xml:space="preserve"> Following the identification of a specific protection need, the Directive permits a hearing to take place without the presence of the public.</w:t>
      </w:r>
      <w:r w:rsidR="0070351E" w:rsidRPr="00821B4E">
        <w:rPr>
          <w:rStyle w:val="FootnoteReference"/>
          <w:rFonts w:ascii="Verdana" w:hAnsi="Verdana"/>
        </w:rPr>
        <w:footnoteReference w:id="68"/>
      </w:r>
    </w:p>
    <w:p w14:paraId="7082C004" w14:textId="77777777" w:rsidR="001F0B1C" w:rsidRPr="00D01D49" w:rsidRDefault="001F0B1C" w:rsidP="002B0AE2">
      <w:pPr>
        <w:pStyle w:val="ListParagraph"/>
        <w:spacing w:line="276" w:lineRule="auto"/>
        <w:rPr>
          <w:rFonts w:ascii="Verdana" w:hAnsi="Verdana"/>
        </w:rPr>
      </w:pPr>
    </w:p>
    <w:p w14:paraId="630D42A7" w14:textId="77777777" w:rsidR="001F0B1C" w:rsidRDefault="001F0B1C" w:rsidP="002B0AE2">
      <w:pPr>
        <w:pStyle w:val="ListParagraph"/>
        <w:numPr>
          <w:ilvl w:val="1"/>
          <w:numId w:val="12"/>
        </w:numPr>
        <w:spacing w:line="276" w:lineRule="auto"/>
        <w:rPr>
          <w:rFonts w:ascii="Verdana" w:hAnsi="Verdana"/>
        </w:rPr>
      </w:pPr>
      <w:r>
        <w:rPr>
          <w:rFonts w:ascii="Verdana" w:hAnsi="Verdana"/>
        </w:rPr>
        <w:t>T</w:t>
      </w:r>
      <w:r w:rsidRPr="0070351E">
        <w:rPr>
          <w:rFonts w:ascii="Verdana" w:hAnsi="Verdana"/>
        </w:rPr>
        <w:t>he UN CAT Com</w:t>
      </w:r>
      <w:r>
        <w:rPr>
          <w:rFonts w:ascii="Verdana" w:hAnsi="Verdana"/>
        </w:rPr>
        <w:t xml:space="preserve">mittee has also identified the gendered nature of sexual offences, highlighting that “complaint </w:t>
      </w:r>
      <w:r w:rsidRPr="0070351E">
        <w:rPr>
          <w:rFonts w:ascii="Verdana" w:hAnsi="Verdana"/>
        </w:rPr>
        <w:t>mechanisms and investigations require specific positive measures which take into account gender aspects in order to ensure that victims of abuses such as sexual violence and abuse, rape, marital rape, domestic violence, female genital mutilation and trafficking are able to come forward and seek and obtain redress.”</w:t>
      </w:r>
      <w:r w:rsidRPr="0070351E">
        <w:rPr>
          <w:rStyle w:val="FootnoteReference"/>
          <w:rFonts w:ascii="Verdana" w:hAnsi="Verdana"/>
        </w:rPr>
        <w:footnoteReference w:id="69"/>
      </w:r>
    </w:p>
    <w:p w14:paraId="0EC2DB69" w14:textId="77777777" w:rsidR="0070351E" w:rsidRPr="0070351E" w:rsidRDefault="0070351E" w:rsidP="002B0AE2">
      <w:pPr>
        <w:pStyle w:val="ListParagraph"/>
        <w:spacing w:line="276" w:lineRule="auto"/>
        <w:rPr>
          <w:rFonts w:ascii="Verdana" w:hAnsi="Verdana"/>
        </w:rPr>
      </w:pPr>
    </w:p>
    <w:p w14:paraId="6467FD58" w14:textId="77777777" w:rsidR="0070351E" w:rsidRDefault="0070351E" w:rsidP="002B0AE2">
      <w:pPr>
        <w:pStyle w:val="ListParagraph"/>
        <w:numPr>
          <w:ilvl w:val="1"/>
          <w:numId w:val="12"/>
        </w:numPr>
        <w:spacing w:line="276" w:lineRule="auto"/>
        <w:rPr>
          <w:rFonts w:ascii="Verdana" w:hAnsi="Verdana"/>
        </w:rPr>
      </w:pPr>
      <w:r w:rsidRPr="0070351E">
        <w:rPr>
          <w:rFonts w:ascii="Verdana" w:hAnsi="Verdana"/>
        </w:rPr>
        <w:lastRenderedPageBreak/>
        <w:t>In respect of criminal proceedings relating to child victims and witnesses, the Lanzarote Convention provides that the State Party shall ensure “according to the rules provided by its internal law, that: (a) the judge may order the hearing to take place without the presence of the public”.</w:t>
      </w:r>
      <w:r w:rsidRPr="0070351E">
        <w:rPr>
          <w:rStyle w:val="FootnoteReference"/>
          <w:rFonts w:ascii="Verdana" w:hAnsi="Verdana"/>
        </w:rPr>
        <w:footnoteReference w:id="70"/>
      </w:r>
    </w:p>
    <w:p w14:paraId="046F0DA3" w14:textId="77777777" w:rsidR="0070351E" w:rsidRPr="0070351E" w:rsidRDefault="0070351E" w:rsidP="002B0AE2">
      <w:pPr>
        <w:pStyle w:val="ListParagraph"/>
        <w:spacing w:line="276" w:lineRule="auto"/>
        <w:rPr>
          <w:rFonts w:ascii="Verdana" w:hAnsi="Verdana"/>
        </w:rPr>
      </w:pPr>
    </w:p>
    <w:p w14:paraId="336AD293" w14:textId="77777777" w:rsidR="0070351E" w:rsidRDefault="0070351E" w:rsidP="002B0AE2">
      <w:pPr>
        <w:pStyle w:val="ListParagraph"/>
        <w:numPr>
          <w:ilvl w:val="1"/>
          <w:numId w:val="12"/>
        </w:numPr>
        <w:spacing w:line="276" w:lineRule="auto"/>
        <w:rPr>
          <w:rFonts w:ascii="Verdana" w:hAnsi="Verdana"/>
        </w:rPr>
      </w:pPr>
      <w:r w:rsidRPr="0070351E">
        <w:rPr>
          <w:rFonts w:ascii="Verdana" w:hAnsi="Verdana"/>
        </w:rPr>
        <w:t>The Istanbul Convention does not make any similar provision, save for enabling victims to testify “without being present or at least without the presence of the alleged perpetrator, notably through the use of appropriate communication technologies, where available.”</w:t>
      </w:r>
      <w:r w:rsidRPr="0070351E">
        <w:rPr>
          <w:rStyle w:val="FootnoteReference"/>
          <w:rFonts w:ascii="Verdana" w:hAnsi="Verdana"/>
        </w:rPr>
        <w:footnoteReference w:id="71"/>
      </w:r>
    </w:p>
    <w:p w14:paraId="241D1943" w14:textId="77777777" w:rsidR="0070351E" w:rsidRPr="0070351E" w:rsidRDefault="0070351E" w:rsidP="002B0AE2">
      <w:pPr>
        <w:pStyle w:val="ListParagraph"/>
        <w:spacing w:line="276" w:lineRule="auto"/>
        <w:rPr>
          <w:rFonts w:ascii="Verdana" w:hAnsi="Verdana"/>
        </w:rPr>
      </w:pPr>
    </w:p>
    <w:p w14:paraId="0B5EDA3D" w14:textId="77777777" w:rsidR="00B40E49" w:rsidRDefault="0070351E" w:rsidP="002B0AE2">
      <w:pPr>
        <w:pStyle w:val="ListParagraph"/>
        <w:numPr>
          <w:ilvl w:val="1"/>
          <w:numId w:val="12"/>
        </w:numPr>
        <w:spacing w:line="276" w:lineRule="auto"/>
        <w:rPr>
          <w:rFonts w:ascii="Verdana" w:hAnsi="Verdana"/>
        </w:rPr>
      </w:pPr>
      <w:r w:rsidRPr="0070351E">
        <w:rPr>
          <w:rFonts w:ascii="Verdana" w:hAnsi="Verdana"/>
        </w:rPr>
        <w:t xml:space="preserve">The </w:t>
      </w:r>
      <w:r w:rsidR="001F0B1C">
        <w:rPr>
          <w:rFonts w:ascii="Verdana" w:hAnsi="Verdana"/>
        </w:rPr>
        <w:t>Commission</w:t>
      </w:r>
      <w:r w:rsidRPr="0070351E">
        <w:rPr>
          <w:rFonts w:ascii="Verdana" w:hAnsi="Verdana"/>
        </w:rPr>
        <w:t xml:space="preserve"> recognises the requirement</w:t>
      </w:r>
      <w:r w:rsidR="001F0B1C">
        <w:rPr>
          <w:rFonts w:ascii="Verdana" w:hAnsi="Verdana"/>
        </w:rPr>
        <w:t xml:space="preserve"> under human rights law</w:t>
      </w:r>
      <w:r w:rsidRPr="0070351E">
        <w:rPr>
          <w:rFonts w:ascii="Verdana" w:hAnsi="Verdana"/>
        </w:rPr>
        <w:t xml:space="preserve"> to take special measures in order to protect the rights of victims, </w:t>
      </w:r>
      <w:r w:rsidR="001F0B1C">
        <w:rPr>
          <w:rFonts w:ascii="Verdana" w:hAnsi="Verdana"/>
        </w:rPr>
        <w:t>including the use of closed proceedings</w:t>
      </w:r>
      <w:r w:rsidR="003D7286">
        <w:rPr>
          <w:rFonts w:ascii="Verdana" w:hAnsi="Verdana"/>
        </w:rPr>
        <w:t xml:space="preserve"> in relevant situations</w:t>
      </w:r>
      <w:r w:rsidRPr="0070351E">
        <w:rPr>
          <w:rFonts w:ascii="Verdana" w:hAnsi="Verdana"/>
        </w:rPr>
        <w:t xml:space="preserve">. </w:t>
      </w:r>
      <w:r w:rsidR="001F0B1C">
        <w:rPr>
          <w:rFonts w:ascii="Verdana" w:hAnsi="Verdana"/>
        </w:rPr>
        <w:t xml:space="preserve">While it is permissible for </w:t>
      </w:r>
      <w:r w:rsidR="001F0B1C" w:rsidRPr="0070351E">
        <w:rPr>
          <w:rFonts w:ascii="Verdana" w:hAnsi="Verdana"/>
        </w:rPr>
        <w:t>criminal proceedings to be carried out in the absence of the public, in particular regarding child victims</w:t>
      </w:r>
      <w:r w:rsidR="001F0B1C">
        <w:rPr>
          <w:rFonts w:ascii="Verdana" w:hAnsi="Verdana"/>
        </w:rPr>
        <w:t>, this is</w:t>
      </w:r>
      <w:r w:rsidR="001F0B1C" w:rsidRPr="0070351E">
        <w:rPr>
          <w:rFonts w:ascii="Verdana" w:hAnsi="Verdana"/>
        </w:rPr>
        <w:t xml:space="preserve"> considered a special measure, which should be only be used where such a protective need is identified. </w:t>
      </w:r>
      <w:r w:rsidR="001F0B1C">
        <w:rPr>
          <w:rFonts w:ascii="Verdana" w:hAnsi="Verdana"/>
        </w:rPr>
        <w:t xml:space="preserve">This would suggest that the consideration of such a measure should be taken on a case-by-case basis, taking account of the individual circumstances of the case. </w:t>
      </w:r>
    </w:p>
    <w:p w14:paraId="50E700CB" w14:textId="77777777" w:rsidR="00B40E49" w:rsidRPr="000A4066" w:rsidRDefault="00B40E49" w:rsidP="002B0AE2">
      <w:pPr>
        <w:pStyle w:val="ListParagraph"/>
        <w:spacing w:line="276" w:lineRule="auto"/>
        <w:rPr>
          <w:rFonts w:ascii="Verdana" w:hAnsi="Verdana"/>
        </w:rPr>
      </w:pPr>
    </w:p>
    <w:p w14:paraId="49165326" w14:textId="77777777" w:rsidR="000A4066" w:rsidRDefault="00D01D49" w:rsidP="002B0AE2">
      <w:pPr>
        <w:pStyle w:val="ListParagraph"/>
        <w:numPr>
          <w:ilvl w:val="1"/>
          <w:numId w:val="12"/>
        </w:numPr>
        <w:spacing w:line="276" w:lineRule="auto"/>
        <w:rPr>
          <w:rFonts w:ascii="Verdana" w:hAnsi="Verdana"/>
        </w:rPr>
      </w:pPr>
      <w:r w:rsidRPr="00B40E49">
        <w:rPr>
          <w:rFonts w:ascii="Verdana" w:hAnsi="Verdana"/>
        </w:rPr>
        <w:t>The Victims’ Directive provides that Member States should ensure that officials who are likely to come into contact with victims should receive “both general and specialist training to a level appropriate to their contact with victims”.</w:t>
      </w:r>
      <w:r w:rsidRPr="00821B4E">
        <w:rPr>
          <w:rStyle w:val="FootnoteReference"/>
          <w:rFonts w:ascii="Verdana" w:hAnsi="Verdana"/>
        </w:rPr>
        <w:footnoteReference w:id="72"/>
      </w:r>
      <w:r w:rsidRPr="00B40E49">
        <w:rPr>
          <w:rFonts w:ascii="Verdana" w:hAnsi="Verdana"/>
        </w:rPr>
        <w:t xml:space="preserve"> The Directive specifies that this training should include police officers, court officials, judges and prosecutors involved in criminal proceedings and legal practitioners.</w:t>
      </w:r>
      <w:r w:rsidRPr="00821B4E">
        <w:rPr>
          <w:rStyle w:val="FootnoteReference"/>
          <w:rFonts w:ascii="Verdana" w:hAnsi="Verdana"/>
        </w:rPr>
        <w:footnoteReference w:id="73"/>
      </w:r>
      <w:r w:rsidRPr="00B40E49">
        <w:rPr>
          <w:rFonts w:ascii="Verdana" w:hAnsi="Verdana"/>
        </w:rPr>
        <w:t xml:space="preserve"> The Gillen Review has reflected the duty on the state to provide general and specialist training to officials in line with the Victim’s Directive in its recommendations.</w:t>
      </w:r>
      <w:r w:rsidRPr="00821B4E">
        <w:rPr>
          <w:rStyle w:val="FootnoteReference"/>
          <w:rFonts w:ascii="Verdana" w:hAnsi="Verdana"/>
        </w:rPr>
        <w:footnoteReference w:id="74"/>
      </w:r>
    </w:p>
    <w:p w14:paraId="7880A5C1" w14:textId="77777777" w:rsidR="000A4066" w:rsidRPr="000A4066" w:rsidRDefault="000A4066" w:rsidP="002B0AE2">
      <w:pPr>
        <w:pStyle w:val="ListParagraph"/>
        <w:spacing w:line="276" w:lineRule="auto"/>
        <w:rPr>
          <w:rFonts w:ascii="Verdana" w:hAnsi="Verdana"/>
          <w:b/>
        </w:rPr>
      </w:pPr>
    </w:p>
    <w:p w14:paraId="7A63CBDB" w14:textId="77777777" w:rsidR="000A4066" w:rsidRPr="000A4066" w:rsidRDefault="00CE0968" w:rsidP="002B0AE2">
      <w:pPr>
        <w:pStyle w:val="ListParagraph"/>
        <w:numPr>
          <w:ilvl w:val="1"/>
          <w:numId w:val="12"/>
        </w:numPr>
        <w:spacing w:line="276" w:lineRule="auto"/>
        <w:rPr>
          <w:rFonts w:ascii="Verdana" w:hAnsi="Verdana"/>
        </w:rPr>
      </w:pPr>
      <w:r w:rsidRPr="000A4066">
        <w:rPr>
          <w:rFonts w:ascii="Verdana" w:hAnsi="Verdana"/>
          <w:b/>
        </w:rPr>
        <w:t>The NIHRC recommend</w:t>
      </w:r>
      <w:r w:rsidR="007A2E3A" w:rsidRPr="000A4066">
        <w:rPr>
          <w:rFonts w:ascii="Verdana" w:hAnsi="Verdana"/>
          <w:b/>
        </w:rPr>
        <w:t>s</w:t>
      </w:r>
      <w:r w:rsidRPr="000A4066">
        <w:rPr>
          <w:rFonts w:ascii="Verdana" w:hAnsi="Verdana"/>
          <w:b/>
        </w:rPr>
        <w:t xml:space="preserve"> the Committee </w:t>
      </w:r>
      <w:r w:rsidR="00DC3AD2" w:rsidRPr="000A4066">
        <w:rPr>
          <w:rFonts w:ascii="Verdana" w:hAnsi="Verdana"/>
          <w:b/>
        </w:rPr>
        <w:t>re</w:t>
      </w:r>
      <w:r w:rsidRPr="000A4066">
        <w:rPr>
          <w:rFonts w:ascii="Verdana" w:hAnsi="Verdana"/>
          <w:b/>
        </w:rPr>
        <w:t xml:space="preserve">consider </w:t>
      </w:r>
      <w:r w:rsidR="0070351E" w:rsidRPr="000A4066">
        <w:rPr>
          <w:rFonts w:ascii="Verdana" w:hAnsi="Verdana"/>
          <w:b/>
        </w:rPr>
        <w:t xml:space="preserve">the </w:t>
      </w:r>
      <w:r w:rsidR="002173D3">
        <w:rPr>
          <w:rFonts w:ascii="Verdana" w:hAnsi="Verdana"/>
          <w:b/>
        </w:rPr>
        <w:t xml:space="preserve">proposed </w:t>
      </w:r>
      <w:r w:rsidR="0070351E" w:rsidRPr="000A4066">
        <w:rPr>
          <w:rFonts w:ascii="Verdana" w:hAnsi="Verdana"/>
          <w:b/>
        </w:rPr>
        <w:t>blanket approach to exclusion of the public from particular forms of criminal trials, rather than a case-by-case consideration of the merit of a closed hearing. The Commission</w:t>
      </w:r>
      <w:r w:rsidR="0051014E" w:rsidRPr="000A4066">
        <w:rPr>
          <w:rFonts w:ascii="Verdana" w:hAnsi="Verdana"/>
          <w:b/>
        </w:rPr>
        <w:t xml:space="preserve"> recommends that the Committee</w:t>
      </w:r>
      <w:r w:rsidR="0070351E" w:rsidRPr="000A4066">
        <w:rPr>
          <w:rFonts w:ascii="Verdana" w:hAnsi="Verdana"/>
          <w:b/>
        </w:rPr>
        <w:t xml:space="preserve"> </w:t>
      </w:r>
      <w:r w:rsidR="00392189">
        <w:rPr>
          <w:rFonts w:ascii="Verdana" w:hAnsi="Verdana"/>
          <w:b/>
        </w:rPr>
        <w:t>consider</w:t>
      </w:r>
      <w:r w:rsidR="0070351E" w:rsidRPr="000A4066">
        <w:rPr>
          <w:rFonts w:ascii="Verdana" w:hAnsi="Verdana"/>
          <w:b/>
        </w:rPr>
        <w:t xml:space="preserve"> </w:t>
      </w:r>
      <w:r w:rsidR="00392189">
        <w:rPr>
          <w:rFonts w:ascii="Verdana" w:hAnsi="Verdana"/>
          <w:b/>
        </w:rPr>
        <w:t xml:space="preserve">the adoption of </w:t>
      </w:r>
      <w:r w:rsidR="0070351E" w:rsidRPr="000A4066">
        <w:rPr>
          <w:rFonts w:ascii="Verdana" w:hAnsi="Verdana"/>
          <w:b/>
        </w:rPr>
        <w:t xml:space="preserve">an individualised approach within a structured framework, </w:t>
      </w:r>
      <w:r w:rsidR="002173D3">
        <w:rPr>
          <w:rFonts w:ascii="Verdana" w:hAnsi="Verdana"/>
          <w:b/>
        </w:rPr>
        <w:t>which could include a judicial decision</w:t>
      </w:r>
      <w:r w:rsidR="0070351E" w:rsidRPr="000A4066">
        <w:rPr>
          <w:rFonts w:ascii="Verdana" w:hAnsi="Verdana"/>
          <w:b/>
        </w:rPr>
        <w:t xml:space="preserve"> at the commencement of the trial</w:t>
      </w:r>
      <w:r w:rsidR="00392189">
        <w:rPr>
          <w:rFonts w:ascii="Verdana" w:hAnsi="Verdana"/>
          <w:b/>
        </w:rPr>
        <w:t>.</w:t>
      </w:r>
      <w:r w:rsidR="0070351E" w:rsidRPr="000A4066">
        <w:rPr>
          <w:rFonts w:ascii="Verdana" w:hAnsi="Verdana"/>
          <w:b/>
        </w:rPr>
        <w:t xml:space="preserve"> </w:t>
      </w:r>
      <w:r w:rsidR="001217BB" w:rsidRPr="000A4066">
        <w:rPr>
          <w:rFonts w:ascii="Verdana" w:hAnsi="Verdana"/>
          <w:b/>
        </w:rPr>
        <w:t xml:space="preserve">This should be </w:t>
      </w:r>
      <w:r w:rsidR="001217BB" w:rsidRPr="000A4066">
        <w:rPr>
          <w:rFonts w:ascii="Verdana" w:hAnsi="Verdana"/>
          <w:b/>
        </w:rPr>
        <w:lastRenderedPageBreak/>
        <w:t xml:space="preserve">accompanied by </w:t>
      </w:r>
      <w:r w:rsidR="002159A6" w:rsidRPr="000A4066">
        <w:rPr>
          <w:rFonts w:ascii="Verdana" w:hAnsi="Verdana"/>
          <w:b/>
        </w:rPr>
        <w:t xml:space="preserve">training for the judiciary on trauma-informed approaches and secondary victimisation. </w:t>
      </w:r>
    </w:p>
    <w:p w14:paraId="61907C61" w14:textId="77777777" w:rsidR="000A4066" w:rsidRPr="000A4066" w:rsidRDefault="000A4066" w:rsidP="002B0AE2">
      <w:pPr>
        <w:pStyle w:val="ListParagraph"/>
        <w:spacing w:line="276" w:lineRule="auto"/>
        <w:rPr>
          <w:rFonts w:ascii="Verdana" w:hAnsi="Verdana"/>
          <w:b/>
        </w:rPr>
      </w:pPr>
    </w:p>
    <w:p w14:paraId="7F007DC2" w14:textId="77777777" w:rsidR="00CE0968" w:rsidRPr="000A4066" w:rsidRDefault="00CE0968" w:rsidP="002B0AE2">
      <w:pPr>
        <w:pStyle w:val="ListParagraph"/>
        <w:numPr>
          <w:ilvl w:val="1"/>
          <w:numId w:val="12"/>
        </w:numPr>
        <w:spacing w:line="276" w:lineRule="auto"/>
        <w:rPr>
          <w:rFonts w:ascii="Verdana" w:hAnsi="Verdana"/>
        </w:rPr>
      </w:pPr>
      <w:r w:rsidRPr="000A4066">
        <w:rPr>
          <w:rFonts w:ascii="Verdana" w:hAnsi="Verdana"/>
          <w:b/>
        </w:rPr>
        <w:t>The NIHRC</w:t>
      </w:r>
      <w:r w:rsidR="00527D6C">
        <w:rPr>
          <w:rFonts w:ascii="Verdana" w:hAnsi="Verdana"/>
          <w:b/>
        </w:rPr>
        <w:t xml:space="preserve"> continues to recommend that the Department and Committee consider all</w:t>
      </w:r>
      <w:r w:rsidRPr="000A4066">
        <w:rPr>
          <w:rFonts w:ascii="Verdana" w:hAnsi="Verdana"/>
          <w:b/>
        </w:rPr>
        <w:t xml:space="preserve"> recommendations of the Gillen Review and </w:t>
      </w:r>
      <w:r w:rsidR="00527D6C">
        <w:rPr>
          <w:rFonts w:ascii="Verdana" w:hAnsi="Verdana"/>
          <w:b/>
        </w:rPr>
        <w:t xml:space="preserve">whether more can </w:t>
      </w:r>
      <w:r w:rsidRPr="000A4066">
        <w:rPr>
          <w:rFonts w:ascii="Verdana" w:hAnsi="Verdana"/>
          <w:b/>
        </w:rPr>
        <w:t xml:space="preserve">be included with the Bill. </w:t>
      </w:r>
    </w:p>
    <w:p w14:paraId="50E58A97" w14:textId="77777777" w:rsidR="007464EA" w:rsidRPr="00CE0968" w:rsidRDefault="007464EA" w:rsidP="002B0AE2">
      <w:pPr>
        <w:pStyle w:val="ListParagraph"/>
        <w:spacing w:line="276" w:lineRule="auto"/>
        <w:rPr>
          <w:rFonts w:ascii="Verdana" w:hAnsi="Verdana"/>
          <w:b/>
        </w:rPr>
      </w:pPr>
    </w:p>
    <w:p w14:paraId="11029A4D" w14:textId="77777777" w:rsidR="00467AD8" w:rsidRPr="00CE0968" w:rsidRDefault="00467AD8" w:rsidP="002B0AE2">
      <w:pPr>
        <w:pStyle w:val="ListParagraph"/>
        <w:spacing w:line="276" w:lineRule="auto"/>
        <w:rPr>
          <w:rFonts w:ascii="Verdana" w:hAnsi="Verdana"/>
        </w:rPr>
      </w:pPr>
    </w:p>
    <w:p w14:paraId="2BE62E7A" w14:textId="77777777" w:rsidR="00467AD8" w:rsidRDefault="00467AD8" w:rsidP="002B0AE2">
      <w:pPr>
        <w:pStyle w:val="Heading1"/>
        <w:numPr>
          <w:ilvl w:val="0"/>
          <w:numId w:val="12"/>
        </w:numPr>
        <w:spacing w:before="0" w:line="276" w:lineRule="auto"/>
      </w:pPr>
      <w:bookmarkStart w:id="8" w:name="_Toc83380410"/>
      <w:r>
        <w:t>Part 2: Trafficking and Exploitation</w:t>
      </w:r>
      <w:bookmarkEnd w:id="8"/>
    </w:p>
    <w:p w14:paraId="3891C222" w14:textId="77777777" w:rsidR="00467AD8" w:rsidRPr="00467AD8" w:rsidRDefault="00467AD8" w:rsidP="002B0AE2">
      <w:pPr>
        <w:spacing w:line="276" w:lineRule="auto"/>
        <w:rPr>
          <w:rFonts w:ascii="Verdana" w:hAnsi="Verdana"/>
        </w:rPr>
      </w:pPr>
    </w:p>
    <w:p w14:paraId="4AD15496" w14:textId="41AE0918" w:rsidR="00467AD8" w:rsidRPr="00754188" w:rsidRDefault="00467AD8" w:rsidP="002B0AE2">
      <w:pPr>
        <w:pStyle w:val="ListParagraph"/>
        <w:numPr>
          <w:ilvl w:val="1"/>
          <w:numId w:val="12"/>
        </w:numPr>
        <w:spacing w:line="276" w:lineRule="auto"/>
        <w:rPr>
          <w:rFonts w:ascii="Verdana" w:hAnsi="Verdana"/>
        </w:rPr>
      </w:pPr>
      <w:r w:rsidRPr="00467AD8">
        <w:rPr>
          <w:rFonts w:ascii="Verdana" w:hAnsi="Verdana"/>
        </w:rPr>
        <w:t xml:space="preserve">The NIHRC welcomes provisions to adjust the modern slavery strategy </w:t>
      </w:r>
      <w:r w:rsidRPr="00754188">
        <w:rPr>
          <w:rFonts w:ascii="Verdana" w:hAnsi="Verdana"/>
        </w:rPr>
        <w:t>and improve services for potential victims of slavery and exploitation.</w:t>
      </w:r>
      <w:r w:rsidR="00D01D49">
        <w:rPr>
          <w:rFonts w:ascii="Verdana" w:hAnsi="Verdana"/>
        </w:rPr>
        <w:t xml:space="preserve"> However, </w:t>
      </w:r>
      <w:r w:rsidR="007464EA">
        <w:rPr>
          <w:rFonts w:ascii="Verdana" w:hAnsi="Verdana"/>
        </w:rPr>
        <w:t>the Commission</w:t>
      </w:r>
      <w:r w:rsidR="00D01D49">
        <w:rPr>
          <w:rFonts w:ascii="Verdana" w:hAnsi="Verdana"/>
        </w:rPr>
        <w:t xml:space="preserve"> would </w:t>
      </w:r>
      <w:r w:rsidR="004F494F">
        <w:rPr>
          <w:rFonts w:ascii="Verdana" w:hAnsi="Verdana"/>
        </w:rPr>
        <w:t>suggest strongly</w:t>
      </w:r>
      <w:r w:rsidR="007464EA">
        <w:rPr>
          <w:rFonts w:ascii="Verdana" w:hAnsi="Verdana"/>
        </w:rPr>
        <w:t xml:space="preserve">, </w:t>
      </w:r>
      <w:r w:rsidR="00D01D49">
        <w:rPr>
          <w:rFonts w:ascii="Verdana" w:hAnsi="Verdana"/>
        </w:rPr>
        <w:t>in regards to moving the strategy from a one year to three</w:t>
      </w:r>
      <w:r w:rsidR="004F494F">
        <w:rPr>
          <w:rFonts w:ascii="Verdana" w:hAnsi="Verdana"/>
        </w:rPr>
        <w:t>-</w:t>
      </w:r>
      <w:r w:rsidR="00D01D49">
        <w:rPr>
          <w:rFonts w:ascii="Verdana" w:hAnsi="Verdana"/>
        </w:rPr>
        <w:t xml:space="preserve">year strategy, </w:t>
      </w:r>
      <w:r w:rsidR="00D01D49" w:rsidRPr="00D01D49">
        <w:rPr>
          <w:rFonts w:ascii="Verdana" w:hAnsi="Verdana"/>
        </w:rPr>
        <w:t xml:space="preserve">that robust monitoring and measurement arrangements are put in place. </w:t>
      </w:r>
    </w:p>
    <w:p w14:paraId="5BA6EE35" w14:textId="77777777" w:rsidR="001E4B43" w:rsidRDefault="001E4B43" w:rsidP="002B0AE2">
      <w:pPr>
        <w:pStyle w:val="ListParagraph"/>
        <w:spacing w:line="276" w:lineRule="auto"/>
        <w:rPr>
          <w:rFonts w:ascii="Verdana" w:hAnsi="Verdana"/>
        </w:rPr>
      </w:pPr>
    </w:p>
    <w:p w14:paraId="2E0D60CA" w14:textId="1170E7A9" w:rsidR="00224FFB" w:rsidRPr="00224FFB" w:rsidRDefault="00224FFB" w:rsidP="002B0AE2">
      <w:pPr>
        <w:pStyle w:val="ListParagraph"/>
        <w:numPr>
          <w:ilvl w:val="1"/>
          <w:numId w:val="12"/>
        </w:numPr>
        <w:spacing w:line="276" w:lineRule="auto"/>
        <w:rPr>
          <w:rFonts w:ascii="Verdana" w:hAnsi="Verdana"/>
        </w:rPr>
      </w:pPr>
      <w:r w:rsidRPr="00224FFB">
        <w:rPr>
          <w:rFonts w:ascii="Verdana" w:hAnsi="Verdana"/>
        </w:rPr>
        <w:t>In 2019, the UN CEDAW Committee recommended that the UK Government and N</w:t>
      </w:r>
      <w:r w:rsidR="004F494F">
        <w:rPr>
          <w:rFonts w:ascii="Verdana" w:hAnsi="Verdana"/>
        </w:rPr>
        <w:t xml:space="preserve">orthern </w:t>
      </w:r>
      <w:r w:rsidRPr="00224FFB">
        <w:rPr>
          <w:rFonts w:ascii="Verdana" w:hAnsi="Verdana"/>
        </w:rPr>
        <w:t>I</w:t>
      </w:r>
      <w:r w:rsidR="004F494F">
        <w:rPr>
          <w:rFonts w:ascii="Verdana" w:hAnsi="Verdana"/>
        </w:rPr>
        <w:t>reland</w:t>
      </w:r>
      <w:r w:rsidRPr="00224FFB">
        <w:rPr>
          <w:rFonts w:ascii="Verdana" w:hAnsi="Verdana"/>
        </w:rPr>
        <w:t xml:space="preserve"> Executive:</w:t>
      </w:r>
    </w:p>
    <w:p w14:paraId="5246F0AF" w14:textId="77777777" w:rsidR="00224FFB" w:rsidRPr="00224FFB" w:rsidRDefault="00224FFB" w:rsidP="002B0AE2">
      <w:pPr>
        <w:pStyle w:val="ListParagraph"/>
        <w:spacing w:line="276" w:lineRule="auto"/>
        <w:rPr>
          <w:rFonts w:ascii="Verdana" w:hAnsi="Verdana"/>
        </w:rPr>
      </w:pPr>
    </w:p>
    <w:p w14:paraId="068C5879" w14:textId="77777777" w:rsidR="001E4B43" w:rsidRPr="001E4B43" w:rsidRDefault="001E4B43" w:rsidP="002B0AE2">
      <w:pPr>
        <w:pStyle w:val="Quote"/>
        <w:numPr>
          <w:ilvl w:val="0"/>
          <w:numId w:val="18"/>
        </w:numPr>
        <w:spacing w:before="0" w:after="0" w:line="276" w:lineRule="auto"/>
      </w:pPr>
      <w:r w:rsidRPr="001E4B43">
        <w:t xml:space="preserve">Ensure that the definition of human trafficking in its domestic legislation is in line with the internationally agreed definition as set out in the Protocol to Prevent, Suppress and Punish Trafficking in Persons, Especially Women and Children, supplementing the UN Convention against Transnational Organised Crime (the Palermo Protocol); </w:t>
      </w:r>
    </w:p>
    <w:p w14:paraId="512AC6D7" w14:textId="77777777" w:rsidR="00224FFB" w:rsidRPr="001E4B43" w:rsidRDefault="00224FFB" w:rsidP="002B0AE2">
      <w:pPr>
        <w:pStyle w:val="Quote"/>
        <w:numPr>
          <w:ilvl w:val="0"/>
          <w:numId w:val="18"/>
        </w:numPr>
        <w:spacing w:before="0" w:after="0" w:line="276" w:lineRule="auto"/>
      </w:pPr>
      <w:r w:rsidRPr="00224FFB">
        <w:t>Adopt a comprehensive national strategy to combat trafficking in women and gir</w:t>
      </w:r>
      <w:r w:rsidR="001E4B43">
        <w:t xml:space="preserve">ls, as previously recommended; </w:t>
      </w:r>
    </w:p>
    <w:p w14:paraId="711AF860" w14:textId="77777777" w:rsidR="00224FFB" w:rsidRPr="00224FFB" w:rsidRDefault="00224FFB" w:rsidP="002B0AE2">
      <w:pPr>
        <w:pStyle w:val="Quote"/>
        <w:numPr>
          <w:ilvl w:val="0"/>
          <w:numId w:val="18"/>
        </w:numPr>
        <w:spacing w:before="0" w:after="0" w:line="276" w:lineRule="auto"/>
      </w:pPr>
      <w:r w:rsidRPr="00224FFB">
        <w:t>Continue to improve the National Referral Mechanism, including by implementing the reform package announced in October 2017, to ensure that victims of trafficking are properly identified and adequately protected and supported.</w:t>
      </w:r>
      <w:r w:rsidR="0051014E">
        <w:rPr>
          <w:rStyle w:val="FootnoteReference"/>
        </w:rPr>
        <w:footnoteReference w:id="75"/>
      </w:r>
      <w:r w:rsidRPr="00224FFB">
        <w:t xml:space="preserve"> </w:t>
      </w:r>
    </w:p>
    <w:p w14:paraId="32B765A6" w14:textId="77777777" w:rsidR="00224FFB" w:rsidRPr="00224FFB" w:rsidRDefault="00224FFB" w:rsidP="002B0AE2">
      <w:pPr>
        <w:pStyle w:val="ListParagraph"/>
        <w:spacing w:line="276" w:lineRule="auto"/>
        <w:rPr>
          <w:rFonts w:ascii="Verdana" w:hAnsi="Verdana"/>
        </w:rPr>
      </w:pPr>
    </w:p>
    <w:p w14:paraId="40C36500" w14:textId="77777777" w:rsidR="00224FFB" w:rsidRDefault="00224FFB" w:rsidP="002B0AE2">
      <w:pPr>
        <w:pStyle w:val="ListParagraph"/>
        <w:numPr>
          <w:ilvl w:val="1"/>
          <w:numId w:val="12"/>
        </w:numPr>
        <w:spacing w:line="276" w:lineRule="auto"/>
        <w:rPr>
          <w:rFonts w:ascii="Verdana" w:hAnsi="Verdana"/>
        </w:rPr>
      </w:pPr>
      <w:r w:rsidRPr="00224FFB">
        <w:rPr>
          <w:rFonts w:ascii="Verdana" w:hAnsi="Verdana"/>
        </w:rPr>
        <w:t>The UN CEDAW Committee further recommended that the UK Government and NI Execut</w:t>
      </w:r>
      <w:r w:rsidR="001E4B43">
        <w:rPr>
          <w:rFonts w:ascii="Verdana" w:hAnsi="Verdana"/>
        </w:rPr>
        <w:t>ive:</w:t>
      </w:r>
    </w:p>
    <w:p w14:paraId="230686B8" w14:textId="77777777" w:rsidR="00224FFB" w:rsidRPr="00224FFB" w:rsidRDefault="00224FFB" w:rsidP="002B0AE2">
      <w:pPr>
        <w:pStyle w:val="Quote"/>
        <w:spacing w:before="0" w:after="0" w:line="276" w:lineRule="auto"/>
      </w:pPr>
    </w:p>
    <w:p w14:paraId="4C6B12E4" w14:textId="77777777" w:rsidR="001E4B43" w:rsidRDefault="001E4B43" w:rsidP="002B0AE2">
      <w:pPr>
        <w:pStyle w:val="Quote"/>
        <w:numPr>
          <w:ilvl w:val="0"/>
          <w:numId w:val="17"/>
        </w:numPr>
        <w:spacing w:before="0" w:after="0" w:line="276" w:lineRule="auto"/>
      </w:pPr>
      <w:r w:rsidRPr="001E4B43">
        <w:t xml:space="preserve">Take effective measures to ensure that women in vulnerable situations have effective access to employment </w:t>
      </w:r>
      <w:r w:rsidRPr="001E4B43">
        <w:lastRenderedPageBreak/>
        <w:t>opportunities, housing and social security so that they do not need to resort to prostitution or “sex for rent”;</w:t>
      </w:r>
    </w:p>
    <w:p w14:paraId="42C08AB2" w14:textId="77777777" w:rsidR="00224FFB" w:rsidRPr="001E4B43" w:rsidRDefault="00224FFB" w:rsidP="002B0AE2">
      <w:pPr>
        <w:pStyle w:val="Quote"/>
        <w:numPr>
          <w:ilvl w:val="0"/>
          <w:numId w:val="17"/>
        </w:numPr>
        <w:spacing w:before="0" w:after="0" w:line="276" w:lineRule="auto"/>
      </w:pPr>
      <w:r w:rsidRPr="00224FFB">
        <w:t>Take effective measures to reduce demand for commercial sex, including by carrying out educational and awareness-raising measures targeted at men and boys and focused on combating all notions of subordination</w:t>
      </w:r>
      <w:r w:rsidR="001E4B43">
        <w:t xml:space="preserve"> and objectification of women; </w:t>
      </w:r>
    </w:p>
    <w:p w14:paraId="6F95AEA5" w14:textId="77777777" w:rsidR="00224FFB" w:rsidRPr="001E4B43" w:rsidRDefault="00224FFB" w:rsidP="002B0AE2">
      <w:pPr>
        <w:pStyle w:val="Quote"/>
        <w:numPr>
          <w:ilvl w:val="0"/>
          <w:numId w:val="17"/>
        </w:numPr>
        <w:spacing w:before="0" w:after="0" w:line="276" w:lineRule="auto"/>
      </w:pPr>
      <w:r w:rsidRPr="00224FFB">
        <w:t>Revise legislation to decriminalise prostitution and clear the criminal records of women who have been convicted for offences related to prostitution to enable them to seek al</w:t>
      </w:r>
      <w:r w:rsidR="001E4B43">
        <w:t xml:space="preserve">ternative forms of employment; </w:t>
      </w:r>
    </w:p>
    <w:p w14:paraId="5C59E3EE" w14:textId="77777777" w:rsidR="00224FFB" w:rsidRPr="00224FFB" w:rsidRDefault="00224FFB" w:rsidP="002B0AE2">
      <w:pPr>
        <w:pStyle w:val="Quote"/>
        <w:numPr>
          <w:ilvl w:val="0"/>
          <w:numId w:val="17"/>
        </w:numPr>
        <w:spacing w:before="0" w:after="0" w:line="276" w:lineRule="auto"/>
      </w:pPr>
      <w:r w:rsidRPr="00224FFB">
        <w:t>Ensure the availability of specialist services, which are adequately funded, inclusive and accessible, to assist women and girls to exit prostitution;</w:t>
      </w:r>
    </w:p>
    <w:p w14:paraId="7F8A0231" w14:textId="77777777" w:rsidR="00224FFB" w:rsidRPr="00224FFB" w:rsidRDefault="00224FFB" w:rsidP="002B0AE2">
      <w:pPr>
        <w:pStyle w:val="Quote"/>
        <w:numPr>
          <w:ilvl w:val="0"/>
          <w:numId w:val="17"/>
        </w:numPr>
        <w:spacing w:before="0" w:after="0" w:line="276" w:lineRule="auto"/>
      </w:pPr>
      <w:r w:rsidRPr="00224FFB">
        <w:t>Create educational and employment opportunities for women</w:t>
      </w:r>
      <w:r w:rsidR="001E4B43">
        <w:t xml:space="preserve"> who wish to exit prostitution;</w:t>
      </w:r>
    </w:p>
    <w:p w14:paraId="6C82FEBE" w14:textId="77777777" w:rsidR="00224FFB" w:rsidRPr="00224FFB" w:rsidRDefault="00224FFB" w:rsidP="002B0AE2">
      <w:pPr>
        <w:pStyle w:val="Quote"/>
        <w:numPr>
          <w:ilvl w:val="0"/>
          <w:numId w:val="17"/>
        </w:numPr>
        <w:spacing w:before="0" w:after="0" w:line="276" w:lineRule="auto"/>
      </w:pPr>
      <w:r w:rsidRPr="00224FFB">
        <w:t>Undertake research into the prevalence and nature of prostitution in Scotland and NI, in addition to the research that is currently underway in England and Wales, to identify necessary changes to legislation and policy.</w:t>
      </w:r>
      <w:r w:rsidR="0051014E">
        <w:rPr>
          <w:rStyle w:val="FootnoteReference"/>
        </w:rPr>
        <w:footnoteReference w:id="76"/>
      </w:r>
      <w:r w:rsidRPr="00224FFB">
        <w:t xml:space="preserve"> </w:t>
      </w:r>
    </w:p>
    <w:p w14:paraId="7873C36B" w14:textId="77777777" w:rsidR="00224FFB" w:rsidRPr="00224FFB" w:rsidRDefault="00224FFB" w:rsidP="002B0AE2">
      <w:pPr>
        <w:pStyle w:val="ListParagraph"/>
        <w:spacing w:line="276" w:lineRule="auto"/>
        <w:rPr>
          <w:rFonts w:ascii="Verdana" w:hAnsi="Verdana"/>
        </w:rPr>
      </w:pPr>
    </w:p>
    <w:p w14:paraId="0C1CDE94" w14:textId="77777777" w:rsidR="00224FFB" w:rsidRPr="00224FFB" w:rsidRDefault="00224FFB" w:rsidP="002B0AE2">
      <w:pPr>
        <w:pStyle w:val="ListParagraph"/>
        <w:numPr>
          <w:ilvl w:val="1"/>
          <w:numId w:val="12"/>
        </w:numPr>
        <w:spacing w:line="276" w:lineRule="auto"/>
        <w:rPr>
          <w:rFonts w:ascii="Verdana" w:hAnsi="Verdana"/>
        </w:rPr>
      </w:pPr>
      <w:r w:rsidRPr="00224FFB">
        <w:rPr>
          <w:rFonts w:ascii="Verdana" w:hAnsi="Verdana"/>
        </w:rPr>
        <w:t>In 2019, the UN CAT Committee recommended that the UK Government and NI Executive:</w:t>
      </w:r>
    </w:p>
    <w:p w14:paraId="4A938D3C" w14:textId="77777777" w:rsidR="00224FFB" w:rsidRPr="00224FFB" w:rsidRDefault="00224FFB" w:rsidP="002B0AE2">
      <w:pPr>
        <w:pStyle w:val="ListParagraph"/>
        <w:spacing w:line="276" w:lineRule="auto"/>
        <w:rPr>
          <w:rFonts w:ascii="Verdana" w:hAnsi="Verdana"/>
        </w:rPr>
      </w:pPr>
    </w:p>
    <w:p w14:paraId="199E1CDA" w14:textId="77777777" w:rsidR="001E4B43" w:rsidRDefault="00224FFB" w:rsidP="002B0AE2">
      <w:pPr>
        <w:pStyle w:val="Quote"/>
        <w:numPr>
          <w:ilvl w:val="0"/>
          <w:numId w:val="16"/>
        </w:numPr>
        <w:spacing w:before="0" w:after="0" w:line="276" w:lineRule="auto"/>
      </w:pPr>
      <w:r w:rsidRPr="00224FFB">
        <w:t>Enhance its efforts to investigate claims of human trafficking and prosecute perpetrators and ensure that victims of trafficking obtain compensation, including by considering creating a civil rem</w:t>
      </w:r>
      <w:r w:rsidR="001E4B43">
        <w:t>edy for victims of trafficking;</w:t>
      </w:r>
    </w:p>
    <w:p w14:paraId="61C599CE" w14:textId="77777777" w:rsidR="001E4B43" w:rsidRDefault="00224FFB" w:rsidP="002B0AE2">
      <w:pPr>
        <w:pStyle w:val="Quote"/>
        <w:numPr>
          <w:ilvl w:val="0"/>
          <w:numId w:val="16"/>
        </w:numPr>
        <w:spacing w:before="0" w:after="0" w:line="276" w:lineRule="auto"/>
      </w:pPr>
      <w:r w:rsidRPr="001E4B43">
        <w:t>Ensure access to sufficient protection and support for all victims of trafficking, and particularly ensure that the State party’s establishment of a child trafficking protection fund results in improving the availability of specialist care and support fo</w:t>
      </w:r>
      <w:r w:rsidR="001E4B43">
        <w:t>r child victims of trafficking;</w:t>
      </w:r>
    </w:p>
    <w:p w14:paraId="74AA6008" w14:textId="77777777" w:rsidR="00224FFB" w:rsidRDefault="00224FFB" w:rsidP="002B0AE2">
      <w:pPr>
        <w:pStyle w:val="Quote"/>
        <w:numPr>
          <w:ilvl w:val="0"/>
          <w:numId w:val="16"/>
        </w:numPr>
        <w:spacing w:before="0" w:after="0" w:line="276" w:lineRule="auto"/>
      </w:pPr>
      <w:r w:rsidRPr="001E4B43">
        <w:t xml:space="preserve">Improve the training of law enforcement officers, prison personnel and other first responders to include statutory training into the identification of potential victims of human trafficking and modern slavery, and continue developing </w:t>
      </w:r>
      <w:r w:rsidRPr="001E4B43">
        <w:lastRenderedPageBreak/>
        <w:t>specialised training programmes for support workers and those providing foster care.</w:t>
      </w:r>
      <w:r w:rsidR="00017608">
        <w:rPr>
          <w:rStyle w:val="FootnoteReference"/>
        </w:rPr>
        <w:footnoteReference w:id="77"/>
      </w:r>
    </w:p>
    <w:p w14:paraId="4732F7D6" w14:textId="77777777" w:rsidR="001E4B43" w:rsidRDefault="001E4B43" w:rsidP="002B0AE2">
      <w:pPr>
        <w:pStyle w:val="ListParagraph"/>
        <w:spacing w:line="276" w:lineRule="auto"/>
        <w:ind w:left="1080"/>
        <w:rPr>
          <w:rFonts w:ascii="Verdana" w:hAnsi="Verdana"/>
        </w:rPr>
      </w:pPr>
    </w:p>
    <w:p w14:paraId="095A99FF" w14:textId="517C01F2" w:rsidR="001E4B43" w:rsidRDefault="001E4B43" w:rsidP="002B0AE2">
      <w:pPr>
        <w:pStyle w:val="ListParagraph"/>
        <w:numPr>
          <w:ilvl w:val="1"/>
          <w:numId w:val="12"/>
        </w:numPr>
        <w:spacing w:line="276" w:lineRule="auto"/>
        <w:rPr>
          <w:rFonts w:ascii="Verdana" w:hAnsi="Verdana"/>
        </w:rPr>
      </w:pPr>
      <w:r>
        <w:rPr>
          <w:rFonts w:ascii="Verdana" w:hAnsi="Verdana"/>
        </w:rPr>
        <w:t xml:space="preserve">The NIHRC </w:t>
      </w:r>
      <w:r w:rsidR="00DF0EFB">
        <w:rPr>
          <w:rFonts w:ascii="Verdana" w:hAnsi="Verdana"/>
        </w:rPr>
        <w:t xml:space="preserve">also </w:t>
      </w:r>
      <w:r w:rsidR="00D8678D">
        <w:rPr>
          <w:rFonts w:ascii="Verdana" w:hAnsi="Verdana"/>
        </w:rPr>
        <w:t>suggest</w:t>
      </w:r>
      <w:r w:rsidR="004F494F">
        <w:rPr>
          <w:rFonts w:ascii="Verdana" w:hAnsi="Verdana"/>
        </w:rPr>
        <w:t>s that</w:t>
      </w:r>
      <w:r w:rsidR="00D8678D">
        <w:rPr>
          <w:rFonts w:ascii="Verdana" w:hAnsi="Verdana"/>
        </w:rPr>
        <w:t xml:space="preserve"> the Committee consider </w:t>
      </w:r>
      <w:r>
        <w:rPr>
          <w:rFonts w:ascii="Verdana" w:hAnsi="Verdana"/>
        </w:rPr>
        <w:t>the</w:t>
      </w:r>
      <w:r w:rsidR="00D8678D">
        <w:rPr>
          <w:rFonts w:ascii="Verdana" w:hAnsi="Verdana"/>
        </w:rPr>
        <w:t xml:space="preserve"> Criminal Justice </w:t>
      </w:r>
      <w:r w:rsidR="00CF329A">
        <w:rPr>
          <w:rFonts w:ascii="Verdana" w:hAnsi="Verdana"/>
        </w:rPr>
        <w:t xml:space="preserve">Inspection </w:t>
      </w:r>
      <w:r w:rsidR="00D8678D">
        <w:rPr>
          <w:rFonts w:ascii="Verdana" w:hAnsi="Verdana"/>
        </w:rPr>
        <w:t xml:space="preserve">NI </w:t>
      </w:r>
      <w:r>
        <w:rPr>
          <w:rFonts w:ascii="Verdana" w:hAnsi="Verdana"/>
        </w:rPr>
        <w:t xml:space="preserve">2020 </w:t>
      </w:r>
      <w:r w:rsidR="00DF0EFB">
        <w:rPr>
          <w:rFonts w:ascii="Verdana" w:hAnsi="Verdana"/>
        </w:rPr>
        <w:t>report</w:t>
      </w:r>
      <w:r w:rsidR="004F494F">
        <w:rPr>
          <w:rFonts w:ascii="Verdana" w:hAnsi="Verdana"/>
        </w:rPr>
        <w:t>,</w:t>
      </w:r>
      <w:r w:rsidR="00DF0EFB">
        <w:rPr>
          <w:rFonts w:ascii="Verdana" w:hAnsi="Verdana"/>
        </w:rPr>
        <w:t xml:space="preserve"> which looked at</w:t>
      </w:r>
      <w:r w:rsidRPr="001E4B43">
        <w:rPr>
          <w:rFonts w:ascii="Verdana" w:hAnsi="Verdana"/>
        </w:rPr>
        <w:t xml:space="preserve"> how the criminal justice system deals with modern slavery and human trafficking in NI.  The report identified further work required to better understand the nature and scale of modern slavery and human trafficking in NI and for a more effective legislative and strategic response to be developed. Specifically, the report “recommended that the full range of enforcement powers available elsewhere in the UK need to be replicated in NI”.</w:t>
      </w:r>
      <w:r>
        <w:rPr>
          <w:rStyle w:val="FootnoteReference"/>
          <w:rFonts w:ascii="Verdana" w:hAnsi="Verdana"/>
        </w:rPr>
        <w:footnoteReference w:id="78"/>
      </w:r>
    </w:p>
    <w:p w14:paraId="73D28986" w14:textId="77777777" w:rsidR="00E50E6F" w:rsidRDefault="00E50E6F" w:rsidP="002B0AE2">
      <w:pPr>
        <w:pStyle w:val="ListParagraph"/>
        <w:spacing w:line="276" w:lineRule="auto"/>
        <w:rPr>
          <w:rFonts w:ascii="Verdana" w:hAnsi="Verdana"/>
        </w:rPr>
      </w:pPr>
    </w:p>
    <w:p w14:paraId="6EF2DB3A" w14:textId="77777777" w:rsidR="00587C5B" w:rsidRDefault="00587C5B" w:rsidP="002B0AE2">
      <w:pPr>
        <w:pStyle w:val="ListParagraph"/>
        <w:numPr>
          <w:ilvl w:val="1"/>
          <w:numId w:val="12"/>
        </w:numPr>
        <w:spacing w:line="276" w:lineRule="auto"/>
        <w:rPr>
          <w:rFonts w:ascii="Verdana" w:hAnsi="Verdana"/>
        </w:rPr>
      </w:pPr>
      <w:r>
        <w:rPr>
          <w:rFonts w:ascii="Verdana" w:hAnsi="Verdana"/>
        </w:rPr>
        <w:t xml:space="preserve">The Criminal Justice </w:t>
      </w:r>
      <w:r w:rsidR="004A0E89">
        <w:rPr>
          <w:rFonts w:ascii="Verdana" w:hAnsi="Verdana"/>
        </w:rPr>
        <w:t xml:space="preserve">Inspection </w:t>
      </w:r>
      <w:r>
        <w:rPr>
          <w:rFonts w:ascii="Verdana" w:hAnsi="Verdana"/>
        </w:rPr>
        <w:t>NI</w:t>
      </w:r>
      <w:r w:rsidR="004A0E89">
        <w:rPr>
          <w:rFonts w:ascii="Verdana" w:hAnsi="Verdana"/>
        </w:rPr>
        <w:t xml:space="preserve"> report</w:t>
      </w:r>
      <w:r>
        <w:rPr>
          <w:rFonts w:ascii="Verdana" w:hAnsi="Verdana"/>
        </w:rPr>
        <w:t xml:space="preserve"> also made a recommendation in relation to training: </w:t>
      </w:r>
    </w:p>
    <w:p w14:paraId="75D14284" w14:textId="77777777" w:rsidR="00587C5B" w:rsidRDefault="00587C5B" w:rsidP="002B0AE2">
      <w:pPr>
        <w:pStyle w:val="ListParagraph"/>
        <w:spacing w:line="276" w:lineRule="auto"/>
        <w:rPr>
          <w:rFonts w:ascii="Verdana" w:hAnsi="Verdana"/>
        </w:rPr>
      </w:pPr>
    </w:p>
    <w:p w14:paraId="77F1CB4B" w14:textId="77777777" w:rsidR="00587C5B" w:rsidRPr="001E4B43" w:rsidRDefault="00587C5B" w:rsidP="00392189">
      <w:pPr>
        <w:pStyle w:val="Quote"/>
        <w:spacing w:before="0" w:after="0" w:line="276" w:lineRule="auto"/>
        <w:ind w:left="1418"/>
      </w:pPr>
      <w:r w:rsidRPr="00587C5B">
        <w:t>The Police Service of Northern Ireland should complete a Training Needs Analysis</w:t>
      </w:r>
      <w:r>
        <w:t xml:space="preserve"> </w:t>
      </w:r>
      <w:r w:rsidRPr="00587C5B">
        <w:t>for modern slavery and human trafficking, cognisant of the outcome of Strategic</w:t>
      </w:r>
      <w:r>
        <w:t xml:space="preserve"> </w:t>
      </w:r>
      <w:r w:rsidRPr="00587C5B">
        <w:t>Recommendation 1, within nine months of the publication of this report. Training,</w:t>
      </w:r>
      <w:r>
        <w:t xml:space="preserve"> </w:t>
      </w:r>
      <w:r w:rsidRPr="00587C5B">
        <w:t>and its delivery, across all areas should be reviewed against the Training Needs</w:t>
      </w:r>
      <w:r>
        <w:t xml:space="preserve"> </w:t>
      </w:r>
      <w:r w:rsidRPr="00587C5B">
        <w:t>Analysis to identify and address training gaps.</w:t>
      </w:r>
      <w:r w:rsidR="00017608">
        <w:rPr>
          <w:rStyle w:val="FootnoteReference"/>
        </w:rPr>
        <w:footnoteReference w:id="79"/>
      </w:r>
    </w:p>
    <w:p w14:paraId="1210FA81" w14:textId="77777777" w:rsidR="005811A1" w:rsidRDefault="005811A1" w:rsidP="002B0AE2">
      <w:pPr>
        <w:pStyle w:val="ListParagraph"/>
        <w:spacing w:line="276" w:lineRule="auto"/>
        <w:rPr>
          <w:rFonts w:ascii="Verdana" w:hAnsi="Verdana"/>
          <w:b/>
        </w:rPr>
      </w:pPr>
    </w:p>
    <w:p w14:paraId="3066DCE3" w14:textId="77777777" w:rsidR="00D01D49" w:rsidRPr="005811A1" w:rsidRDefault="00425E51" w:rsidP="002B0AE2">
      <w:pPr>
        <w:pStyle w:val="ListParagraph"/>
        <w:numPr>
          <w:ilvl w:val="1"/>
          <w:numId w:val="12"/>
        </w:numPr>
        <w:spacing w:line="276" w:lineRule="auto"/>
        <w:rPr>
          <w:rFonts w:ascii="Verdana" w:hAnsi="Verdana"/>
          <w:b/>
        </w:rPr>
      </w:pPr>
      <w:r w:rsidRPr="005811A1">
        <w:rPr>
          <w:rFonts w:ascii="Verdana" w:hAnsi="Verdana"/>
          <w:b/>
        </w:rPr>
        <w:t>The NIHRC recommend</w:t>
      </w:r>
      <w:r w:rsidR="005811A1">
        <w:rPr>
          <w:rFonts w:ascii="Verdana" w:hAnsi="Verdana"/>
          <w:b/>
        </w:rPr>
        <w:t>s</w:t>
      </w:r>
      <w:r w:rsidR="005811A1" w:rsidRPr="005811A1">
        <w:rPr>
          <w:rFonts w:ascii="Verdana" w:hAnsi="Verdana"/>
          <w:b/>
        </w:rPr>
        <w:t xml:space="preserve"> the Committee </w:t>
      </w:r>
      <w:r w:rsidR="005811A1">
        <w:rPr>
          <w:rFonts w:ascii="Verdana" w:hAnsi="Verdana"/>
          <w:b/>
        </w:rPr>
        <w:t xml:space="preserve">take into consideration the Criminal Justice Inspectorate NI report into modern slavery and human trafficking to ensure that provisions within the draft Bill meet the required recommendations. </w:t>
      </w:r>
    </w:p>
    <w:p w14:paraId="7534C8E1" w14:textId="77777777" w:rsidR="00E24D35" w:rsidRPr="00C53916" w:rsidRDefault="00E24D35" w:rsidP="002B0AE2">
      <w:pPr>
        <w:pStyle w:val="ListParagraph"/>
        <w:spacing w:line="276" w:lineRule="auto"/>
      </w:pPr>
    </w:p>
    <w:p w14:paraId="050B4678" w14:textId="77777777" w:rsidR="00E24D35" w:rsidRPr="00E24D35" w:rsidRDefault="00E24D35" w:rsidP="002B0AE2">
      <w:pPr>
        <w:spacing w:line="276" w:lineRule="auto"/>
      </w:pPr>
    </w:p>
    <w:p w14:paraId="1C9B1E45" w14:textId="77777777" w:rsidR="00EA12CE" w:rsidRPr="00331C61" w:rsidRDefault="00C53916" w:rsidP="002B0AE2">
      <w:pPr>
        <w:pStyle w:val="Heading1"/>
        <w:numPr>
          <w:ilvl w:val="0"/>
          <w:numId w:val="12"/>
        </w:numPr>
        <w:spacing w:before="0" w:line="276" w:lineRule="auto"/>
      </w:pPr>
      <w:bookmarkStart w:id="9" w:name="_Toc83380411"/>
      <w:r>
        <w:t>Amendments</w:t>
      </w:r>
      <w:bookmarkEnd w:id="9"/>
      <w:r>
        <w:t xml:space="preserve"> </w:t>
      </w:r>
    </w:p>
    <w:p w14:paraId="05E50B25" w14:textId="77777777" w:rsidR="000A1D37" w:rsidRPr="000A1D37" w:rsidRDefault="000A1D37" w:rsidP="002B0AE2">
      <w:pPr>
        <w:pStyle w:val="Default"/>
        <w:spacing w:line="276" w:lineRule="auto"/>
        <w:ind w:left="720"/>
        <w:rPr>
          <w:rFonts w:cs="Arial"/>
          <w:color w:val="232120"/>
          <w:lang w:val="en-GB"/>
        </w:rPr>
      </w:pPr>
    </w:p>
    <w:p w14:paraId="3EE94842" w14:textId="0B16E650" w:rsidR="000A1D37" w:rsidRPr="000A1D37" w:rsidRDefault="0078533F" w:rsidP="00392189">
      <w:pPr>
        <w:pStyle w:val="Default"/>
        <w:numPr>
          <w:ilvl w:val="1"/>
          <w:numId w:val="27"/>
        </w:numPr>
        <w:spacing w:line="276" w:lineRule="auto"/>
        <w:ind w:left="709" w:hanging="709"/>
        <w:rPr>
          <w:rFonts w:cs="Arial"/>
          <w:color w:val="232120"/>
          <w:lang w:val="en-GB"/>
        </w:rPr>
      </w:pPr>
      <w:r>
        <w:rPr>
          <w:rFonts w:cs="Arial"/>
          <w:color w:val="232120"/>
          <w:lang w:val="en-GB"/>
        </w:rPr>
        <w:t xml:space="preserve">The NIHRC </w:t>
      </w:r>
      <w:r w:rsidR="000D3654">
        <w:rPr>
          <w:rFonts w:cs="Arial"/>
          <w:color w:val="232120"/>
          <w:lang w:val="en-GB"/>
        </w:rPr>
        <w:t xml:space="preserve">understands that </w:t>
      </w:r>
      <w:r>
        <w:rPr>
          <w:rFonts w:cs="Arial"/>
          <w:color w:val="232120"/>
          <w:lang w:val="en-GB"/>
        </w:rPr>
        <w:t>the Department has plans to introduce</w:t>
      </w:r>
      <w:r w:rsidR="000A1D37" w:rsidRPr="000A1D37">
        <w:rPr>
          <w:rFonts w:cs="Arial"/>
          <w:color w:val="232120"/>
          <w:lang w:val="en-GB"/>
        </w:rPr>
        <w:t xml:space="preserve"> four amendments to the Bill</w:t>
      </w:r>
      <w:r w:rsidR="00884367">
        <w:rPr>
          <w:rFonts w:cs="Arial"/>
          <w:color w:val="232120"/>
          <w:lang w:val="en-GB"/>
        </w:rPr>
        <w:t>.</w:t>
      </w:r>
      <w:r w:rsidR="000A1D37" w:rsidRPr="000A1D37">
        <w:rPr>
          <w:rFonts w:cs="Arial"/>
          <w:color w:val="232120"/>
          <w:lang w:val="en-GB"/>
        </w:rPr>
        <w:t xml:space="preserve"> </w:t>
      </w:r>
      <w:r w:rsidR="00DF0EFB">
        <w:rPr>
          <w:rFonts w:cs="Arial"/>
          <w:color w:val="232120"/>
          <w:lang w:val="en-GB"/>
        </w:rPr>
        <w:t xml:space="preserve">However, as these are </w:t>
      </w:r>
      <w:r w:rsidR="004F494F">
        <w:rPr>
          <w:rFonts w:cs="Arial"/>
          <w:color w:val="232120"/>
          <w:lang w:val="en-GB"/>
        </w:rPr>
        <w:t xml:space="preserve">still </w:t>
      </w:r>
      <w:r w:rsidR="00BB1698">
        <w:rPr>
          <w:rFonts w:cs="Arial"/>
          <w:color w:val="232120"/>
          <w:lang w:val="en-GB"/>
        </w:rPr>
        <w:t xml:space="preserve">in </w:t>
      </w:r>
      <w:r w:rsidR="00DF0EFB">
        <w:rPr>
          <w:rFonts w:cs="Arial"/>
          <w:color w:val="232120"/>
          <w:lang w:val="en-GB"/>
        </w:rPr>
        <w:t xml:space="preserve">development the Commission is </w:t>
      </w:r>
      <w:r w:rsidR="004F494F">
        <w:rPr>
          <w:rFonts w:cs="Arial"/>
          <w:color w:val="232120"/>
          <w:lang w:val="en-GB"/>
        </w:rPr>
        <w:t>unable</w:t>
      </w:r>
      <w:r w:rsidR="00DF0EFB">
        <w:rPr>
          <w:rFonts w:cs="Arial"/>
          <w:color w:val="232120"/>
          <w:lang w:val="en-GB"/>
        </w:rPr>
        <w:t xml:space="preserve"> to comment on the </w:t>
      </w:r>
      <w:r w:rsidR="005811A1">
        <w:rPr>
          <w:rFonts w:cs="Arial"/>
          <w:color w:val="232120"/>
          <w:lang w:val="en-GB"/>
        </w:rPr>
        <w:t>detail of th</w:t>
      </w:r>
      <w:r w:rsidR="004F494F">
        <w:rPr>
          <w:rFonts w:cs="Arial"/>
          <w:color w:val="232120"/>
          <w:lang w:val="en-GB"/>
        </w:rPr>
        <w:t>o</w:t>
      </w:r>
      <w:r w:rsidR="00884367">
        <w:rPr>
          <w:rFonts w:cs="Arial"/>
          <w:color w:val="232120"/>
          <w:lang w:val="en-GB"/>
        </w:rPr>
        <w:t>se</w:t>
      </w:r>
      <w:r w:rsidR="005811A1">
        <w:rPr>
          <w:rFonts w:cs="Arial"/>
          <w:color w:val="232120"/>
          <w:lang w:val="en-GB"/>
        </w:rPr>
        <w:t xml:space="preserve"> provisions. </w:t>
      </w:r>
      <w:r w:rsidR="007C1D4E">
        <w:rPr>
          <w:rFonts w:cs="Arial"/>
          <w:color w:val="232120"/>
          <w:lang w:val="en-GB"/>
        </w:rPr>
        <w:t xml:space="preserve">We have </w:t>
      </w:r>
      <w:r w:rsidR="004F494F">
        <w:rPr>
          <w:rFonts w:cs="Arial"/>
          <w:color w:val="232120"/>
          <w:lang w:val="en-GB"/>
        </w:rPr>
        <w:t xml:space="preserve">therefore </w:t>
      </w:r>
      <w:r w:rsidR="007C1D4E">
        <w:rPr>
          <w:rFonts w:cs="Arial"/>
          <w:color w:val="232120"/>
          <w:lang w:val="en-GB"/>
        </w:rPr>
        <w:t xml:space="preserve">provided </w:t>
      </w:r>
      <w:r w:rsidR="004F494F">
        <w:rPr>
          <w:rFonts w:cs="Arial"/>
          <w:color w:val="232120"/>
          <w:lang w:val="en-GB"/>
        </w:rPr>
        <w:t xml:space="preserve">only </w:t>
      </w:r>
      <w:r w:rsidR="007C1D4E">
        <w:rPr>
          <w:rFonts w:cs="Arial"/>
          <w:color w:val="232120"/>
          <w:lang w:val="en-GB"/>
        </w:rPr>
        <w:t>brief comments on</w:t>
      </w:r>
      <w:r w:rsidR="008D7FC9">
        <w:rPr>
          <w:rFonts w:cs="Arial"/>
          <w:color w:val="232120"/>
          <w:lang w:val="en-GB"/>
        </w:rPr>
        <w:t xml:space="preserve"> three of </w:t>
      </w:r>
      <w:r w:rsidR="007C1D4E">
        <w:rPr>
          <w:rFonts w:cs="Arial"/>
          <w:color w:val="232120"/>
          <w:lang w:val="en-GB"/>
        </w:rPr>
        <w:t xml:space="preserve">the </w:t>
      </w:r>
      <w:r w:rsidR="004F494F">
        <w:rPr>
          <w:rFonts w:cs="Arial"/>
          <w:color w:val="232120"/>
          <w:lang w:val="en-GB"/>
        </w:rPr>
        <w:t xml:space="preserve">proposed </w:t>
      </w:r>
      <w:r w:rsidR="007C1D4E">
        <w:rPr>
          <w:rFonts w:cs="Arial"/>
          <w:color w:val="232120"/>
          <w:lang w:val="en-GB"/>
        </w:rPr>
        <w:t>amendments</w:t>
      </w:r>
      <w:r w:rsidR="008D7FC9">
        <w:rPr>
          <w:rFonts w:cs="Arial"/>
          <w:color w:val="232120"/>
          <w:lang w:val="en-GB"/>
        </w:rPr>
        <w:t xml:space="preserve"> below</w:t>
      </w:r>
      <w:r w:rsidR="004F494F">
        <w:rPr>
          <w:rFonts w:cs="Arial"/>
          <w:color w:val="232120"/>
          <w:lang w:val="en-GB"/>
        </w:rPr>
        <w:t xml:space="preserve">. We </w:t>
      </w:r>
      <w:r w:rsidR="00DE63BD">
        <w:rPr>
          <w:rFonts w:cs="Arial"/>
          <w:color w:val="232120"/>
          <w:lang w:val="en-GB"/>
        </w:rPr>
        <w:t>remain available</w:t>
      </w:r>
      <w:r w:rsidR="00884367">
        <w:rPr>
          <w:rFonts w:cs="Arial"/>
          <w:color w:val="232120"/>
          <w:lang w:val="en-GB"/>
        </w:rPr>
        <w:t xml:space="preserve"> to the Committee for further </w:t>
      </w:r>
      <w:r w:rsidR="00DE63BD">
        <w:rPr>
          <w:rFonts w:cs="Arial"/>
          <w:color w:val="232120"/>
          <w:lang w:val="en-GB"/>
        </w:rPr>
        <w:t xml:space="preserve">advice when </w:t>
      </w:r>
      <w:r w:rsidR="00884367">
        <w:rPr>
          <w:rFonts w:cs="Arial"/>
          <w:color w:val="232120"/>
          <w:lang w:val="en-GB"/>
        </w:rPr>
        <w:t xml:space="preserve">the detail of </w:t>
      </w:r>
      <w:r w:rsidR="004F494F">
        <w:rPr>
          <w:rFonts w:cs="Arial"/>
          <w:color w:val="232120"/>
          <w:lang w:val="en-GB"/>
        </w:rPr>
        <w:t xml:space="preserve">the </w:t>
      </w:r>
      <w:r w:rsidR="00DE63BD">
        <w:rPr>
          <w:rFonts w:cs="Arial"/>
          <w:color w:val="232120"/>
          <w:lang w:val="en-GB"/>
        </w:rPr>
        <w:t xml:space="preserve">amendments </w:t>
      </w:r>
      <w:r w:rsidR="00884367">
        <w:rPr>
          <w:rFonts w:cs="Arial"/>
          <w:color w:val="232120"/>
          <w:lang w:val="en-GB"/>
        </w:rPr>
        <w:t>is available.</w:t>
      </w:r>
      <w:r w:rsidR="00D01D49">
        <w:rPr>
          <w:lang w:val="en-GB"/>
        </w:rPr>
        <w:t xml:space="preserve"> </w:t>
      </w:r>
    </w:p>
    <w:p w14:paraId="1685E033" w14:textId="77777777" w:rsidR="00392189" w:rsidRDefault="00392189" w:rsidP="002B0AE2">
      <w:pPr>
        <w:pStyle w:val="Heading2"/>
        <w:spacing w:before="0" w:line="276" w:lineRule="auto"/>
      </w:pPr>
    </w:p>
    <w:p w14:paraId="28F6BE4C" w14:textId="77777777" w:rsidR="000A1D37" w:rsidRDefault="000A1D37" w:rsidP="002B0AE2">
      <w:pPr>
        <w:pStyle w:val="Heading2"/>
        <w:spacing w:before="0" w:line="276" w:lineRule="auto"/>
      </w:pPr>
      <w:bookmarkStart w:id="10" w:name="_Toc83380412"/>
      <w:r w:rsidRPr="000A1D37">
        <w:t xml:space="preserve">Abolition of the </w:t>
      </w:r>
      <w:r w:rsidR="00DF0EFB">
        <w:t>‘Rough Sex D</w:t>
      </w:r>
      <w:r w:rsidRPr="000A1D37">
        <w:t>efence</w:t>
      </w:r>
      <w:r w:rsidR="00DF0EFB">
        <w:t>’</w:t>
      </w:r>
      <w:bookmarkEnd w:id="10"/>
    </w:p>
    <w:p w14:paraId="1CEF452D" w14:textId="77777777" w:rsidR="005A004C" w:rsidRPr="005A004C" w:rsidRDefault="005A004C" w:rsidP="002B0AE2">
      <w:pPr>
        <w:spacing w:line="276" w:lineRule="auto"/>
        <w:rPr>
          <w:rFonts w:ascii="Verdana" w:hAnsi="Verdana"/>
        </w:rPr>
      </w:pPr>
    </w:p>
    <w:p w14:paraId="223D817A" w14:textId="77777777" w:rsidR="00392189" w:rsidRPr="00392189" w:rsidRDefault="00392189" w:rsidP="00392189">
      <w:pPr>
        <w:pStyle w:val="ListParagraph"/>
        <w:numPr>
          <w:ilvl w:val="1"/>
          <w:numId w:val="12"/>
        </w:numPr>
        <w:spacing w:line="276" w:lineRule="auto"/>
        <w:rPr>
          <w:rFonts w:ascii="Verdana" w:hAnsi="Verdana"/>
          <w:vanish/>
        </w:rPr>
      </w:pPr>
    </w:p>
    <w:p w14:paraId="2C9CECA7" w14:textId="4FBBF0F5" w:rsidR="005A004C" w:rsidRDefault="005A004C" w:rsidP="00392189">
      <w:pPr>
        <w:pStyle w:val="ListParagraph"/>
        <w:numPr>
          <w:ilvl w:val="1"/>
          <w:numId w:val="12"/>
        </w:numPr>
        <w:spacing w:line="276" w:lineRule="auto"/>
        <w:rPr>
          <w:rFonts w:ascii="Verdana" w:hAnsi="Verdana"/>
        </w:rPr>
      </w:pPr>
      <w:r w:rsidRPr="005A004C">
        <w:rPr>
          <w:rFonts w:ascii="Verdana" w:hAnsi="Verdana"/>
        </w:rPr>
        <w:t xml:space="preserve">The </w:t>
      </w:r>
      <w:r w:rsidR="00884367">
        <w:rPr>
          <w:rFonts w:ascii="Verdana" w:hAnsi="Verdana"/>
        </w:rPr>
        <w:t xml:space="preserve">Commission </w:t>
      </w:r>
      <w:r w:rsidRPr="005A004C">
        <w:rPr>
          <w:rFonts w:ascii="Verdana" w:hAnsi="Verdana"/>
        </w:rPr>
        <w:t>welcomes the amendm</w:t>
      </w:r>
      <w:r>
        <w:rPr>
          <w:rFonts w:ascii="Verdana" w:hAnsi="Verdana"/>
        </w:rPr>
        <w:t>en</w:t>
      </w:r>
      <w:r w:rsidRPr="005A004C">
        <w:rPr>
          <w:rFonts w:ascii="Verdana" w:hAnsi="Verdana"/>
        </w:rPr>
        <w:t>t to include provision for th</w:t>
      </w:r>
      <w:r>
        <w:rPr>
          <w:rFonts w:ascii="Verdana" w:hAnsi="Verdana"/>
        </w:rPr>
        <w:t>e</w:t>
      </w:r>
      <w:r w:rsidRPr="005A004C">
        <w:rPr>
          <w:rFonts w:ascii="Verdana" w:hAnsi="Verdana"/>
        </w:rPr>
        <w:t xml:space="preserve"> abolition of the</w:t>
      </w:r>
      <w:r w:rsidR="007028E1">
        <w:rPr>
          <w:rFonts w:ascii="Verdana" w:hAnsi="Verdana"/>
        </w:rPr>
        <w:t xml:space="preserve"> so-called</w:t>
      </w:r>
      <w:r w:rsidRPr="005A004C">
        <w:rPr>
          <w:rFonts w:ascii="Verdana" w:hAnsi="Verdana"/>
        </w:rPr>
        <w:t xml:space="preserve"> </w:t>
      </w:r>
      <w:r w:rsidR="00DF0EFB">
        <w:rPr>
          <w:rFonts w:ascii="Verdana" w:hAnsi="Verdana"/>
        </w:rPr>
        <w:t>‘</w:t>
      </w:r>
      <w:r w:rsidRPr="005A004C">
        <w:rPr>
          <w:rFonts w:ascii="Verdana" w:hAnsi="Verdana"/>
        </w:rPr>
        <w:t>rough sex defence</w:t>
      </w:r>
      <w:r w:rsidR="00DF0EFB">
        <w:rPr>
          <w:rFonts w:ascii="Verdana" w:hAnsi="Verdana"/>
        </w:rPr>
        <w:t>’</w:t>
      </w:r>
      <w:r w:rsidRPr="005A004C">
        <w:rPr>
          <w:rFonts w:ascii="Verdana" w:hAnsi="Verdana"/>
        </w:rPr>
        <w:t xml:space="preserve">. </w:t>
      </w:r>
    </w:p>
    <w:p w14:paraId="1B2F9983" w14:textId="77777777" w:rsidR="005A004C" w:rsidRDefault="005A004C" w:rsidP="002B0AE2">
      <w:pPr>
        <w:pStyle w:val="ListParagraph"/>
        <w:spacing w:line="276" w:lineRule="auto"/>
        <w:rPr>
          <w:rFonts w:ascii="Verdana" w:hAnsi="Verdana"/>
        </w:rPr>
      </w:pPr>
    </w:p>
    <w:p w14:paraId="0C20FE13" w14:textId="77777777" w:rsidR="000B6BB0" w:rsidRPr="00F10132" w:rsidRDefault="000B6BB0" w:rsidP="002B0AE2">
      <w:pPr>
        <w:pStyle w:val="ListParagraph"/>
        <w:numPr>
          <w:ilvl w:val="1"/>
          <w:numId w:val="12"/>
        </w:numPr>
        <w:spacing w:line="276" w:lineRule="auto"/>
        <w:rPr>
          <w:rFonts w:ascii="Verdana" w:hAnsi="Verdana"/>
        </w:rPr>
      </w:pPr>
      <w:r w:rsidRPr="00F10132">
        <w:rPr>
          <w:rFonts w:ascii="Verdana" w:hAnsi="Verdana"/>
        </w:rPr>
        <w:t>In January 2021 t</w:t>
      </w:r>
      <w:r w:rsidR="005A004C" w:rsidRPr="00F10132">
        <w:rPr>
          <w:rFonts w:ascii="Verdana" w:hAnsi="Verdana"/>
        </w:rPr>
        <w:t>he NIHRC responded to the Dep</w:t>
      </w:r>
      <w:r w:rsidR="00F10132" w:rsidRPr="00F10132">
        <w:rPr>
          <w:rFonts w:ascii="Verdana" w:hAnsi="Verdana"/>
        </w:rPr>
        <w:t xml:space="preserve">artment of Justice consultation on </w:t>
      </w:r>
      <w:r w:rsidR="00F10132">
        <w:rPr>
          <w:rFonts w:ascii="Verdana" w:hAnsi="Verdana"/>
        </w:rPr>
        <w:t>‘</w:t>
      </w:r>
      <w:r w:rsidR="00F10132" w:rsidRPr="00F10132">
        <w:rPr>
          <w:rFonts w:ascii="Verdana" w:hAnsi="Verdana"/>
        </w:rPr>
        <w:t>Consent to Serious Harm for Sexual Gratification: Not a Defence</w:t>
      </w:r>
      <w:r w:rsidR="00F10132">
        <w:rPr>
          <w:rFonts w:ascii="Verdana" w:hAnsi="Verdana"/>
        </w:rPr>
        <w:t>’</w:t>
      </w:r>
      <w:r w:rsidR="00F10132" w:rsidRPr="00F10132">
        <w:rPr>
          <w:rFonts w:ascii="Verdana" w:hAnsi="Verdana"/>
        </w:rPr>
        <w:t>.</w:t>
      </w:r>
      <w:r w:rsidR="00F10132">
        <w:rPr>
          <w:rFonts w:ascii="Verdana" w:hAnsi="Verdana"/>
        </w:rPr>
        <w:t xml:space="preserve"> </w:t>
      </w:r>
      <w:r w:rsidRPr="00F10132">
        <w:rPr>
          <w:rFonts w:ascii="Verdana" w:hAnsi="Verdana"/>
        </w:rPr>
        <w:t xml:space="preserve">The NIHRC welcomed the introduction of legislation to outlaw consent to serious harm for sexual gratification in trials as a defence and provided advice on </w:t>
      </w:r>
      <w:r w:rsidR="00955715" w:rsidRPr="00F10132">
        <w:rPr>
          <w:rFonts w:ascii="Verdana" w:hAnsi="Verdana"/>
        </w:rPr>
        <w:t>how legislation could be human rights compliant</w:t>
      </w:r>
      <w:r w:rsidRPr="00F10132">
        <w:rPr>
          <w:rFonts w:ascii="Verdana" w:hAnsi="Verdana"/>
        </w:rPr>
        <w:t>.</w:t>
      </w:r>
      <w:r w:rsidR="00F10132">
        <w:rPr>
          <w:rStyle w:val="FootnoteReference"/>
          <w:rFonts w:ascii="Verdana" w:hAnsi="Verdana"/>
        </w:rPr>
        <w:footnoteReference w:id="80"/>
      </w:r>
      <w:r w:rsidRPr="00F10132">
        <w:rPr>
          <w:rFonts w:ascii="Verdana" w:hAnsi="Verdana"/>
        </w:rPr>
        <w:t xml:space="preserve"> </w:t>
      </w:r>
    </w:p>
    <w:p w14:paraId="68BFDD51" w14:textId="77777777" w:rsidR="005A004C" w:rsidRPr="000B6BB0" w:rsidRDefault="005A004C" w:rsidP="002B0AE2">
      <w:pPr>
        <w:pStyle w:val="ListParagraph"/>
        <w:spacing w:line="276" w:lineRule="auto"/>
        <w:rPr>
          <w:rFonts w:ascii="Verdana" w:hAnsi="Verdana"/>
        </w:rPr>
      </w:pPr>
    </w:p>
    <w:p w14:paraId="239A5208" w14:textId="77777777" w:rsidR="005A004C" w:rsidRPr="005A004C" w:rsidRDefault="005A004C" w:rsidP="002B0AE2">
      <w:pPr>
        <w:pStyle w:val="ListParagraph"/>
        <w:numPr>
          <w:ilvl w:val="1"/>
          <w:numId w:val="12"/>
        </w:numPr>
        <w:spacing w:line="276" w:lineRule="auto"/>
        <w:rPr>
          <w:rFonts w:ascii="Verdana" w:hAnsi="Verdana"/>
          <w:b/>
        </w:rPr>
      </w:pPr>
      <w:r w:rsidRPr="005A004C">
        <w:rPr>
          <w:rFonts w:ascii="Verdana" w:hAnsi="Verdana"/>
          <w:b/>
        </w:rPr>
        <w:t xml:space="preserve">The NIHRC would recommend the Committee for Justice </w:t>
      </w:r>
      <w:r w:rsidR="00C45EB1">
        <w:rPr>
          <w:rFonts w:ascii="Verdana" w:hAnsi="Verdana"/>
          <w:b/>
        </w:rPr>
        <w:t xml:space="preserve">refer to </w:t>
      </w:r>
      <w:r w:rsidRPr="005A004C">
        <w:rPr>
          <w:rFonts w:ascii="Verdana" w:hAnsi="Verdana"/>
          <w:b/>
        </w:rPr>
        <w:t xml:space="preserve">the Commission’s response </w:t>
      </w:r>
      <w:r w:rsidR="000B6BB0">
        <w:rPr>
          <w:rFonts w:ascii="Verdana" w:hAnsi="Verdana"/>
          <w:b/>
        </w:rPr>
        <w:t xml:space="preserve">to the </w:t>
      </w:r>
      <w:r w:rsidR="00F10132">
        <w:rPr>
          <w:rFonts w:ascii="Verdana" w:hAnsi="Verdana"/>
          <w:b/>
        </w:rPr>
        <w:t xml:space="preserve">consultation </w:t>
      </w:r>
      <w:r w:rsidR="00F10132" w:rsidRPr="00F10132">
        <w:rPr>
          <w:rFonts w:ascii="Verdana" w:hAnsi="Verdana"/>
          <w:b/>
        </w:rPr>
        <w:t xml:space="preserve">on </w:t>
      </w:r>
      <w:r w:rsidR="00F10132">
        <w:rPr>
          <w:rFonts w:ascii="Verdana" w:hAnsi="Verdana"/>
          <w:b/>
        </w:rPr>
        <w:t>‘</w:t>
      </w:r>
      <w:r w:rsidR="00F10132" w:rsidRPr="00F10132">
        <w:rPr>
          <w:rFonts w:ascii="Verdana" w:hAnsi="Verdana"/>
          <w:b/>
        </w:rPr>
        <w:t>Consent to Serious Harm for Sexual Gratification: Not a Defence</w:t>
      </w:r>
      <w:r w:rsidR="00F10132">
        <w:rPr>
          <w:rFonts w:ascii="Verdana" w:hAnsi="Verdana"/>
          <w:b/>
        </w:rPr>
        <w:t xml:space="preserve">’ to ensure this is implemented in a way that is compliant with human rights law. </w:t>
      </w:r>
    </w:p>
    <w:p w14:paraId="7249BC11" w14:textId="77777777" w:rsidR="000A1D37" w:rsidRDefault="000A1D37" w:rsidP="002B0AE2">
      <w:pPr>
        <w:pStyle w:val="Default"/>
        <w:spacing w:line="276" w:lineRule="auto"/>
        <w:ind w:left="720"/>
        <w:rPr>
          <w:rFonts w:cs="Arial"/>
          <w:color w:val="232120"/>
          <w:lang w:val="en-GB"/>
        </w:rPr>
      </w:pPr>
    </w:p>
    <w:p w14:paraId="11C0DD1A" w14:textId="77777777" w:rsidR="0057725A" w:rsidRPr="000A1D37" w:rsidRDefault="00DF0EFB" w:rsidP="002B0AE2">
      <w:pPr>
        <w:pStyle w:val="Heading2"/>
        <w:spacing w:before="0" w:line="276" w:lineRule="auto"/>
      </w:pPr>
      <w:bookmarkStart w:id="11" w:name="_Toc83380413"/>
      <w:r>
        <w:t>Image Based Sexual Abuse “Revenge P</w:t>
      </w:r>
      <w:r w:rsidR="0057725A">
        <w:t>orn”</w:t>
      </w:r>
      <w:bookmarkEnd w:id="11"/>
    </w:p>
    <w:p w14:paraId="2EEEEAEA" w14:textId="77777777" w:rsidR="000B6BB0" w:rsidRPr="000B6BB0" w:rsidRDefault="000B6BB0" w:rsidP="002B0AE2">
      <w:pPr>
        <w:spacing w:line="276" w:lineRule="auto"/>
        <w:rPr>
          <w:rFonts w:ascii="Verdana" w:hAnsi="Verdana"/>
        </w:rPr>
      </w:pPr>
    </w:p>
    <w:p w14:paraId="1EB6DCE4" w14:textId="77777777" w:rsidR="00F1080C" w:rsidRDefault="007807F9" w:rsidP="002B0AE2">
      <w:pPr>
        <w:pStyle w:val="ListParagraph"/>
        <w:numPr>
          <w:ilvl w:val="1"/>
          <w:numId w:val="12"/>
        </w:numPr>
        <w:spacing w:line="276" w:lineRule="auto"/>
        <w:rPr>
          <w:rFonts w:ascii="Verdana" w:hAnsi="Verdana"/>
        </w:rPr>
      </w:pPr>
      <w:r>
        <w:rPr>
          <w:rFonts w:ascii="Verdana" w:hAnsi="Verdana"/>
        </w:rPr>
        <w:t xml:space="preserve">The </w:t>
      </w:r>
      <w:r w:rsidR="00D57331">
        <w:rPr>
          <w:rFonts w:ascii="Verdana" w:hAnsi="Verdana"/>
        </w:rPr>
        <w:t xml:space="preserve">Commission </w:t>
      </w:r>
      <w:r>
        <w:rPr>
          <w:rFonts w:ascii="Verdana" w:hAnsi="Verdana"/>
        </w:rPr>
        <w:t xml:space="preserve">welcomes the Department’s commitment to an </w:t>
      </w:r>
      <w:r w:rsidR="00F1080C">
        <w:rPr>
          <w:rFonts w:ascii="Verdana" w:hAnsi="Verdana"/>
        </w:rPr>
        <w:t>amendment to introduce</w:t>
      </w:r>
      <w:r>
        <w:rPr>
          <w:rFonts w:ascii="Verdana" w:hAnsi="Verdana"/>
        </w:rPr>
        <w:t xml:space="preserve"> provisio</w:t>
      </w:r>
      <w:r w:rsidR="0057725A">
        <w:rPr>
          <w:rFonts w:ascii="Verdana" w:hAnsi="Verdana"/>
        </w:rPr>
        <w:t>n for image based sexual abuse</w:t>
      </w:r>
      <w:r w:rsidR="00D57331">
        <w:rPr>
          <w:rFonts w:ascii="Verdana" w:hAnsi="Verdana"/>
        </w:rPr>
        <w:t>,</w:t>
      </w:r>
      <w:r w:rsidR="0057725A">
        <w:rPr>
          <w:rFonts w:ascii="Verdana" w:hAnsi="Verdana"/>
        </w:rPr>
        <w:t xml:space="preserve"> including a</w:t>
      </w:r>
      <w:r w:rsidR="0057725A" w:rsidRPr="0057725A">
        <w:rPr>
          <w:rFonts w:ascii="Verdana" w:hAnsi="Verdana"/>
        </w:rPr>
        <w:t>n extension to existing revenge porn provisions to include a threat of publication</w:t>
      </w:r>
      <w:r w:rsidR="0057725A">
        <w:rPr>
          <w:rFonts w:ascii="Verdana" w:hAnsi="Verdana"/>
        </w:rPr>
        <w:t xml:space="preserve">. </w:t>
      </w:r>
    </w:p>
    <w:p w14:paraId="6844CE0C" w14:textId="77777777" w:rsidR="007807F9" w:rsidRDefault="007807F9" w:rsidP="002B0AE2">
      <w:pPr>
        <w:pStyle w:val="ListParagraph"/>
        <w:spacing w:line="276" w:lineRule="auto"/>
        <w:rPr>
          <w:rFonts w:ascii="Verdana" w:hAnsi="Verdana"/>
        </w:rPr>
      </w:pPr>
    </w:p>
    <w:p w14:paraId="32A19D8B" w14:textId="05335A2E" w:rsidR="000B6BB0" w:rsidRPr="007807F9" w:rsidRDefault="000B6BB0" w:rsidP="002B0AE2">
      <w:pPr>
        <w:pStyle w:val="ListParagraph"/>
        <w:numPr>
          <w:ilvl w:val="1"/>
          <w:numId w:val="12"/>
        </w:numPr>
        <w:spacing w:line="276" w:lineRule="auto"/>
        <w:rPr>
          <w:rFonts w:ascii="Verdana" w:hAnsi="Verdana"/>
        </w:rPr>
      </w:pPr>
      <w:r w:rsidRPr="000B6BB0">
        <w:rPr>
          <w:rFonts w:ascii="Verdana" w:hAnsi="Verdana"/>
        </w:rPr>
        <w:t xml:space="preserve">The NIHRC recognises that new forms of gender-based violence against women </w:t>
      </w:r>
      <w:r w:rsidR="00D97236">
        <w:rPr>
          <w:rFonts w:ascii="Verdana" w:hAnsi="Verdana"/>
        </w:rPr>
        <w:t>are</w:t>
      </w:r>
      <w:r w:rsidRPr="000B6BB0">
        <w:rPr>
          <w:rFonts w:ascii="Verdana" w:hAnsi="Verdana"/>
        </w:rPr>
        <w:t xml:space="preserve"> emerging</w:t>
      </w:r>
      <w:r w:rsidR="0057725A">
        <w:rPr>
          <w:rFonts w:ascii="Verdana" w:hAnsi="Verdana"/>
        </w:rPr>
        <w:t xml:space="preserve">. This includes </w:t>
      </w:r>
      <w:r w:rsidRPr="007807F9">
        <w:rPr>
          <w:rFonts w:ascii="Verdana" w:hAnsi="Verdana"/>
        </w:rPr>
        <w:t xml:space="preserve">forms of online violence against women such as “doxing”, “sextortion” and “trolling”, as well as the non-consensual distribution of intimate content (or “revenge </w:t>
      </w:r>
      <w:r w:rsidR="00EF353B" w:rsidRPr="007807F9">
        <w:rPr>
          <w:rFonts w:ascii="Verdana" w:hAnsi="Verdana"/>
        </w:rPr>
        <w:t xml:space="preserve">porn”). </w:t>
      </w:r>
      <w:r w:rsidR="0057725A">
        <w:rPr>
          <w:rFonts w:ascii="Verdana" w:hAnsi="Verdana"/>
        </w:rPr>
        <w:t xml:space="preserve">Technology has </w:t>
      </w:r>
      <w:r w:rsidR="007028E1">
        <w:rPr>
          <w:rFonts w:ascii="Verdana" w:hAnsi="Verdana"/>
        </w:rPr>
        <w:t>evolved</w:t>
      </w:r>
      <w:r w:rsidR="007028E1" w:rsidRPr="007807F9">
        <w:rPr>
          <w:rFonts w:ascii="Verdana" w:hAnsi="Verdana"/>
        </w:rPr>
        <w:t xml:space="preserve"> </w:t>
      </w:r>
      <w:r w:rsidR="007028E1">
        <w:rPr>
          <w:rFonts w:ascii="Verdana" w:hAnsi="Verdana"/>
        </w:rPr>
        <w:t xml:space="preserve">which means </w:t>
      </w:r>
      <w:r w:rsidRPr="007807F9">
        <w:rPr>
          <w:rFonts w:ascii="Verdana" w:hAnsi="Verdana"/>
        </w:rPr>
        <w:t xml:space="preserve">different forms of gender-based violence </w:t>
      </w:r>
      <w:r w:rsidR="007028E1">
        <w:rPr>
          <w:rFonts w:ascii="Verdana" w:hAnsi="Verdana"/>
        </w:rPr>
        <w:t xml:space="preserve">have transformed </w:t>
      </w:r>
      <w:r w:rsidRPr="007807F9">
        <w:rPr>
          <w:rFonts w:ascii="Verdana" w:hAnsi="Verdana"/>
        </w:rPr>
        <w:t xml:space="preserve">into </w:t>
      </w:r>
      <w:r w:rsidR="007028E1">
        <w:rPr>
          <w:rFonts w:ascii="Verdana" w:hAnsi="Verdana"/>
        </w:rPr>
        <w:t xml:space="preserve">offences </w:t>
      </w:r>
      <w:r w:rsidRPr="007807F9">
        <w:rPr>
          <w:rFonts w:ascii="Verdana" w:hAnsi="Verdana"/>
        </w:rPr>
        <w:t>perpetrated across distance, without physical contact and beyond borders, with anonymous profiles to amplify the harm to the victim.</w:t>
      </w:r>
      <w:r w:rsidR="007807F9">
        <w:rPr>
          <w:rStyle w:val="FootnoteReference"/>
          <w:rFonts w:ascii="Verdana" w:hAnsi="Verdana"/>
        </w:rPr>
        <w:footnoteReference w:id="81"/>
      </w:r>
    </w:p>
    <w:p w14:paraId="7D25A8A5" w14:textId="77777777" w:rsidR="00EF353B" w:rsidRDefault="00EF353B" w:rsidP="002B0AE2">
      <w:pPr>
        <w:pStyle w:val="ListParagraph"/>
        <w:spacing w:line="276" w:lineRule="auto"/>
        <w:rPr>
          <w:rFonts w:ascii="Verdana" w:hAnsi="Verdana"/>
        </w:rPr>
      </w:pPr>
    </w:p>
    <w:p w14:paraId="28C3C943" w14:textId="0ACA512C" w:rsidR="0057725A" w:rsidRDefault="007807F9" w:rsidP="002B0AE2">
      <w:pPr>
        <w:pStyle w:val="ListParagraph"/>
        <w:numPr>
          <w:ilvl w:val="1"/>
          <w:numId w:val="12"/>
        </w:numPr>
        <w:spacing w:line="276" w:lineRule="auto"/>
        <w:rPr>
          <w:rFonts w:ascii="Verdana" w:hAnsi="Verdana"/>
        </w:rPr>
      </w:pPr>
      <w:r w:rsidRPr="007807F9">
        <w:rPr>
          <w:rFonts w:ascii="Verdana" w:hAnsi="Verdana"/>
        </w:rPr>
        <w:t>The NIHRC would highlight the disproportionate impact of the</w:t>
      </w:r>
      <w:r w:rsidR="007028E1">
        <w:rPr>
          <w:rFonts w:ascii="Verdana" w:hAnsi="Verdana"/>
        </w:rPr>
        <w:t xml:space="preserve">se forms </w:t>
      </w:r>
      <w:r w:rsidRPr="007807F9">
        <w:rPr>
          <w:rFonts w:ascii="Verdana" w:hAnsi="Verdana"/>
        </w:rPr>
        <w:t xml:space="preserve">of </w:t>
      </w:r>
      <w:r w:rsidR="00D57331">
        <w:rPr>
          <w:rFonts w:ascii="Verdana" w:hAnsi="Verdana"/>
        </w:rPr>
        <w:t>violence</w:t>
      </w:r>
      <w:r w:rsidR="00D57331" w:rsidRPr="007807F9">
        <w:rPr>
          <w:rFonts w:ascii="Verdana" w:hAnsi="Verdana"/>
        </w:rPr>
        <w:t xml:space="preserve"> </w:t>
      </w:r>
      <w:r w:rsidR="00EF353B" w:rsidRPr="007807F9">
        <w:rPr>
          <w:rFonts w:ascii="Verdana" w:hAnsi="Verdana"/>
        </w:rPr>
        <w:t>against women</w:t>
      </w:r>
      <w:r w:rsidR="007028E1">
        <w:rPr>
          <w:rFonts w:ascii="Verdana" w:hAnsi="Verdana"/>
        </w:rPr>
        <w:t xml:space="preserve"> and girls</w:t>
      </w:r>
      <w:r>
        <w:rPr>
          <w:rFonts w:ascii="Verdana" w:hAnsi="Verdana"/>
        </w:rPr>
        <w:t xml:space="preserve">. </w:t>
      </w:r>
      <w:r w:rsidR="00955715">
        <w:rPr>
          <w:rFonts w:ascii="Verdana" w:hAnsi="Verdana"/>
        </w:rPr>
        <w:t xml:space="preserve">Online </w:t>
      </w:r>
      <w:r w:rsidR="00EF353B" w:rsidRPr="00955715">
        <w:rPr>
          <w:rFonts w:ascii="Verdana" w:hAnsi="Verdana"/>
        </w:rPr>
        <w:t>abuse against women journalis</w:t>
      </w:r>
      <w:r w:rsidR="00955715">
        <w:rPr>
          <w:rFonts w:ascii="Verdana" w:hAnsi="Verdana"/>
        </w:rPr>
        <w:t>ts and women in the media is a d</w:t>
      </w:r>
      <w:r w:rsidR="00EF353B" w:rsidRPr="00955715">
        <w:rPr>
          <w:rFonts w:ascii="Verdana" w:hAnsi="Verdana"/>
        </w:rPr>
        <w:t xml:space="preserve">irect attack on women’s visibility and their full participation in public life. The anonymity of perpetrators further </w:t>
      </w:r>
      <w:r w:rsidR="00EF353B" w:rsidRPr="00955715">
        <w:rPr>
          <w:rFonts w:ascii="Verdana" w:hAnsi="Verdana"/>
        </w:rPr>
        <w:lastRenderedPageBreak/>
        <w:t>heightens the fear of violence, resulting in the sense of insecurity and distre</w:t>
      </w:r>
      <w:r w:rsidR="0057725A">
        <w:rPr>
          <w:rFonts w:ascii="Verdana" w:hAnsi="Verdana"/>
        </w:rPr>
        <w:t>ss experienced by the victims.</w:t>
      </w:r>
      <w:r w:rsidR="003168F5">
        <w:rPr>
          <w:rStyle w:val="FootnoteReference"/>
          <w:rFonts w:ascii="Verdana" w:hAnsi="Verdana"/>
        </w:rPr>
        <w:footnoteReference w:id="82"/>
      </w:r>
      <w:r w:rsidR="0057725A">
        <w:rPr>
          <w:rFonts w:ascii="Verdana" w:hAnsi="Verdana"/>
        </w:rPr>
        <w:t xml:space="preserve"> </w:t>
      </w:r>
    </w:p>
    <w:p w14:paraId="7A0CEAF9" w14:textId="77777777" w:rsidR="0057725A" w:rsidRPr="0057725A" w:rsidRDefault="0057725A" w:rsidP="002B0AE2">
      <w:pPr>
        <w:pStyle w:val="ListParagraph"/>
        <w:spacing w:line="276" w:lineRule="auto"/>
        <w:rPr>
          <w:rFonts w:ascii="Verdana" w:hAnsi="Verdana"/>
        </w:rPr>
      </w:pPr>
    </w:p>
    <w:p w14:paraId="5C9F5847" w14:textId="77777777" w:rsidR="0057725A" w:rsidRDefault="0057725A" w:rsidP="002B0AE2">
      <w:pPr>
        <w:pStyle w:val="ListParagraph"/>
        <w:numPr>
          <w:ilvl w:val="1"/>
          <w:numId w:val="12"/>
        </w:numPr>
        <w:spacing w:line="276" w:lineRule="auto"/>
        <w:rPr>
          <w:rFonts w:ascii="Verdana" w:hAnsi="Verdana"/>
        </w:rPr>
      </w:pPr>
      <w:r>
        <w:rPr>
          <w:rFonts w:ascii="Verdana" w:hAnsi="Verdana"/>
        </w:rPr>
        <w:t xml:space="preserve">The </w:t>
      </w:r>
      <w:r w:rsidR="00A00931">
        <w:rPr>
          <w:rFonts w:ascii="Verdana" w:hAnsi="Verdana"/>
        </w:rPr>
        <w:t>Bill</w:t>
      </w:r>
      <w:r>
        <w:rPr>
          <w:rFonts w:ascii="Verdana" w:hAnsi="Verdana"/>
        </w:rPr>
        <w:t xml:space="preserve"> should therefore </w:t>
      </w:r>
      <w:r w:rsidR="00835658">
        <w:rPr>
          <w:rFonts w:ascii="Verdana" w:hAnsi="Verdana"/>
        </w:rPr>
        <w:t>reflect</w:t>
      </w:r>
      <w:r w:rsidRPr="0057725A">
        <w:rPr>
          <w:rFonts w:ascii="Verdana" w:hAnsi="Verdana"/>
        </w:rPr>
        <w:t xml:space="preserve"> the disproportionate effect </w:t>
      </w:r>
      <w:r w:rsidR="00835658">
        <w:rPr>
          <w:rFonts w:ascii="Verdana" w:hAnsi="Verdana"/>
        </w:rPr>
        <w:t xml:space="preserve">of ‘revenge porn’ </w:t>
      </w:r>
      <w:r w:rsidRPr="0057725A">
        <w:rPr>
          <w:rFonts w:ascii="Verdana" w:hAnsi="Verdana"/>
        </w:rPr>
        <w:t xml:space="preserve">on women </w:t>
      </w:r>
      <w:r w:rsidR="00615DE3">
        <w:rPr>
          <w:rFonts w:ascii="Verdana" w:hAnsi="Verdana"/>
        </w:rPr>
        <w:t xml:space="preserve">and girls, </w:t>
      </w:r>
      <w:r w:rsidRPr="0057725A">
        <w:rPr>
          <w:rFonts w:ascii="Verdana" w:hAnsi="Verdana"/>
        </w:rPr>
        <w:t>and e</w:t>
      </w:r>
      <w:r>
        <w:rPr>
          <w:rFonts w:ascii="Verdana" w:hAnsi="Verdana"/>
        </w:rPr>
        <w:t>nsure a gender</w:t>
      </w:r>
      <w:r w:rsidR="00A00931">
        <w:rPr>
          <w:rFonts w:ascii="Verdana" w:hAnsi="Verdana"/>
        </w:rPr>
        <w:t>-</w:t>
      </w:r>
      <w:r>
        <w:rPr>
          <w:rFonts w:ascii="Verdana" w:hAnsi="Verdana"/>
        </w:rPr>
        <w:t xml:space="preserve">based approach. </w:t>
      </w:r>
    </w:p>
    <w:p w14:paraId="680A8584" w14:textId="77777777" w:rsidR="0057725A" w:rsidRPr="0057725A" w:rsidRDefault="0057725A" w:rsidP="002B0AE2">
      <w:pPr>
        <w:pStyle w:val="ListParagraph"/>
        <w:spacing w:line="276" w:lineRule="auto"/>
        <w:rPr>
          <w:rFonts w:ascii="Verdana" w:hAnsi="Verdana"/>
        </w:rPr>
      </w:pPr>
    </w:p>
    <w:p w14:paraId="76B0FE1A" w14:textId="77777777" w:rsidR="0057725A" w:rsidRPr="0057725A" w:rsidRDefault="00F10132" w:rsidP="002B0AE2">
      <w:pPr>
        <w:pStyle w:val="ListParagraph"/>
        <w:numPr>
          <w:ilvl w:val="1"/>
          <w:numId w:val="12"/>
        </w:numPr>
        <w:spacing w:line="276" w:lineRule="auto"/>
      </w:pPr>
      <w:r w:rsidRPr="0057725A">
        <w:rPr>
          <w:rFonts w:ascii="Verdana" w:hAnsi="Verdana"/>
          <w:b/>
        </w:rPr>
        <w:t xml:space="preserve">The NIHRC recommends the Bill </w:t>
      </w:r>
      <w:r w:rsidR="0057725A">
        <w:rPr>
          <w:rFonts w:ascii="Verdana" w:hAnsi="Verdana"/>
          <w:b/>
        </w:rPr>
        <w:t xml:space="preserve">include an amendment to </w:t>
      </w:r>
      <w:r w:rsidRPr="0057725A">
        <w:rPr>
          <w:rFonts w:ascii="Verdana" w:hAnsi="Verdana"/>
          <w:b/>
        </w:rPr>
        <w:t xml:space="preserve">introduce provision for </w:t>
      </w:r>
      <w:r w:rsidR="0057725A" w:rsidRPr="0057725A">
        <w:rPr>
          <w:rFonts w:ascii="Verdana" w:hAnsi="Verdana"/>
          <w:b/>
        </w:rPr>
        <w:t>image based sexual abuse including for</w:t>
      </w:r>
      <w:r w:rsidR="0057725A">
        <w:rPr>
          <w:rFonts w:ascii="Verdana" w:hAnsi="Verdana"/>
          <w:b/>
        </w:rPr>
        <w:t xml:space="preserve"> the threat of publication. The proposed legislation should ensure considerati</w:t>
      </w:r>
      <w:r w:rsidR="00DF0EFB">
        <w:rPr>
          <w:rFonts w:ascii="Verdana" w:hAnsi="Verdana"/>
          <w:b/>
        </w:rPr>
        <w:t xml:space="preserve">on of human rights obligations including the disproportionate impact on women </w:t>
      </w:r>
      <w:r w:rsidR="00615DE3">
        <w:rPr>
          <w:rFonts w:ascii="Verdana" w:hAnsi="Verdana"/>
          <w:b/>
        </w:rPr>
        <w:t xml:space="preserve">and girls, </w:t>
      </w:r>
      <w:r w:rsidR="00DF0EFB">
        <w:rPr>
          <w:rFonts w:ascii="Verdana" w:hAnsi="Verdana"/>
          <w:b/>
        </w:rPr>
        <w:t>and</w:t>
      </w:r>
      <w:r w:rsidR="00C87EB0">
        <w:rPr>
          <w:rFonts w:ascii="Verdana" w:hAnsi="Verdana"/>
          <w:b/>
        </w:rPr>
        <w:t xml:space="preserve"> recognise</w:t>
      </w:r>
      <w:r w:rsidR="00DF0EFB">
        <w:rPr>
          <w:rFonts w:ascii="Verdana" w:hAnsi="Verdana"/>
          <w:b/>
        </w:rPr>
        <w:t xml:space="preserve"> image based sexual abuse as a new form of gender-based violence. </w:t>
      </w:r>
    </w:p>
    <w:p w14:paraId="7F1133E3" w14:textId="77777777" w:rsidR="0057725A" w:rsidRDefault="0057725A" w:rsidP="002B0AE2">
      <w:pPr>
        <w:pStyle w:val="ListParagraph"/>
        <w:spacing w:line="276" w:lineRule="auto"/>
      </w:pPr>
    </w:p>
    <w:p w14:paraId="520082D3" w14:textId="77777777" w:rsidR="000A1D37" w:rsidRDefault="00C53916" w:rsidP="002B0AE2">
      <w:pPr>
        <w:pStyle w:val="Heading2"/>
        <w:spacing w:before="0" w:line="276" w:lineRule="auto"/>
      </w:pPr>
      <w:bookmarkStart w:id="12" w:name="_Toc83380414"/>
      <w:r>
        <w:t>A</w:t>
      </w:r>
      <w:r w:rsidR="00DF0EFB">
        <w:t>buse of T</w:t>
      </w:r>
      <w:r w:rsidR="000A1D37" w:rsidRPr="000A1D37">
        <w:t>rust</w:t>
      </w:r>
      <w:bookmarkEnd w:id="12"/>
    </w:p>
    <w:p w14:paraId="78A7C020" w14:textId="77777777" w:rsidR="00A97B63" w:rsidRDefault="00A97B63" w:rsidP="002B0AE2">
      <w:pPr>
        <w:spacing w:line="276" w:lineRule="auto"/>
      </w:pPr>
    </w:p>
    <w:p w14:paraId="568285E8" w14:textId="0E98AB80" w:rsidR="005A004C" w:rsidRDefault="00A97B63" w:rsidP="002B0AE2">
      <w:pPr>
        <w:pStyle w:val="ListParagraph"/>
        <w:numPr>
          <w:ilvl w:val="1"/>
          <w:numId w:val="12"/>
        </w:numPr>
        <w:spacing w:line="276" w:lineRule="auto"/>
        <w:rPr>
          <w:rFonts w:ascii="Verdana" w:hAnsi="Verdana"/>
        </w:rPr>
      </w:pPr>
      <w:r w:rsidRPr="005A004C">
        <w:rPr>
          <w:rFonts w:ascii="Verdana" w:hAnsi="Verdana"/>
        </w:rPr>
        <w:t xml:space="preserve">The </w:t>
      </w:r>
      <w:r w:rsidR="00D57331">
        <w:rPr>
          <w:rFonts w:ascii="Verdana" w:hAnsi="Verdana"/>
        </w:rPr>
        <w:t xml:space="preserve">Commission </w:t>
      </w:r>
      <w:r w:rsidRPr="005A004C">
        <w:rPr>
          <w:rFonts w:ascii="Verdana" w:hAnsi="Verdana"/>
        </w:rPr>
        <w:t xml:space="preserve">welcomes </w:t>
      </w:r>
      <w:r w:rsidR="00E50E6F">
        <w:rPr>
          <w:rFonts w:ascii="Verdana" w:hAnsi="Verdana"/>
        </w:rPr>
        <w:t>the proposed amendment that</w:t>
      </w:r>
      <w:r w:rsidR="005A004C" w:rsidRPr="005A004C">
        <w:rPr>
          <w:rFonts w:ascii="Verdana" w:hAnsi="Verdana"/>
        </w:rPr>
        <w:t xml:space="preserve"> widen</w:t>
      </w:r>
      <w:r w:rsidR="007028E1">
        <w:rPr>
          <w:rFonts w:ascii="Verdana" w:hAnsi="Verdana"/>
        </w:rPr>
        <w:t>s</w:t>
      </w:r>
      <w:r w:rsidR="005A004C" w:rsidRPr="005A004C">
        <w:rPr>
          <w:rFonts w:ascii="Verdana" w:hAnsi="Verdana"/>
        </w:rPr>
        <w:t xml:space="preserve"> the scope of the offence to include</w:t>
      </w:r>
      <w:r w:rsidR="00E57B95">
        <w:rPr>
          <w:rFonts w:ascii="Verdana" w:hAnsi="Verdana"/>
        </w:rPr>
        <w:t xml:space="preserve"> the abuse of trust in</w:t>
      </w:r>
      <w:r w:rsidR="005A004C" w:rsidRPr="005A004C">
        <w:rPr>
          <w:rFonts w:ascii="Verdana" w:hAnsi="Verdana"/>
        </w:rPr>
        <w:t xml:space="preserve"> non-statutory settings.</w:t>
      </w:r>
    </w:p>
    <w:p w14:paraId="6857FFE7" w14:textId="77777777" w:rsidR="005A004C" w:rsidRDefault="005A004C" w:rsidP="002B0AE2">
      <w:pPr>
        <w:pStyle w:val="ListParagraph"/>
        <w:spacing w:line="276" w:lineRule="auto"/>
        <w:rPr>
          <w:rFonts w:ascii="Verdana" w:hAnsi="Verdana"/>
        </w:rPr>
      </w:pPr>
    </w:p>
    <w:p w14:paraId="13012CF8" w14:textId="7460F06F" w:rsidR="00A97B63" w:rsidRPr="00E57B95" w:rsidRDefault="005A004C" w:rsidP="002B0AE2">
      <w:pPr>
        <w:pStyle w:val="ListParagraph"/>
        <w:numPr>
          <w:ilvl w:val="1"/>
          <w:numId w:val="12"/>
        </w:numPr>
        <w:spacing w:line="276" w:lineRule="auto"/>
        <w:rPr>
          <w:rFonts w:ascii="Verdana" w:hAnsi="Verdana"/>
        </w:rPr>
      </w:pPr>
      <w:r w:rsidRPr="00E57B95">
        <w:rPr>
          <w:rFonts w:ascii="Verdana" w:hAnsi="Verdana"/>
        </w:rPr>
        <w:t xml:space="preserve">Currently, </w:t>
      </w:r>
      <w:r w:rsidR="00A97B63" w:rsidRPr="00E57B95">
        <w:rPr>
          <w:rFonts w:ascii="Verdana" w:hAnsi="Verdana"/>
        </w:rPr>
        <w:t xml:space="preserve">legislative provision for abuse of positions of trust within statutory settings, such as education and health, is provided for in the Sexual Offences (Northern Ireland) Order 2008. </w:t>
      </w:r>
      <w:r w:rsidR="00E57B95" w:rsidRPr="00E57B95">
        <w:rPr>
          <w:rFonts w:ascii="Verdana" w:hAnsi="Verdana"/>
        </w:rPr>
        <w:t>The Commission</w:t>
      </w:r>
      <w:r w:rsidR="00E57B95">
        <w:rPr>
          <w:rFonts w:ascii="Verdana" w:hAnsi="Verdana"/>
        </w:rPr>
        <w:t xml:space="preserve"> has previously advised</w:t>
      </w:r>
      <w:r w:rsidR="00E57B95" w:rsidRPr="00E57B95">
        <w:rPr>
          <w:rFonts w:ascii="Verdana" w:hAnsi="Verdana"/>
        </w:rPr>
        <w:t xml:space="preserve"> that the current definition of position of trust found at Article </w:t>
      </w:r>
      <w:r w:rsidR="005B7372">
        <w:rPr>
          <w:rFonts w:ascii="Verdana" w:hAnsi="Verdana"/>
        </w:rPr>
        <w:t>2</w:t>
      </w:r>
      <w:r w:rsidR="00E57B95" w:rsidRPr="00E57B95">
        <w:rPr>
          <w:rFonts w:ascii="Verdana" w:hAnsi="Verdana"/>
        </w:rPr>
        <w:t>8, Sexual Offences (Northern Ireland) Order 2008 is not consistent with the requirements of the Lanzarote Convention.</w:t>
      </w:r>
      <w:r w:rsidR="00E57B95">
        <w:rPr>
          <w:rStyle w:val="FootnoteReference"/>
          <w:rFonts w:ascii="Verdana" w:hAnsi="Verdana"/>
        </w:rPr>
        <w:footnoteReference w:id="83"/>
      </w:r>
      <w:r w:rsidR="00E57B95" w:rsidRPr="00E57B95">
        <w:rPr>
          <w:rFonts w:ascii="Verdana" w:hAnsi="Verdana"/>
        </w:rPr>
        <w:t xml:space="preserve">  </w:t>
      </w:r>
    </w:p>
    <w:p w14:paraId="2F26D6B9" w14:textId="77777777" w:rsidR="00B27C6A" w:rsidRPr="00B27C6A" w:rsidRDefault="00B27C6A" w:rsidP="002B0AE2">
      <w:pPr>
        <w:pStyle w:val="ListParagraph"/>
        <w:spacing w:line="276" w:lineRule="auto"/>
        <w:rPr>
          <w:rFonts w:ascii="Verdana" w:hAnsi="Verdana"/>
        </w:rPr>
      </w:pPr>
    </w:p>
    <w:p w14:paraId="00084CA1" w14:textId="45F4D2D4" w:rsidR="00B27C6A" w:rsidRPr="007F0CFC" w:rsidRDefault="00B27C6A" w:rsidP="002B0AE2">
      <w:pPr>
        <w:pStyle w:val="Default"/>
        <w:widowControl/>
        <w:numPr>
          <w:ilvl w:val="1"/>
          <w:numId w:val="12"/>
        </w:numPr>
        <w:spacing w:line="276" w:lineRule="auto"/>
      </w:pPr>
      <w:r>
        <w:t>T</w:t>
      </w:r>
      <w:r w:rsidRPr="007F0CFC">
        <w:t>he Lanzarote Convention</w:t>
      </w:r>
      <w:r>
        <w:t xml:space="preserve">, Article </w:t>
      </w:r>
      <w:r w:rsidR="005B7372">
        <w:t>1</w:t>
      </w:r>
      <w:r>
        <w:t>8,</w:t>
      </w:r>
      <w:r w:rsidRPr="007F0CFC">
        <w:t xml:space="preserve"> requires States to criminalise </w:t>
      </w:r>
      <w:r>
        <w:t xml:space="preserve">the act(s) of </w:t>
      </w:r>
      <w:r w:rsidRPr="007F0CFC">
        <w:t>engaging in sexual activities with a child where “abuse is made of a recognised position of trust, authority or influence over the child</w:t>
      </w:r>
      <w:r>
        <w:t>.</w:t>
      </w:r>
      <w:r w:rsidRPr="007F0CFC">
        <w:t>”</w:t>
      </w:r>
      <w:r w:rsidRPr="007F0CFC">
        <w:rPr>
          <w:rStyle w:val="FootnoteReference"/>
        </w:rPr>
        <w:footnoteReference w:id="84"/>
      </w:r>
      <w:r w:rsidRPr="007F0CFC">
        <w:t xml:space="preserve"> The Explanatory Report to the Convention is clear that “children in certain relationships must be protected, even when they have already reached the legal age for sexual activities and the person involved does not use coercion, force or threat”.</w:t>
      </w:r>
      <w:r>
        <w:rPr>
          <w:rStyle w:val="FootnoteReference"/>
        </w:rPr>
        <w:footnoteReference w:id="85"/>
      </w:r>
      <w:r w:rsidRPr="007F0CFC">
        <w:t xml:space="preserve"> </w:t>
      </w:r>
    </w:p>
    <w:p w14:paraId="597072A9" w14:textId="77777777" w:rsidR="00B27C6A" w:rsidRPr="007F0CFC" w:rsidRDefault="00B27C6A" w:rsidP="002B0AE2">
      <w:pPr>
        <w:pStyle w:val="ListParagraph"/>
        <w:spacing w:line="276" w:lineRule="auto"/>
      </w:pPr>
    </w:p>
    <w:p w14:paraId="49EBA3BF" w14:textId="77777777" w:rsidR="00B27C6A" w:rsidRPr="007F0CFC" w:rsidRDefault="00B27C6A" w:rsidP="002B0AE2">
      <w:pPr>
        <w:pStyle w:val="Default"/>
        <w:widowControl/>
        <w:numPr>
          <w:ilvl w:val="1"/>
          <w:numId w:val="12"/>
        </w:numPr>
        <w:spacing w:line="276" w:lineRule="auto"/>
      </w:pPr>
      <w:r w:rsidRPr="007F0CFC">
        <w:t>The Explanatory Report</w:t>
      </w:r>
      <w:r>
        <w:t xml:space="preserve"> to the Lanzarote Convention</w:t>
      </w:r>
      <w:r w:rsidRPr="007F0CFC">
        <w:t xml:space="preserve"> </w:t>
      </w:r>
      <w:r>
        <w:t xml:space="preserve">states </w:t>
      </w:r>
      <w:r w:rsidRPr="007F0CFC">
        <w:t xml:space="preserve">that abuse of trust can occur in relation to persons who “have parental or caretaking functions; or </w:t>
      </w:r>
      <w:r>
        <w:t>educate</w:t>
      </w:r>
      <w:r w:rsidRPr="007F0CFC">
        <w:t xml:space="preserve"> the child; provide emotional, pastoral, therapeutic or medical care; or employ or have financial control over the child; or </w:t>
      </w:r>
      <w:r w:rsidRPr="007F0CFC">
        <w:lastRenderedPageBreak/>
        <w:t>otherwise exercise control over the child”.</w:t>
      </w:r>
      <w:r>
        <w:rPr>
          <w:rStyle w:val="FootnoteReference"/>
        </w:rPr>
        <w:footnoteReference w:id="86"/>
      </w:r>
      <w:r w:rsidRPr="007F0CFC">
        <w:t xml:space="preserve"> The report </w:t>
      </w:r>
      <w:r>
        <w:t xml:space="preserve">specifies </w:t>
      </w:r>
      <w:r w:rsidRPr="007F0CFC">
        <w:t xml:space="preserve">that “volunteers who look </w:t>
      </w:r>
      <w:r>
        <w:t>after children in their leisure</w:t>
      </w:r>
      <w:r w:rsidRPr="007F0CFC">
        <w:t>-time or during voluntary activities, for example at holiday-camps or in youth organisations, can also be viewed as holding positions of trust”.</w:t>
      </w:r>
      <w:r>
        <w:rPr>
          <w:rStyle w:val="FootnoteReference"/>
        </w:rPr>
        <w:footnoteReference w:id="87"/>
      </w:r>
      <w:r w:rsidRPr="007F0CFC">
        <w:t xml:space="preserve"> The Commission notes that the list of situations involving relationships of trust is not exhaustive. </w:t>
      </w:r>
    </w:p>
    <w:p w14:paraId="6FF5C281" w14:textId="77777777" w:rsidR="00B27C6A" w:rsidRPr="007F0CFC" w:rsidRDefault="00B27C6A" w:rsidP="002B0AE2">
      <w:pPr>
        <w:pStyle w:val="ListParagraph"/>
        <w:spacing w:line="276" w:lineRule="auto"/>
      </w:pPr>
    </w:p>
    <w:p w14:paraId="4233D330" w14:textId="4D2B7AF0" w:rsidR="00E50E6F" w:rsidRDefault="00B27C6A" w:rsidP="002B0AE2">
      <w:pPr>
        <w:pStyle w:val="Default"/>
        <w:widowControl/>
        <w:numPr>
          <w:ilvl w:val="1"/>
          <w:numId w:val="12"/>
        </w:numPr>
        <w:spacing w:line="276" w:lineRule="auto"/>
        <w:rPr>
          <w:rFonts w:cs="Calibri"/>
        </w:rPr>
      </w:pPr>
      <w:r w:rsidRPr="007F0CFC">
        <w:t xml:space="preserve">In its first implementation report of the Convention, the </w:t>
      </w:r>
      <w:r>
        <w:t xml:space="preserve">Lanzarote </w:t>
      </w:r>
      <w:r w:rsidRPr="007F0CFC">
        <w:t>Committee specifie</w:t>
      </w:r>
      <w:r w:rsidR="007028E1">
        <w:t>d</w:t>
      </w:r>
      <w:r w:rsidRPr="007F0CFC">
        <w:t xml:space="preserve"> that the concept of relationships of trust should be afforded a “broad interpretation”</w:t>
      </w:r>
      <w:r>
        <w:t>.</w:t>
      </w:r>
      <w:r w:rsidRPr="007F0CFC">
        <w:rPr>
          <w:rStyle w:val="FootnoteReference"/>
        </w:rPr>
        <w:footnoteReference w:id="88"/>
      </w:r>
      <w:r w:rsidRPr="007F0CFC">
        <w:t xml:space="preserve"> The Committee notes that domestic legislation is only in conformity with the Convention if it provides an “open-ended enumeration” of situations involving abuse of trust. This </w:t>
      </w:r>
      <w:r>
        <w:t>ensures</w:t>
      </w:r>
      <w:r w:rsidRPr="007F0CFC">
        <w:t xml:space="preserve"> that there is “enough flexibility to determine on a </w:t>
      </w:r>
      <w:r w:rsidR="00BD4852" w:rsidRPr="007F0CFC">
        <w:t>case-by-case</w:t>
      </w:r>
      <w:r w:rsidRPr="007F0CFC">
        <w:t xml:space="preserve"> basis whether the alleged perpetrator abused his or her position of authority, influence or trust.</w:t>
      </w:r>
      <w:r w:rsidRPr="007F0CFC">
        <w:rPr>
          <w:rStyle w:val="FootnoteReference"/>
        </w:rPr>
        <w:footnoteReference w:id="89"/>
      </w:r>
      <w:r w:rsidRPr="007F0CFC">
        <w:t xml:space="preserve"> </w:t>
      </w:r>
      <w:r>
        <w:t>T</w:t>
      </w:r>
      <w:r w:rsidRPr="007F0CFC">
        <w:t xml:space="preserve">he </w:t>
      </w:r>
      <w:r>
        <w:t xml:space="preserve">Lanzarote </w:t>
      </w:r>
      <w:r w:rsidRPr="007F0CFC">
        <w:t>Committee recommends that “</w:t>
      </w:r>
      <w:r w:rsidRPr="007F0CFC">
        <w:rPr>
          <w:rFonts w:cs="Calibri"/>
        </w:rPr>
        <w:t xml:space="preserve">legislation be worded in a manner to allow enough margin of appreciation to the judicial authorities to decide on a </w:t>
      </w:r>
      <w:r w:rsidR="00BD4852" w:rsidRPr="007F0CFC">
        <w:rPr>
          <w:rFonts w:cs="Calibri"/>
        </w:rPr>
        <w:t>case-by-case</w:t>
      </w:r>
      <w:r w:rsidRPr="007F0CFC">
        <w:rPr>
          <w:rFonts w:cs="Calibri"/>
        </w:rPr>
        <w:t xml:space="preserve"> basis”.</w:t>
      </w:r>
      <w:r>
        <w:rPr>
          <w:rStyle w:val="FootnoteReference"/>
          <w:rFonts w:cs="Calibri"/>
        </w:rPr>
        <w:footnoteReference w:id="90"/>
      </w:r>
      <w:r w:rsidRPr="007F0CFC">
        <w:rPr>
          <w:rFonts w:cs="Calibri"/>
        </w:rPr>
        <w:t xml:space="preserve"> </w:t>
      </w:r>
    </w:p>
    <w:p w14:paraId="5939A9E2" w14:textId="77777777" w:rsidR="00E50E6F" w:rsidRPr="00E50E6F" w:rsidRDefault="00E50E6F" w:rsidP="002B0AE2">
      <w:pPr>
        <w:pStyle w:val="Default"/>
        <w:widowControl/>
        <w:spacing w:line="276" w:lineRule="auto"/>
        <w:ind w:left="720"/>
        <w:rPr>
          <w:rFonts w:cs="Calibri"/>
        </w:rPr>
      </w:pPr>
    </w:p>
    <w:p w14:paraId="14372DF4" w14:textId="77777777" w:rsidR="00B27C6A" w:rsidRPr="00E50E6F" w:rsidRDefault="00B27C6A" w:rsidP="002B0AE2">
      <w:pPr>
        <w:pStyle w:val="Default"/>
        <w:widowControl/>
        <w:numPr>
          <w:ilvl w:val="1"/>
          <w:numId w:val="12"/>
        </w:numPr>
        <w:spacing w:line="276" w:lineRule="auto"/>
        <w:rPr>
          <w:rFonts w:cs="Calibri"/>
        </w:rPr>
      </w:pPr>
      <w:r w:rsidRPr="00335CF0">
        <w:rPr>
          <w:rFonts w:cs="Calibri"/>
        </w:rPr>
        <w:t xml:space="preserve">Accordingly, the Lanzarote Committee </w:t>
      </w:r>
      <w:r>
        <w:rPr>
          <w:rFonts w:cs="Calibri"/>
        </w:rPr>
        <w:t>requires</w:t>
      </w:r>
      <w:r w:rsidRPr="00335CF0">
        <w:rPr>
          <w:rFonts w:cs="Calibri"/>
        </w:rPr>
        <w:t xml:space="preserve"> State parties to “introduce in their legislation a clear reference to the possible ‘abuse of a recognised position of trust, authority or influence.”</w:t>
      </w:r>
      <w:r w:rsidRPr="00123E08">
        <w:rPr>
          <w:rStyle w:val="FootnoteReference"/>
          <w:rFonts w:cs="Calibri"/>
        </w:rPr>
        <w:t xml:space="preserve"> </w:t>
      </w:r>
      <w:r w:rsidRPr="007F0CFC">
        <w:rPr>
          <w:rStyle w:val="FootnoteReference"/>
          <w:rFonts w:cs="Calibri"/>
        </w:rPr>
        <w:footnoteReference w:id="91"/>
      </w:r>
      <w:r w:rsidRPr="00335CF0">
        <w:rPr>
          <w:rFonts w:cs="Calibri"/>
        </w:rPr>
        <w:t xml:space="preserve">  The Committee cautions States to avoid any </w:t>
      </w:r>
      <w:r>
        <w:rPr>
          <w:rFonts w:cs="Calibri"/>
        </w:rPr>
        <w:t>“</w:t>
      </w:r>
      <w:r w:rsidRPr="00335CF0">
        <w:rPr>
          <w:rFonts w:cs="Calibri"/>
        </w:rPr>
        <w:t>rigid listing of very specific situations</w:t>
      </w:r>
      <w:r>
        <w:rPr>
          <w:rFonts w:cs="Calibri"/>
        </w:rPr>
        <w:t>”</w:t>
      </w:r>
      <w:r w:rsidRPr="00335CF0">
        <w:rPr>
          <w:rFonts w:cs="Calibri"/>
        </w:rPr>
        <w:t xml:space="preserve"> as </w:t>
      </w:r>
      <w:r>
        <w:rPr>
          <w:rFonts w:cs="Calibri"/>
        </w:rPr>
        <w:t>to do so would risks “</w:t>
      </w:r>
      <w:r w:rsidRPr="00335CF0">
        <w:rPr>
          <w:rFonts w:cs="Calibri"/>
        </w:rPr>
        <w:t>leaving children in other situations without protection”.</w:t>
      </w:r>
      <w:r w:rsidRPr="00123E08">
        <w:rPr>
          <w:rStyle w:val="FootnoteReference"/>
          <w:rFonts w:cs="Calibri"/>
        </w:rPr>
        <w:t xml:space="preserve"> </w:t>
      </w:r>
      <w:r w:rsidRPr="007F0CFC">
        <w:rPr>
          <w:rStyle w:val="FootnoteReference"/>
          <w:rFonts w:cs="Calibri"/>
        </w:rPr>
        <w:footnoteReference w:id="92"/>
      </w:r>
      <w:r w:rsidRPr="00335CF0">
        <w:rPr>
          <w:rFonts w:cs="Calibri"/>
        </w:rPr>
        <w:t xml:space="preserve">  T</w:t>
      </w:r>
      <w:r w:rsidRPr="00E50E6F">
        <w:rPr>
          <w:rFonts w:cs="Calibri"/>
        </w:rPr>
        <w:t>he Committee also invites States to “review their legislation to include a reference to the notion of “circle of trust” which would comprise members of the extended family (including new partners), persons having care-taking functions (including trainers of any kind) or exercising control over the child professionally or on a voluntary basis (including persons who look after children in their leisure-time) and any other person trusted by the child (including other children)”.</w:t>
      </w:r>
      <w:r w:rsidRPr="007F0CFC">
        <w:rPr>
          <w:rStyle w:val="FootnoteReference"/>
          <w:rFonts w:cs="Calibri"/>
        </w:rPr>
        <w:footnoteReference w:id="93"/>
      </w:r>
      <w:r w:rsidRPr="00E50E6F">
        <w:rPr>
          <w:rFonts w:cs="Calibri"/>
        </w:rPr>
        <w:t xml:space="preserve"> The Committee specifically acknowledges that sexual abuse of children may be perpetrated in the context of sports activities and commends the Greek Criminal Code for making specific reference to protecting children in taking part in sports.</w:t>
      </w:r>
      <w:r w:rsidRPr="007F0CFC">
        <w:rPr>
          <w:rStyle w:val="FootnoteReference"/>
          <w:rFonts w:cs="Calibri"/>
        </w:rPr>
        <w:footnoteReference w:id="94"/>
      </w:r>
      <w:r w:rsidRPr="00E50E6F">
        <w:rPr>
          <w:rFonts w:cs="Calibri"/>
        </w:rPr>
        <w:t xml:space="preserve"> </w:t>
      </w:r>
    </w:p>
    <w:p w14:paraId="23EA9DDE" w14:textId="77777777" w:rsidR="00B27C6A" w:rsidRDefault="00B27C6A" w:rsidP="002B0AE2">
      <w:pPr>
        <w:pStyle w:val="ListParagraph"/>
        <w:spacing w:line="276" w:lineRule="auto"/>
        <w:rPr>
          <w:rFonts w:cs="Calibri"/>
        </w:rPr>
      </w:pPr>
    </w:p>
    <w:p w14:paraId="7AB71846" w14:textId="77777777" w:rsidR="00B27C6A" w:rsidRDefault="00B27C6A" w:rsidP="002B0AE2">
      <w:pPr>
        <w:pStyle w:val="Default"/>
        <w:widowControl/>
        <w:numPr>
          <w:ilvl w:val="1"/>
          <w:numId w:val="12"/>
        </w:numPr>
        <w:spacing w:line="276" w:lineRule="auto"/>
        <w:rPr>
          <w:rFonts w:cs="Calibri"/>
        </w:rPr>
      </w:pPr>
      <w:r w:rsidRPr="00B75EDA">
        <w:rPr>
          <w:rFonts w:cs="Calibri"/>
        </w:rPr>
        <w:lastRenderedPageBreak/>
        <w:t>The Committee is clear that protections against abuse of trust should apply regardless of the age of the child. Indeed, as a means to “eliminate ambiguity</w:t>
      </w:r>
      <w:r>
        <w:rPr>
          <w:rFonts w:cs="Calibri"/>
        </w:rPr>
        <w:t>”, the Committee advises that “</w:t>
      </w:r>
      <w:r w:rsidRPr="00B75EDA">
        <w:rPr>
          <w:rFonts w:cs="Calibri"/>
        </w:rPr>
        <w:t>domestic law should specify that the child’s age is not relevant in the context of the criminal offence of sexual abuse in the circle of trust</w:t>
      </w:r>
      <w:r>
        <w:rPr>
          <w:rFonts w:cs="Calibri"/>
        </w:rPr>
        <w:t>.”</w:t>
      </w:r>
      <w:r w:rsidRPr="007F0CFC">
        <w:rPr>
          <w:rStyle w:val="FootnoteReference"/>
          <w:rFonts w:cs="Calibri"/>
        </w:rPr>
        <w:footnoteReference w:id="95"/>
      </w:r>
    </w:p>
    <w:p w14:paraId="5D2B3255" w14:textId="77777777" w:rsidR="00B27C6A" w:rsidRPr="00436C53" w:rsidRDefault="00B27C6A" w:rsidP="002B0AE2">
      <w:pPr>
        <w:spacing w:line="276" w:lineRule="auto"/>
        <w:rPr>
          <w:rFonts w:cs="Calibri"/>
        </w:rPr>
      </w:pPr>
    </w:p>
    <w:p w14:paraId="5D36DF4A" w14:textId="18182DAB" w:rsidR="00E50E6F" w:rsidRDefault="00B27C6A" w:rsidP="002B0AE2">
      <w:pPr>
        <w:pStyle w:val="Default"/>
        <w:widowControl/>
        <w:numPr>
          <w:ilvl w:val="1"/>
          <w:numId w:val="12"/>
        </w:numPr>
        <w:spacing w:line="276" w:lineRule="auto"/>
      </w:pPr>
      <w:r w:rsidRPr="007F0CFC">
        <w:t xml:space="preserve">Articles 23-26 of the Sexual Offences (Northern Ireland) Order 2008 provide for offences </w:t>
      </w:r>
      <w:r>
        <w:t xml:space="preserve">where </w:t>
      </w:r>
      <w:r w:rsidRPr="007F0CFC">
        <w:t xml:space="preserve">sexual activity </w:t>
      </w:r>
      <w:r>
        <w:t xml:space="preserve">occurs </w:t>
      </w:r>
      <w:r w:rsidRPr="007F0CFC">
        <w:t>with a child through abuse of positions of trust</w:t>
      </w:r>
      <w:r>
        <w:t xml:space="preserve">. These offences currently apply to </w:t>
      </w:r>
      <w:r w:rsidRPr="007F0CFC">
        <w:t>all children under the age of 18</w:t>
      </w:r>
      <w:r>
        <w:t xml:space="preserve"> but </w:t>
      </w:r>
      <w:r w:rsidRPr="007F0CFC">
        <w:t xml:space="preserve">only where the </w:t>
      </w:r>
      <w:r>
        <w:t xml:space="preserve">abuse of a </w:t>
      </w:r>
      <w:r w:rsidRPr="007F0CFC">
        <w:t xml:space="preserve">position of trust </w:t>
      </w:r>
      <w:r>
        <w:t xml:space="preserve">occurs </w:t>
      </w:r>
      <w:r w:rsidRPr="007F0CFC">
        <w:t xml:space="preserve">in the context of a statutory responsibility </w:t>
      </w:r>
      <w:r>
        <w:t xml:space="preserve">– </w:t>
      </w:r>
      <w:r w:rsidR="00BD4852">
        <w:t>i.e.,</w:t>
      </w:r>
      <w:r>
        <w:t xml:space="preserve"> </w:t>
      </w:r>
      <w:r w:rsidRPr="007F0CFC">
        <w:t xml:space="preserve">education, state care and criminal justice </w:t>
      </w:r>
      <w:r>
        <w:t xml:space="preserve">– as </w:t>
      </w:r>
      <w:r w:rsidRPr="007F0CFC">
        <w:t>defined in Article 28.</w:t>
      </w:r>
      <w:r w:rsidRPr="007F0CFC">
        <w:rPr>
          <w:rStyle w:val="FootnoteReference"/>
        </w:rPr>
        <w:footnoteReference w:id="96"/>
      </w:r>
      <w:r w:rsidRPr="007F0CFC">
        <w:t xml:space="preserve"> </w:t>
      </w:r>
    </w:p>
    <w:p w14:paraId="1D20EFC1" w14:textId="77777777" w:rsidR="00B27C6A" w:rsidRPr="008F4CA5" w:rsidRDefault="00B27C6A" w:rsidP="002B0AE2">
      <w:pPr>
        <w:pStyle w:val="ListParagraph"/>
        <w:spacing w:line="276" w:lineRule="auto"/>
      </w:pPr>
    </w:p>
    <w:p w14:paraId="139A78BC" w14:textId="02EBF4D9" w:rsidR="00B27C6A" w:rsidRPr="0078533F" w:rsidRDefault="00B27C6A" w:rsidP="002B0AE2">
      <w:pPr>
        <w:pStyle w:val="Default"/>
        <w:widowControl/>
        <w:numPr>
          <w:ilvl w:val="1"/>
          <w:numId w:val="12"/>
        </w:numPr>
        <w:spacing w:line="276" w:lineRule="auto"/>
        <w:rPr>
          <w:rFonts w:cs="Calibri"/>
        </w:rPr>
      </w:pPr>
      <w:r w:rsidRPr="0078533F">
        <w:t>The 2016 report of the Independent Inquiry into Child Sexual Abuse highlighted the need for a wide approach to protecting children, “as recent allegations relating to professional football clubs show, no institution or aspect of institutional life should be beyond our reach.”</w:t>
      </w:r>
      <w:r w:rsidRPr="0078533F">
        <w:rPr>
          <w:rStyle w:val="FootnoteReference"/>
        </w:rPr>
        <w:footnoteReference w:id="97"/>
      </w:r>
      <w:r w:rsidRPr="0078533F">
        <w:t xml:space="preserve"> The Commission agrees with this view and notes that abuse linked to positions of power can occur in a range of settings </w:t>
      </w:r>
      <w:r w:rsidR="00BD4852" w:rsidRPr="0078533F">
        <w:t>i.e.,</w:t>
      </w:r>
      <w:r w:rsidRPr="0078533F">
        <w:t xml:space="preserve"> it is not limited to the context of statutory responsibility. </w:t>
      </w:r>
    </w:p>
    <w:p w14:paraId="281691ED" w14:textId="77777777" w:rsidR="0078533F" w:rsidRPr="0078533F" w:rsidRDefault="0078533F" w:rsidP="002B0AE2">
      <w:pPr>
        <w:pStyle w:val="ListParagraph"/>
        <w:spacing w:line="276" w:lineRule="auto"/>
        <w:rPr>
          <w:rFonts w:ascii="Verdana" w:hAnsi="Verdana" w:cs="Calibri"/>
          <w:b/>
        </w:rPr>
      </w:pPr>
    </w:p>
    <w:p w14:paraId="04E8EB79" w14:textId="3BBB0EAF" w:rsidR="000A1D37" w:rsidRPr="0078533F" w:rsidRDefault="00D63FCB" w:rsidP="002B0AE2">
      <w:pPr>
        <w:pStyle w:val="ListParagraph"/>
        <w:numPr>
          <w:ilvl w:val="1"/>
          <w:numId w:val="12"/>
        </w:numPr>
        <w:spacing w:line="276" w:lineRule="auto"/>
        <w:rPr>
          <w:rFonts w:ascii="Verdana" w:hAnsi="Verdana" w:cs="Calibri"/>
          <w:b/>
          <w:color w:val="000000"/>
        </w:rPr>
      </w:pPr>
      <w:r>
        <w:rPr>
          <w:rFonts w:ascii="Verdana" w:hAnsi="Verdana" w:cs="Calibri"/>
          <w:b/>
        </w:rPr>
        <w:t>The NIHRC</w:t>
      </w:r>
      <w:r w:rsidR="00B27C6A" w:rsidRPr="0078533F">
        <w:rPr>
          <w:rFonts w:ascii="Verdana" w:hAnsi="Verdana" w:cs="Calibri"/>
          <w:b/>
        </w:rPr>
        <w:t xml:space="preserve"> recommends that the </w:t>
      </w:r>
      <w:r w:rsidR="00E57B95">
        <w:rPr>
          <w:rFonts w:ascii="Verdana" w:hAnsi="Verdana" w:cs="Calibri"/>
          <w:b/>
        </w:rPr>
        <w:t xml:space="preserve">Committee ensure that any new legislation regarding the abuse of trust </w:t>
      </w:r>
      <w:r w:rsidR="00B27C6A" w:rsidRPr="0078533F">
        <w:rPr>
          <w:rFonts w:ascii="Verdana" w:hAnsi="Verdana" w:cs="Calibri"/>
          <w:b/>
        </w:rPr>
        <w:t xml:space="preserve">extends the definition outlined at Article </w:t>
      </w:r>
      <w:r w:rsidR="005B7372">
        <w:rPr>
          <w:rFonts w:ascii="Verdana" w:hAnsi="Verdana" w:cs="Calibri"/>
          <w:b/>
        </w:rPr>
        <w:t>1</w:t>
      </w:r>
      <w:r w:rsidR="00B27C6A" w:rsidRPr="0078533F">
        <w:rPr>
          <w:rFonts w:ascii="Verdana" w:hAnsi="Verdana" w:cs="Calibri"/>
          <w:b/>
        </w:rPr>
        <w:t xml:space="preserve">8 </w:t>
      </w:r>
      <w:r w:rsidR="00E57B95">
        <w:rPr>
          <w:rFonts w:ascii="Verdana" w:hAnsi="Verdana" w:cs="Calibri"/>
          <w:b/>
        </w:rPr>
        <w:t xml:space="preserve">Lanzarote Convention </w:t>
      </w:r>
      <w:r w:rsidR="00B27C6A" w:rsidRPr="0078533F">
        <w:rPr>
          <w:rFonts w:ascii="Verdana" w:hAnsi="Verdana" w:cs="Calibri"/>
          <w:b/>
        </w:rPr>
        <w:t>to include other relationships of trust</w:t>
      </w:r>
      <w:r w:rsidR="00392189">
        <w:rPr>
          <w:rFonts w:ascii="Verdana" w:hAnsi="Verdana" w:cs="Calibri"/>
          <w:b/>
        </w:rPr>
        <w:t>,</w:t>
      </w:r>
      <w:r w:rsidR="00B27C6A" w:rsidRPr="0078533F">
        <w:rPr>
          <w:rFonts w:ascii="Verdana" w:hAnsi="Verdana" w:cs="Calibri"/>
          <w:b/>
        </w:rPr>
        <w:t xml:space="preserve"> </w:t>
      </w:r>
      <w:r w:rsidR="00BD4852" w:rsidRPr="0078533F">
        <w:rPr>
          <w:rFonts w:ascii="Verdana" w:hAnsi="Verdana" w:cs="Calibri"/>
          <w:b/>
        </w:rPr>
        <w:t>i.e.,</w:t>
      </w:r>
      <w:r w:rsidR="00B27C6A" w:rsidRPr="0078533F">
        <w:rPr>
          <w:rFonts w:ascii="Verdana" w:hAnsi="Verdana" w:cs="Calibri"/>
          <w:b/>
        </w:rPr>
        <w:t xml:space="preserve"> that it does not just apply to children in state care.  </w:t>
      </w:r>
    </w:p>
    <w:p w14:paraId="769E212C" w14:textId="77777777" w:rsidR="0078533F" w:rsidRPr="0078533F" w:rsidRDefault="0078533F" w:rsidP="002B0AE2">
      <w:pPr>
        <w:pStyle w:val="ListParagraph"/>
        <w:spacing w:line="276" w:lineRule="auto"/>
        <w:rPr>
          <w:rFonts w:ascii="Verdana" w:hAnsi="Verdana"/>
          <w:b/>
        </w:rPr>
      </w:pPr>
    </w:p>
    <w:p w14:paraId="2B6B993C" w14:textId="77777777" w:rsidR="000A1D37" w:rsidRPr="0078533F" w:rsidRDefault="000A1D37" w:rsidP="002B0AE2">
      <w:pPr>
        <w:pStyle w:val="Heading1"/>
        <w:numPr>
          <w:ilvl w:val="0"/>
          <w:numId w:val="12"/>
        </w:numPr>
        <w:spacing w:before="0" w:line="276" w:lineRule="auto"/>
      </w:pPr>
      <w:bookmarkStart w:id="13" w:name="_Toc83380415"/>
      <w:r w:rsidRPr="0078533F">
        <w:t>Omissions</w:t>
      </w:r>
      <w:bookmarkEnd w:id="13"/>
      <w:r w:rsidRPr="0078533F">
        <w:t xml:space="preserve"> </w:t>
      </w:r>
    </w:p>
    <w:p w14:paraId="59E25D33" w14:textId="77777777" w:rsidR="003F5FC4" w:rsidRPr="00754188" w:rsidRDefault="003F5FC4" w:rsidP="002B0AE2">
      <w:pPr>
        <w:pStyle w:val="ListParagraph"/>
        <w:spacing w:line="276" w:lineRule="auto"/>
        <w:rPr>
          <w:rFonts w:ascii="Verdana" w:eastAsiaTheme="majorEastAsia" w:hAnsi="Verdana" w:cstheme="majorBidi"/>
          <w:szCs w:val="26"/>
        </w:rPr>
      </w:pPr>
    </w:p>
    <w:p w14:paraId="5C1E5587" w14:textId="6E230909" w:rsidR="00527D6C" w:rsidRPr="005716D4" w:rsidRDefault="003F5FC4" w:rsidP="005716D4">
      <w:pPr>
        <w:pStyle w:val="ListParagraph"/>
        <w:numPr>
          <w:ilvl w:val="1"/>
          <w:numId w:val="12"/>
        </w:numPr>
        <w:spacing w:line="276" w:lineRule="auto"/>
        <w:rPr>
          <w:rFonts w:ascii="Verdana" w:hAnsi="Verdana"/>
        </w:rPr>
      </w:pPr>
      <w:r w:rsidRPr="00754188">
        <w:rPr>
          <w:rFonts w:ascii="Verdana" w:eastAsiaTheme="majorEastAsia" w:hAnsi="Verdana" w:cstheme="majorBidi"/>
          <w:szCs w:val="26"/>
        </w:rPr>
        <w:t xml:space="preserve">The </w:t>
      </w:r>
      <w:r w:rsidR="00C80A00">
        <w:rPr>
          <w:rFonts w:ascii="Verdana" w:eastAsiaTheme="majorEastAsia" w:hAnsi="Verdana" w:cstheme="majorBidi"/>
          <w:szCs w:val="26"/>
        </w:rPr>
        <w:t xml:space="preserve">Commission </w:t>
      </w:r>
      <w:r w:rsidRPr="00754188">
        <w:rPr>
          <w:rFonts w:ascii="Verdana" w:eastAsiaTheme="majorEastAsia" w:hAnsi="Verdana" w:cstheme="majorBidi"/>
          <w:szCs w:val="26"/>
        </w:rPr>
        <w:t>understands several</w:t>
      </w:r>
      <w:r w:rsidR="00955715">
        <w:rPr>
          <w:rFonts w:ascii="Verdana" w:eastAsiaTheme="majorEastAsia" w:hAnsi="Verdana" w:cstheme="majorBidi"/>
          <w:szCs w:val="26"/>
        </w:rPr>
        <w:t xml:space="preserve"> </w:t>
      </w:r>
      <w:r w:rsidR="00C80A00">
        <w:rPr>
          <w:rFonts w:ascii="Verdana" w:eastAsiaTheme="majorEastAsia" w:hAnsi="Verdana" w:cstheme="majorBidi"/>
          <w:szCs w:val="26"/>
        </w:rPr>
        <w:t xml:space="preserve">significant </w:t>
      </w:r>
      <w:r w:rsidR="00955715">
        <w:rPr>
          <w:rFonts w:ascii="Verdana" w:eastAsiaTheme="majorEastAsia" w:hAnsi="Verdana" w:cstheme="majorBidi"/>
          <w:szCs w:val="26"/>
        </w:rPr>
        <w:t>justice</w:t>
      </w:r>
      <w:r w:rsidRPr="00754188">
        <w:rPr>
          <w:rFonts w:ascii="Verdana" w:eastAsiaTheme="majorEastAsia" w:hAnsi="Verdana" w:cstheme="majorBidi"/>
          <w:szCs w:val="26"/>
        </w:rPr>
        <w:t xml:space="preserve"> issues have not been included </w:t>
      </w:r>
      <w:r w:rsidR="000B15C3" w:rsidRPr="00754188">
        <w:rPr>
          <w:rFonts w:ascii="Verdana" w:eastAsiaTheme="majorEastAsia" w:hAnsi="Verdana" w:cstheme="majorBidi"/>
          <w:szCs w:val="26"/>
        </w:rPr>
        <w:t xml:space="preserve">within the proposed Bill that were originally intended to be brought into a Miscellaneous Justice Bill. </w:t>
      </w:r>
      <w:r w:rsidR="005716D4">
        <w:rPr>
          <w:rFonts w:ascii="Verdana" w:eastAsiaTheme="majorEastAsia" w:hAnsi="Verdana" w:cstheme="majorBidi"/>
          <w:szCs w:val="26"/>
        </w:rPr>
        <w:t xml:space="preserve">These issues include the need to raise the age of criminal responsibility </w:t>
      </w:r>
      <w:r w:rsidR="005716D4" w:rsidRPr="005716D4">
        <w:rPr>
          <w:rFonts w:ascii="Verdana" w:eastAsiaTheme="majorEastAsia" w:hAnsi="Verdana" w:cstheme="majorBidi"/>
          <w:szCs w:val="26"/>
        </w:rPr>
        <w:t>in line with recommendations by the UN Committee on the Rights of the Child</w:t>
      </w:r>
      <w:r w:rsidR="005716D4">
        <w:rPr>
          <w:rFonts w:ascii="Verdana" w:eastAsiaTheme="majorEastAsia" w:hAnsi="Verdana" w:cstheme="majorBidi"/>
          <w:szCs w:val="26"/>
        </w:rPr>
        <w:t>.</w:t>
      </w:r>
      <w:r w:rsidR="005716D4">
        <w:rPr>
          <w:rStyle w:val="FootnoteReference"/>
          <w:rFonts w:ascii="Verdana" w:eastAsiaTheme="majorEastAsia" w:hAnsi="Verdana" w:cstheme="majorBidi"/>
          <w:szCs w:val="26"/>
        </w:rPr>
        <w:footnoteReference w:id="98"/>
      </w:r>
      <w:r w:rsidR="005716D4">
        <w:rPr>
          <w:rFonts w:ascii="Verdana" w:eastAsiaTheme="majorEastAsia" w:hAnsi="Verdana" w:cstheme="majorBidi"/>
          <w:szCs w:val="26"/>
        </w:rPr>
        <w:t xml:space="preserve"> </w:t>
      </w:r>
      <w:r w:rsidR="007028E1">
        <w:rPr>
          <w:rFonts w:ascii="Verdana" w:eastAsiaTheme="majorEastAsia" w:hAnsi="Verdana" w:cstheme="majorBidi"/>
          <w:szCs w:val="26"/>
        </w:rPr>
        <w:t xml:space="preserve">There is also </w:t>
      </w:r>
      <w:r w:rsidR="005716D4" w:rsidRPr="005716D4">
        <w:rPr>
          <w:rFonts w:ascii="Verdana" w:eastAsiaTheme="majorEastAsia" w:hAnsi="Verdana" w:cstheme="majorBidi"/>
          <w:szCs w:val="26"/>
        </w:rPr>
        <w:t xml:space="preserve">the </w:t>
      </w:r>
      <w:r w:rsidR="007028E1">
        <w:rPr>
          <w:rFonts w:ascii="Verdana" w:eastAsiaTheme="majorEastAsia" w:hAnsi="Verdana" w:cstheme="majorBidi"/>
          <w:szCs w:val="26"/>
        </w:rPr>
        <w:t xml:space="preserve">requirement </w:t>
      </w:r>
      <w:r w:rsidR="005716D4" w:rsidRPr="005716D4">
        <w:rPr>
          <w:rFonts w:ascii="Verdana" w:eastAsiaTheme="majorEastAsia" w:hAnsi="Verdana" w:cstheme="majorBidi"/>
          <w:szCs w:val="26"/>
        </w:rPr>
        <w:t xml:space="preserve">to address the issue of retention of biometric data as a result of </w:t>
      </w:r>
      <w:r w:rsidR="005716D4" w:rsidRPr="005716D4">
        <w:rPr>
          <w:rFonts w:ascii="Verdana" w:hAnsi="Verdana" w:cs="Arial"/>
          <w:color w:val="232120"/>
        </w:rPr>
        <w:t xml:space="preserve">the </w:t>
      </w:r>
      <w:r w:rsidR="005716D4" w:rsidRPr="005716D4">
        <w:rPr>
          <w:rFonts w:ascii="Verdana" w:hAnsi="Verdana" w:cs="Arial"/>
          <w:i/>
          <w:color w:val="232120"/>
        </w:rPr>
        <w:lastRenderedPageBreak/>
        <w:t>Gaughran v the United Kingdom</w:t>
      </w:r>
      <w:r w:rsidR="005716D4" w:rsidRPr="005716D4">
        <w:rPr>
          <w:rStyle w:val="FootnoteReference"/>
          <w:rFonts w:ascii="Verdana" w:hAnsi="Verdana" w:cs="Arial"/>
          <w:i/>
          <w:color w:val="232120"/>
        </w:rPr>
        <w:footnoteReference w:id="99"/>
      </w:r>
      <w:r w:rsidR="005716D4" w:rsidRPr="005716D4">
        <w:rPr>
          <w:rFonts w:ascii="Verdana" w:hAnsi="Verdana" w:cs="Arial"/>
          <w:color w:val="232120"/>
        </w:rPr>
        <w:t xml:space="preserve"> judgment from the ECtHR.</w:t>
      </w:r>
      <w:r w:rsidR="005716D4">
        <w:rPr>
          <w:rFonts w:ascii="Verdana" w:hAnsi="Verdana"/>
        </w:rPr>
        <w:t xml:space="preserve"> </w:t>
      </w:r>
      <w:r w:rsidR="00527D6C" w:rsidRPr="005716D4">
        <w:rPr>
          <w:rFonts w:ascii="Verdana" w:eastAsiaTheme="majorEastAsia" w:hAnsi="Verdana" w:cstheme="majorBidi"/>
          <w:szCs w:val="26"/>
        </w:rPr>
        <w:t>The Commission wish</w:t>
      </w:r>
      <w:r w:rsidR="007028E1">
        <w:rPr>
          <w:rFonts w:ascii="Verdana" w:eastAsiaTheme="majorEastAsia" w:hAnsi="Verdana" w:cstheme="majorBidi"/>
          <w:szCs w:val="26"/>
        </w:rPr>
        <w:t>es</w:t>
      </w:r>
      <w:r w:rsidR="00527D6C" w:rsidRPr="005716D4">
        <w:rPr>
          <w:rFonts w:ascii="Verdana" w:eastAsiaTheme="majorEastAsia" w:hAnsi="Verdana" w:cstheme="majorBidi"/>
          <w:szCs w:val="26"/>
        </w:rPr>
        <w:t xml:space="preserve"> to highlight to the Committee that these issues should be a priority moving into the new legislative mandate. The Commission remains at the disposal of the Committee should further advi</w:t>
      </w:r>
      <w:r w:rsidR="007028E1">
        <w:rPr>
          <w:rFonts w:ascii="Verdana" w:eastAsiaTheme="majorEastAsia" w:hAnsi="Verdana" w:cstheme="majorBidi"/>
          <w:szCs w:val="26"/>
        </w:rPr>
        <w:t>c</w:t>
      </w:r>
      <w:r w:rsidR="00527D6C" w:rsidRPr="005716D4">
        <w:rPr>
          <w:rFonts w:ascii="Verdana" w:eastAsiaTheme="majorEastAsia" w:hAnsi="Verdana" w:cstheme="majorBidi"/>
          <w:szCs w:val="26"/>
        </w:rPr>
        <w:t>e or engagement be required</w:t>
      </w:r>
      <w:r w:rsidR="007028E1">
        <w:rPr>
          <w:rFonts w:ascii="Verdana" w:eastAsiaTheme="majorEastAsia" w:hAnsi="Verdana" w:cstheme="majorBidi"/>
          <w:szCs w:val="26"/>
        </w:rPr>
        <w:t>.</w:t>
      </w:r>
    </w:p>
    <w:p w14:paraId="12C3FA61" w14:textId="77777777" w:rsidR="00527D6C" w:rsidRPr="00527D6C" w:rsidRDefault="00527D6C" w:rsidP="00527D6C">
      <w:pPr>
        <w:pStyle w:val="ListParagraph"/>
        <w:spacing w:line="276" w:lineRule="auto"/>
        <w:rPr>
          <w:rFonts w:ascii="Verdana" w:hAnsi="Verdana"/>
        </w:rPr>
      </w:pPr>
    </w:p>
    <w:p w14:paraId="03692905" w14:textId="1A9E0D40" w:rsidR="00734652" w:rsidRPr="008D0680" w:rsidRDefault="00A330A4" w:rsidP="005716D4">
      <w:pPr>
        <w:pStyle w:val="ListParagraph"/>
        <w:numPr>
          <w:ilvl w:val="1"/>
          <w:numId w:val="12"/>
        </w:numPr>
        <w:spacing w:line="276" w:lineRule="auto"/>
        <w:rPr>
          <w:rFonts w:ascii="Verdana" w:hAnsi="Verdana"/>
        </w:rPr>
      </w:pPr>
      <w:r>
        <w:rPr>
          <w:rFonts w:ascii="Verdana" w:eastAsiaTheme="majorEastAsia" w:hAnsi="Verdana" w:cstheme="majorBidi"/>
          <w:szCs w:val="26"/>
        </w:rPr>
        <w:t>In any event</w:t>
      </w:r>
      <w:r w:rsidR="00527D6C">
        <w:rPr>
          <w:rFonts w:ascii="Verdana" w:eastAsiaTheme="majorEastAsia" w:hAnsi="Verdana" w:cstheme="majorBidi"/>
          <w:szCs w:val="26"/>
        </w:rPr>
        <w:t>, th</w:t>
      </w:r>
      <w:r w:rsidR="00673869">
        <w:rPr>
          <w:rFonts w:ascii="Verdana" w:eastAsiaTheme="majorEastAsia" w:hAnsi="Verdana" w:cstheme="majorBidi"/>
          <w:szCs w:val="26"/>
        </w:rPr>
        <w:t xml:space="preserve">e Commission </w:t>
      </w:r>
      <w:r>
        <w:rPr>
          <w:rFonts w:ascii="Verdana" w:eastAsiaTheme="majorEastAsia" w:hAnsi="Verdana" w:cstheme="majorBidi"/>
          <w:szCs w:val="26"/>
        </w:rPr>
        <w:t>repeats</w:t>
      </w:r>
      <w:r w:rsidR="00673869">
        <w:rPr>
          <w:rFonts w:ascii="Verdana" w:eastAsiaTheme="majorEastAsia" w:hAnsi="Verdana" w:cstheme="majorBidi"/>
          <w:szCs w:val="26"/>
        </w:rPr>
        <w:t xml:space="preserve"> </w:t>
      </w:r>
      <w:r w:rsidR="009D2410">
        <w:rPr>
          <w:rFonts w:ascii="Verdana" w:eastAsiaTheme="majorEastAsia" w:hAnsi="Verdana" w:cstheme="majorBidi"/>
          <w:szCs w:val="26"/>
        </w:rPr>
        <w:t xml:space="preserve">its </w:t>
      </w:r>
      <w:r w:rsidR="00477F3C">
        <w:rPr>
          <w:rFonts w:ascii="Verdana" w:eastAsiaTheme="majorEastAsia" w:hAnsi="Verdana" w:cstheme="majorBidi"/>
          <w:szCs w:val="26"/>
        </w:rPr>
        <w:t>concern</w:t>
      </w:r>
      <w:r w:rsidR="005716D4">
        <w:rPr>
          <w:rFonts w:ascii="Verdana" w:eastAsiaTheme="majorEastAsia" w:hAnsi="Verdana" w:cstheme="majorBidi"/>
          <w:szCs w:val="26"/>
        </w:rPr>
        <w:t xml:space="preserve"> </w:t>
      </w:r>
      <w:r w:rsidR="005716D4" w:rsidRPr="005716D4">
        <w:rPr>
          <w:rFonts w:ascii="Verdana" w:eastAsiaTheme="majorEastAsia" w:hAnsi="Verdana" w:cstheme="majorBidi"/>
          <w:szCs w:val="26"/>
        </w:rPr>
        <w:t>that the Department has not used the opportunity presented by this Bill to address issues of the reversal of the burden of proof considering its relevance</w:t>
      </w:r>
      <w:r w:rsidR="005716D4">
        <w:rPr>
          <w:rFonts w:ascii="Verdana" w:eastAsiaTheme="majorEastAsia" w:hAnsi="Verdana" w:cstheme="majorBidi"/>
          <w:szCs w:val="26"/>
        </w:rPr>
        <w:t xml:space="preserve">. </w:t>
      </w:r>
    </w:p>
    <w:p w14:paraId="745746C2" w14:textId="77777777" w:rsidR="00D01D49" w:rsidRDefault="00D01D49" w:rsidP="002B0AE2">
      <w:pPr>
        <w:pStyle w:val="ListParagraph"/>
        <w:spacing w:line="276" w:lineRule="auto"/>
        <w:rPr>
          <w:rFonts w:cs="Arial"/>
          <w:b/>
          <w:color w:val="232120"/>
        </w:rPr>
      </w:pPr>
    </w:p>
    <w:p w14:paraId="5342652E" w14:textId="77777777" w:rsidR="00D01D49" w:rsidRPr="00D61475" w:rsidRDefault="00D01D49" w:rsidP="00734652">
      <w:pPr>
        <w:pStyle w:val="Heading2"/>
        <w:spacing w:before="0" w:line="276" w:lineRule="auto"/>
      </w:pPr>
      <w:bookmarkStart w:id="14" w:name="_Toc83380416"/>
      <w:r>
        <w:t>Reversal of the Burden of Proof</w:t>
      </w:r>
      <w:bookmarkEnd w:id="14"/>
    </w:p>
    <w:p w14:paraId="35307459" w14:textId="77777777" w:rsidR="008F6F55" w:rsidRPr="00D61475" w:rsidRDefault="008F6F55" w:rsidP="002B0AE2">
      <w:pPr>
        <w:pStyle w:val="4GChar"/>
        <w:spacing w:line="276" w:lineRule="auto"/>
        <w:ind w:left="720"/>
        <w:contextualSpacing/>
        <w:jc w:val="left"/>
      </w:pPr>
    </w:p>
    <w:p w14:paraId="1EEC3D9F" w14:textId="6323C4E2" w:rsidR="006E0AB2" w:rsidRDefault="006E0AB2" w:rsidP="006E0AB2">
      <w:pPr>
        <w:pStyle w:val="4GChar"/>
        <w:numPr>
          <w:ilvl w:val="1"/>
          <w:numId w:val="12"/>
        </w:numPr>
        <w:spacing w:before="24" w:after="24" w:line="276" w:lineRule="auto"/>
        <w:contextualSpacing/>
        <w:rPr>
          <w:rFonts w:ascii="Verdana" w:hAnsi="Verdana"/>
          <w:vertAlign w:val="baseline"/>
        </w:rPr>
      </w:pPr>
      <w:r>
        <w:rPr>
          <w:rFonts w:ascii="Verdana" w:hAnsi="Verdana"/>
          <w:vertAlign w:val="baseline"/>
        </w:rPr>
        <w:t xml:space="preserve">The burden of proof </w:t>
      </w:r>
      <w:r w:rsidR="00A330A4">
        <w:rPr>
          <w:rFonts w:ascii="Verdana" w:hAnsi="Verdana"/>
          <w:vertAlign w:val="baseline"/>
        </w:rPr>
        <w:t xml:space="preserve">is, essentially, </w:t>
      </w:r>
      <w:r>
        <w:rPr>
          <w:rFonts w:ascii="Verdana" w:hAnsi="Verdana"/>
          <w:vertAlign w:val="baseline"/>
        </w:rPr>
        <w:t>t</w:t>
      </w:r>
      <w:r w:rsidRPr="006E0AB2">
        <w:rPr>
          <w:rFonts w:ascii="Verdana" w:hAnsi="Verdana"/>
          <w:vertAlign w:val="baseline"/>
        </w:rPr>
        <w:t xml:space="preserve">he requirement on the prosecution to </w:t>
      </w:r>
      <w:r w:rsidR="00A330A4">
        <w:rPr>
          <w:rFonts w:ascii="Verdana" w:hAnsi="Verdana"/>
          <w:vertAlign w:val="baseline"/>
        </w:rPr>
        <w:t xml:space="preserve">prove elements of the criminal offence. The prosecution must </w:t>
      </w:r>
      <w:r w:rsidRPr="006E0AB2">
        <w:rPr>
          <w:rFonts w:ascii="Verdana" w:hAnsi="Verdana"/>
          <w:vertAlign w:val="baseline"/>
        </w:rPr>
        <w:t xml:space="preserve">disprove </w:t>
      </w:r>
      <w:r w:rsidR="00A330A4">
        <w:rPr>
          <w:rFonts w:ascii="Verdana" w:hAnsi="Verdana"/>
          <w:vertAlign w:val="baseline"/>
        </w:rPr>
        <w:t xml:space="preserve">a defendant’s defence </w:t>
      </w:r>
      <w:r w:rsidR="00A330A4" w:rsidRPr="006E0AB2">
        <w:rPr>
          <w:rFonts w:ascii="Verdana" w:hAnsi="Verdana"/>
          <w:vertAlign w:val="baseline"/>
        </w:rPr>
        <w:t>to the offence of purchasing sexual services from a child</w:t>
      </w:r>
      <w:r w:rsidR="00A330A4">
        <w:rPr>
          <w:rFonts w:ascii="Verdana" w:hAnsi="Verdana"/>
          <w:vertAlign w:val="baseline"/>
        </w:rPr>
        <w:t xml:space="preserve"> that he or she had a </w:t>
      </w:r>
      <w:r w:rsidRPr="006E0AB2">
        <w:rPr>
          <w:rFonts w:ascii="Verdana" w:hAnsi="Verdana"/>
          <w:vertAlign w:val="baseline"/>
        </w:rPr>
        <w:t xml:space="preserve">reasonable belief </w:t>
      </w:r>
      <w:r w:rsidR="00A330A4">
        <w:rPr>
          <w:rFonts w:ascii="Verdana" w:hAnsi="Verdana"/>
          <w:vertAlign w:val="baseline"/>
        </w:rPr>
        <w:t>that the</w:t>
      </w:r>
      <w:r w:rsidRPr="006E0AB2">
        <w:rPr>
          <w:rFonts w:ascii="Verdana" w:hAnsi="Verdana"/>
          <w:vertAlign w:val="baseline"/>
        </w:rPr>
        <w:t xml:space="preserve"> child victim </w:t>
      </w:r>
      <w:r w:rsidR="00A330A4">
        <w:rPr>
          <w:rFonts w:ascii="Verdana" w:hAnsi="Verdana"/>
          <w:vertAlign w:val="baseline"/>
        </w:rPr>
        <w:t xml:space="preserve">was </w:t>
      </w:r>
      <w:r w:rsidRPr="006E0AB2">
        <w:rPr>
          <w:rFonts w:ascii="Verdana" w:hAnsi="Verdana"/>
          <w:vertAlign w:val="baseline"/>
        </w:rPr>
        <w:t>between the age of 13 and 18</w:t>
      </w:r>
      <w:r w:rsidR="00A330A4">
        <w:rPr>
          <w:rFonts w:ascii="Verdana" w:hAnsi="Verdana"/>
          <w:vertAlign w:val="baseline"/>
        </w:rPr>
        <w:t xml:space="preserve"> years.</w:t>
      </w:r>
      <w:r w:rsidRPr="006E0AB2">
        <w:rPr>
          <w:rFonts w:ascii="Verdana" w:hAnsi="Verdana"/>
          <w:vertAlign w:val="baseline"/>
        </w:rPr>
        <w:t xml:space="preserve"> </w:t>
      </w:r>
      <w:r w:rsidR="00A330A4">
        <w:rPr>
          <w:rFonts w:ascii="Verdana" w:hAnsi="Verdana"/>
          <w:vertAlign w:val="baseline"/>
        </w:rPr>
        <w:t>There is also a</w:t>
      </w:r>
      <w:r w:rsidRPr="006E0AB2">
        <w:rPr>
          <w:rFonts w:ascii="Verdana" w:hAnsi="Verdana"/>
          <w:vertAlign w:val="baseline"/>
        </w:rPr>
        <w:t xml:space="preserve"> requirement to disprove</w:t>
      </w:r>
      <w:r w:rsidR="00A330A4">
        <w:rPr>
          <w:rFonts w:ascii="Verdana" w:hAnsi="Verdana"/>
          <w:vertAlign w:val="baseline"/>
        </w:rPr>
        <w:t>, in an offence of sexual grooming,</w:t>
      </w:r>
      <w:r w:rsidRPr="006E0AB2">
        <w:rPr>
          <w:rFonts w:ascii="Verdana" w:hAnsi="Verdana"/>
          <w:vertAlign w:val="baseline"/>
        </w:rPr>
        <w:t xml:space="preserve"> </w:t>
      </w:r>
      <w:r w:rsidR="00A330A4">
        <w:rPr>
          <w:rFonts w:ascii="Verdana" w:hAnsi="Verdana"/>
          <w:vertAlign w:val="baseline"/>
        </w:rPr>
        <w:t xml:space="preserve">the defence of </w:t>
      </w:r>
      <w:r w:rsidRPr="006E0AB2">
        <w:rPr>
          <w:rFonts w:ascii="Verdana" w:hAnsi="Verdana"/>
          <w:vertAlign w:val="baseline"/>
        </w:rPr>
        <w:t xml:space="preserve">reasonable belief regarding the age of </w:t>
      </w:r>
      <w:r w:rsidR="002A2D09">
        <w:rPr>
          <w:rFonts w:ascii="Verdana" w:hAnsi="Verdana"/>
          <w:vertAlign w:val="baseline"/>
        </w:rPr>
        <w:t>the</w:t>
      </w:r>
      <w:r w:rsidR="002A2D09" w:rsidRPr="006E0AB2">
        <w:rPr>
          <w:rFonts w:ascii="Verdana" w:hAnsi="Verdana"/>
          <w:vertAlign w:val="baseline"/>
        </w:rPr>
        <w:t xml:space="preserve"> </w:t>
      </w:r>
      <w:r w:rsidRPr="006E0AB2">
        <w:rPr>
          <w:rFonts w:ascii="Verdana" w:hAnsi="Verdana"/>
          <w:vertAlign w:val="baseline"/>
        </w:rPr>
        <w:t xml:space="preserve">child </w:t>
      </w:r>
      <w:r w:rsidR="002A2D09">
        <w:rPr>
          <w:rFonts w:ascii="Verdana" w:hAnsi="Verdana"/>
          <w:vertAlign w:val="baseline"/>
        </w:rPr>
        <w:t>(</w:t>
      </w:r>
      <w:r w:rsidRPr="006E0AB2">
        <w:rPr>
          <w:rFonts w:ascii="Verdana" w:hAnsi="Verdana"/>
          <w:vertAlign w:val="baseline"/>
        </w:rPr>
        <w:t>under 16</w:t>
      </w:r>
      <w:r w:rsidR="002A2D09">
        <w:rPr>
          <w:rFonts w:ascii="Verdana" w:hAnsi="Verdana"/>
          <w:vertAlign w:val="baseline"/>
        </w:rPr>
        <w:t xml:space="preserve"> years).</w:t>
      </w:r>
      <w:r w:rsidRPr="006E0AB2">
        <w:rPr>
          <w:rFonts w:ascii="Verdana" w:hAnsi="Verdana"/>
          <w:vertAlign w:val="baseline"/>
        </w:rPr>
        <w:t xml:space="preserve"> </w:t>
      </w:r>
    </w:p>
    <w:p w14:paraId="6804B495" w14:textId="77777777" w:rsidR="006E0AB2" w:rsidRPr="006E0AB2" w:rsidRDefault="006E0AB2" w:rsidP="006E0AB2">
      <w:pPr>
        <w:pStyle w:val="4GChar"/>
        <w:spacing w:before="24" w:after="24" w:line="276" w:lineRule="auto"/>
        <w:ind w:left="720"/>
        <w:contextualSpacing/>
        <w:rPr>
          <w:rFonts w:ascii="Verdana" w:hAnsi="Verdana"/>
          <w:vertAlign w:val="baseline"/>
        </w:rPr>
      </w:pPr>
    </w:p>
    <w:p w14:paraId="17909E55" w14:textId="6E44EFAF" w:rsidR="00EB7581" w:rsidRPr="00EB7581" w:rsidRDefault="00EB7581" w:rsidP="006E0AB2">
      <w:pPr>
        <w:pStyle w:val="4GChar"/>
        <w:numPr>
          <w:ilvl w:val="1"/>
          <w:numId w:val="12"/>
        </w:numPr>
        <w:spacing w:before="24" w:after="24" w:line="276" w:lineRule="auto"/>
        <w:contextualSpacing/>
        <w:rPr>
          <w:rFonts w:ascii="Verdana" w:hAnsi="Verdana"/>
          <w:vertAlign w:val="baseline"/>
        </w:rPr>
      </w:pPr>
      <w:r w:rsidRPr="00EB7581">
        <w:rPr>
          <w:rFonts w:ascii="Verdana" w:hAnsi="Verdana"/>
          <w:vertAlign w:val="baseline"/>
        </w:rPr>
        <w:t xml:space="preserve">Between 2014 and 2019, the UN CRC Committee and UN CEDAW Committee have repeatedly raised the need to </w:t>
      </w:r>
      <w:r w:rsidR="002A2D09">
        <w:rPr>
          <w:rFonts w:ascii="Verdana" w:hAnsi="Verdana"/>
          <w:vertAlign w:val="baseline"/>
        </w:rPr>
        <w:t>reverse</w:t>
      </w:r>
      <w:r w:rsidR="002A2D09" w:rsidRPr="00EB7581">
        <w:rPr>
          <w:rFonts w:ascii="Verdana" w:hAnsi="Verdana"/>
          <w:vertAlign w:val="baseline"/>
        </w:rPr>
        <w:t xml:space="preserve"> </w:t>
      </w:r>
      <w:r w:rsidRPr="00EB7581">
        <w:rPr>
          <w:rFonts w:ascii="Verdana" w:hAnsi="Verdana"/>
          <w:vertAlign w:val="baseline"/>
        </w:rPr>
        <w:t>the burden of proof from the prosecution to the perpetrator in legislation governing specific sexual offences.</w:t>
      </w:r>
      <w:r w:rsidR="006E0AB2">
        <w:rPr>
          <w:rStyle w:val="FootnoteReference"/>
          <w:rFonts w:ascii="Verdana" w:hAnsi="Verdana"/>
        </w:rPr>
        <w:footnoteReference w:id="100"/>
      </w:r>
      <w:r w:rsidRPr="00EB7581">
        <w:rPr>
          <w:rFonts w:ascii="Verdana" w:hAnsi="Verdana"/>
          <w:vertAlign w:val="baseline"/>
        </w:rPr>
        <w:t xml:space="preserve">  In particular:</w:t>
      </w:r>
    </w:p>
    <w:p w14:paraId="2216F36E" w14:textId="77777777" w:rsidR="00EB7581" w:rsidRPr="00EB7581" w:rsidRDefault="00EB7581" w:rsidP="006E0AB2">
      <w:pPr>
        <w:pStyle w:val="4GChar"/>
        <w:spacing w:before="24" w:after="24" w:line="276" w:lineRule="auto"/>
        <w:ind w:left="720"/>
        <w:contextualSpacing/>
        <w:rPr>
          <w:rFonts w:ascii="Verdana" w:hAnsi="Verdana"/>
          <w:vertAlign w:val="baseline"/>
        </w:rPr>
      </w:pPr>
    </w:p>
    <w:p w14:paraId="6585808D" w14:textId="77777777" w:rsidR="008068FF" w:rsidRDefault="00EB7581" w:rsidP="005B7372">
      <w:pPr>
        <w:pStyle w:val="Quote"/>
        <w:spacing w:before="24" w:after="24"/>
        <w:ind w:left="1440"/>
      </w:pPr>
      <w:r w:rsidRPr="00EB7581">
        <w:t>the Sexual Offences (NI) Order 2008, for certain grave offences of sexual exploitation of children between 13 and 16 years of age, such as meeting a child following sexual grooming, engaging in sexual activity with a child, arranging or facilitating a child sex offence, the defendant may claim that he/she believed the victim to be above 16 years.</w:t>
      </w:r>
      <w:r w:rsidR="006E0AB2">
        <w:rPr>
          <w:rStyle w:val="FootnoteReference"/>
        </w:rPr>
        <w:footnoteReference w:id="101"/>
      </w:r>
    </w:p>
    <w:p w14:paraId="4DA186E6" w14:textId="77777777" w:rsidR="008068FF" w:rsidRDefault="008068FF" w:rsidP="006E0AB2">
      <w:pPr>
        <w:pStyle w:val="4GChar"/>
        <w:spacing w:before="24" w:after="24" w:line="276" w:lineRule="auto"/>
        <w:ind w:left="720"/>
        <w:contextualSpacing/>
        <w:jc w:val="left"/>
        <w:rPr>
          <w:rFonts w:ascii="Verdana" w:hAnsi="Verdana"/>
          <w:vertAlign w:val="baseline"/>
        </w:rPr>
      </w:pPr>
    </w:p>
    <w:p w14:paraId="48C1120D" w14:textId="77777777" w:rsidR="00FD6DB5" w:rsidRDefault="008068FF" w:rsidP="006E0AB2">
      <w:pPr>
        <w:pStyle w:val="4GChar"/>
        <w:numPr>
          <w:ilvl w:val="1"/>
          <w:numId w:val="12"/>
        </w:numPr>
        <w:spacing w:before="24" w:after="24" w:line="276" w:lineRule="auto"/>
        <w:contextualSpacing/>
        <w:jc w:val="left"/>
        <w:rPr>
          <w:rFonts w:ascii="Verdana" w:hAnsi="Verdana"/>
          <w:vertAlign w:val="baseline"/>
        </w:rPr>
      </w:pPr>
      <w:r>
        <w:rPr>
          <w:rFonts w:ascii="Verdana" w:hAnsi="Verdana"/>
          <w:vertAlign w:val="baseline"/>
        </w:rPr>
        <w:t>This was</w:t>
      </w:r>
      <w:r w:rsidR="008F6F55" w:rsidRPr="00FD6DB5">
        <w:rPr>
          <w:rFonts w:ascii="Verdana" w:hAnsi="Verdana"/>
          <w:vertAlign w:val="baseline"/>
        </w:rPr>
        <w:t xml:space="preserve"> </w:t>
      </w:r>
      <w:r w:rsidR="00FD6DB5">
        <w:rPr>
          <w:rFonts w:ascii="Verdana" w:hAnsi="Verdana"/>
          <w:vertAlign w:val="baseline"/>
        </w:rPr>
        <w:t xml:space="preserve">also a </w:t>
      </w:r>
      <w:r w:rsidR="008F6F55" w:rsidRPr="00FD6DB5">
        <w:rPr>
          <w:rFonts w:ascii="Verdana" w:hAnsi="Verdana"/>
          <w:vertAlign w:val="baseline"/>
        </w:rPr>
        <w:t>recommendation of the Marshall Report,</w:t>
      </w:r>
      <w:r w:rsidR="008F6F55" w:rsidRPr="00FD6DB5">
        <w:rPr>
          <w:rStyle w:val="FootnoteReference"/>
          <w:rFonts w:ascii="Verdana" w:hAnsi="Verdana"/>
        </w:rPr>
        <w:footnoteReference w:id="102"/>
      </w:r>
      <w:r w:rsidR="008F6F55" w:rsidRPr="00FD6DB5">
        <w:rPr>
          <w:rFonts w:ascii="Verdana" w:hAnsi="Verdana"/>
          <w:vertAlign w:val="baseline"/>
        </w:rPr>
        <w:t xml:space="preserve"> which stemmed from the Commission’s advice.</w:t>
      </w:r>
      <w:r w:rsidR="008F6F55" w:rsidRPr="00FD6DB5">
        <w:rPr>
          <w:rStyle w:val="FootnoteReference"/>
          <w:rFonts w:ascii="Verdana" w:hAnsi="Verdana"/>
        </w:rPr>
        <w:footnoteReference w:id="103"/>
      </w:r>
    </w:p>
    <w:p w14:paraId="31DE572A" w14:textId="77777777" w:rsidR="0001271D" w:rsidRDefault="0001271D" w:rsidP="0001271D">
      <w:pPr>
        <w:pStyle w:val="4GChar"/>
        <w:spacing w:line="276" w:lineRule="auto"/>
        <w:ind w:left="720"/>
        <w:contextualSpacing/>
        <w:jc w:val="left"/>
        <w:rPr>
          <w:rFonts w:ascii="Verdana" w:hAnsi="Verdana"/>
          <w:vertAlign w:val="baseline"/>
        </w:rPr>
      </w:pPr>
    </w:p>
    <w:p w14:paraId="39C2A2F3" w14:textId="77777777" w:rsidR="0001271D" w:rsidRPr="0001271D" w:rsidRDefault="008F6F55" w:rsidP="0001271D">
      <w:pPr>
        <w:pStyle w:val="ListParagraph"/>
        <w:numPr>
          <w:ilvl w:val="1"/>
          <w:numId w:val="12"/>
        </w:numPr>
        <w:rPr>
          <w:rFonts w:ascii="Verdana" w:hAnsi="Verdana" w:cs="Verdana"/>
          <w:b/>
          <w:color w:val="000000"/>
          <w:lang w:val="en-US"/>
        </w:rPr>
      </w:pPr>
      <w:r w:rsidRPr="0001271D">
        <w:rPr>
          <w:rFonts w:ascii="Verdana" w:hAnsi="Verdana"/>
          <w:b/>
        </w:rPr>
        <w:lastRenderedPageBreak/>
        <w:t>The NIHRC recommends</w:t>
      </w:r>
      <w:r w:rsidRPr="0001271D">
        <w:rPr>
          <w:b/>
        </w:rPr>
        <w:t xml:space="preserve"> </w:t>
      </w:r>
      <w:r w:rsidR="0001271D" w:rsidRPr="0001271D">
        <w:rPr>
          <w:rFonts w:ascii="Verdana" w:hAnsi="Verdana" w:cs="Verdana"/>
          <w:b/>
          <w:color w:val="000000"/>
          <w:lang w:val="en-US"/>
        </w:rPr>
        <w:t xml:space="preserve">the Committee ask the Minister to indicate what consideration is being given </w:t>
      </w:r>
      <w:r w:rsidR="0001271D">
        <w:rPr>
          <w:rFonts w:ascii="Verdana" w:hAnsi="Verdana" w:cs="Verdana"/>
          <w:b/>
          <w:color w:val="000000"/>
          <w:lang w:val="en-US"/>
        </w:rPr>
        <w:t xml:space="preserve">to the reversal of the burden of proof </w:t>
      </w:r>
      <w:r w:rsidR="0001271D" w:rsidRPr="0001271D">
        <w:rPr>
          <w:rFonts w:ascii="Verdana" w:hAnsi="Verdana" w:cs="Verdana"/>
          <w:b/>
          <w:color w:val="000000"/>
          <w:lang w:val="en-US"/>
        </w:rPr>
        <w:t xml:space="preserve">and </w:t>
      </w:r>
      <w:r w:rsidR="00D63FCB">
        <w:rPr>
          <w:rFonts w:ascii="Verdana" w:hAnsi="Verdana" w:cs="Verdana"/>
          <w:b/>
          <w:color w:val="000000"/>
          <w:lang w:val="en-US"/>
        </w:rPr>
        <w:t xml:space="preserve">if the Department </w:t>
      </w:r>
      <w:r w:rsidR="0001271D" w:rsidRPr="0001271D">
        <w:rPr>
          <w:rFonts w:ascii="Verdana" w:hAnsi="Verdana" w:cs="Verdana"/>
          <w:b/>
          <w:color w:val="000000"/>
          <w:lang w:val="en-US"/>
        </w:rPr>
        <w:t>propose</w:t>
      </w:r>
      <w:r w:rsidR="00D63FCB">
        <w:rPr>
          <w:rFonts w:ascii="Verdana" w:hAnsi="Verdana" w:cs="Verdana"/>
          <w:b/>
          <w:color w:val="000000"/>
          <w:lang w:val="en-US"/>
        </w:rPr>
        <w:t>s</w:t>
      </w:r>
      <w:r w:rsidR="0001271D" w:rsidRPr="0001271D">
        <w:rPr>
          <w:rFonts w:ascii="Verdana" w:hAnsi="Verdana" w:cs="Verdana"/>
          <w:b/>
          <w:color w:val="000000"/>
          <w:lang w:val="en-US"/>
        </w:rPr>
        <w:t xml:space="preserve"> bringing forward the necessary legislative changes</w:t>
      </w:r>
      <w:r w:rsidR="00D63FCB">
        <w:rPr>
          <w:rFonts w:ascii="Verdana" w:hAnsi="Verdana" w:cs="Verdana"/>
          <w:b/>
          <w:color w:val="000000"/>
          <w:lang w:val="en-US"/>
        </w:rPr>
        <w:t xml:space="preserve"> to address this</w:t>
      </w:r>
      <w:r w:rsidR="005716D4">
        <w:rPr>
          <w:rFonts w:ascii="Verdana" w:hAnsi="Verdana" w:cs="Verdana"/>
          <w:b/>
          <w:color w:val="000000"/>
          <w:lang w:val="en-US"/>
        </w:rPr>
        <w:t xml:space="preserve"> in the future</w:t>
      </w:r>
      <w:r w:rsidR="0001271D" w:rsidRPr="0001271D">
        <w:rPr>
          <w:rFonts w:ascii="Verdana" w:hAnsi="Verdana" w:cs="Verdana"/>
          <w:b/>
          <w:color w:val="000000"/>
          <w:lang w:val="en-US"/>
        </w:rPr>
        <w:t xml:space="preserve">. </w:t>
      </w:r>
    </w:p>
    <w:p w14:paraId="7AF2230F" w14:textId="77777777" w:rsidR="008F6F55" w:rsidRDefault="008F6F55" w:rsidP="002B0AE2">
      <w:pPr>
        <w:pStyle w:val="BasicParagraph"/>
        <w:suppressAutoHyphens/>
        <w:spacing w:line="276" w:lineRule="auto"/>
        <w:rPr>
          <w:rFonts w:ascii="Verdana" w:hAnsi="Verdana" w:cs="Arial"/>
          <w:b/>
          <w:color w:val="232120"/>
        </w:rPr>
      </w:pPr>
    </w:p>
    <w:p w14:paraId="3637EE09" w14:textId="77777777" w:rsidR="00FD6DB5" w:rsidRDefault="00FD6DB5" w:rsidP="002B0AE2">
      <w:pPr>
        <w:pStyle w:val="BasicParagraph"/>
        <w:suppressAutoHyphens/>
        <w:spacing w:line="276" w:lineRule="auto"/>
        <w:rPr>
          <w:rFonts w:ascii="Verdana" w:hAnsi="Verdana" w:cs="Arial"/>
          <w:b/>
          <w:color w:val="232120"/>
        </w:rPr>
      </w:pPr>
    </w:p>
    <w:p w14:paraId="1AB3A537" w14:textId="77777777" w:rsidR="00FD6DB5" w:rsidRDefault="00FD6DB5" w:rsidP="002B0AE2">
      <w:pPr>
        <w:pStyle w:val="BasicParagraph"/>
        <w:suppressAutoHyphens/>
        <w:spacing w:line="276" w:lineRule="auto"/>
        <w:rPr>
          <w:rFonts w:ascii="Verdana" w:hAnsi="Verdana" w:cs="Arial"/>
          <w:b/>
          <w:color w:val="232120"/>
        </w:rPr>
      </w:pPr>
    </w:p>
    <w:p w14:paraId="78D5EF91" w14:textId="77777777" w:rsidR="00FD6DB5" w:rsidRDefault="00FD6DB5" w:rsidP="002B0AE2">
      <w:pPr>
        <w:pStyle w:val="BasicParagraph"/>
        <w:suppressAutoHyphens/>
        <w:spacing w:line="276" w:lineRule="auto"/>
        <w:rPr>
          <w:rFonts w:ascii="Verdana" w:hAnsi="Verdana" w:cs="Arial"/>
          <w:b/>
          <w:color w:val="232120"/>
        </w:rPr>
      </w:pPr>
    </w:p>
    <w:p w14:paraId="42547D8B" w14:textId="77777777" w:rsidR="00FD6DB5" w:rsidRDefault="00FD6DB5" w:rsidP="002B0AE2">
      <w:pPr>
        <w:pStyle w:val="BasicParagraph"/>
        <w:suppressAutoHyphens/>
        <w:spacing w:line="276" w:lineRule="auto"/>
        <w:rPr>
          <w:rFonts w:ascii="Verdana" w:hAnsi="Verdana" w:cs="Arial"/>
          <w:b/>
          <w:color w:val="232120"/>
        </w:rPr>
      </w:pPr>
    </w:p>
    <w:p w14:paraId="3E611EAE" w14:textId="77777777" w:rsidR="00FD6DB5" w:rsidRDefault="00FD6DB5" w:rsidP="002B0AE2">
      <w:pPr>
        <w:pStyle w:val="BasicParagraph"/>
        <w:suppressAutoHyphens/>
        <w:spacing w:line="276" w:lineRule="auto"/>
        <w:rPr>
          <w:rFonts w:ascii="Verdana" w:hAnsi="Verdana" w:cs="Arial"/>
          <w:b/>
          <w:color w:val="232120"/>
        </w:rPr>
      </w:pPr>
    </w:p>
    <w:p w14:paraId="2EE2C33E" w14:textId="77777777" w:rsidR="00FD6DB5" w:rsidRDefault="00FD6DB5" w:rsidP="002B0AE2">
      <w:pPr>
        <w:pStyle w:val="BasicParagraph"/>
        <w:suppressAutoHyphens/>
        <w:spacing w:line="276" w:lineRule="auto"/>
        <w:rPr>
          <w:rFonts w:ascii="Verdana" w:hAnsi="Verdana" w:cs="Arial"/>
          <w:b/>
          <w:color w:val="232120"/>
        </w:rPr>
      </w:pPr>
    </w:p>
    <w:p w14:paraId="4C68E6AF" w14:textId="77777777" w:rsidR="00FD6DB5" w:rsidRDefault="00FD6DB5" w:rsidP="002B0AE2">
      <w:pPr>
        <w:pStyle w:val="BasicParagraph"/>
        <w:suppressAutoHyphens/>
        <w:spacing w:line="276" w:lineRule="auto"/>
        <w:rPr>
          <w:rFonts w:ascii="Verdana" w:hAnsi="Verdana" w:cs="Arial"/>
          <w:b/>
          <w:color w:val="232120"/>
        </w:rPr>
      </w:pPr>
    </w:p>
    <w:p w14:paraId="6F669426" w14:textId="77777777" w:rsidR="00FD6DB5" w:rsidRDefault="00FD6DB5" w:rsidP="002B0AE2">
      <w:pPr>
        <w:pStyle w:val="BasicParagraph"/>
        <w:suppressAutoHyphens/>
        <w:spacing w:line="276" w:lineRule="auto"/>
        <w:rPr>
          <w:rFonts w:ascii="Verdana" w:hAnsi="Verdana" w:cs="Arial"/>
          <w:b/>
          <w:color w:val="232120"/>
        </w:rPr>
      </w:pPr>
    </w:p>
    <w:p w14:paraId="4D4E6812" w14:textId="77777777" w:rsidR="00FD6DB5" w:rsidRDefault="00FD6DB5" w:rsidP="002B0AE2">
      <w:pPr>
        <w:pStyle w:val="BasicParagraph"/>
        <w:suppressAutoHyphens/>
        <w:spacing w:line="276" w:lineRule="auto"/>
        <w:rPr>
          <w:rFonts w:ascii="Verdana" w:hAnsi="Verdana" w:cs="Arial"/>
          <w:b/>
          <w:color w:val="232120"/>
        </w:rPr>
      </w:pPr>
    </w:p>
    <w:p w14:paraId="53FB5487" w14:textId="77777777" w:rsidR="000628FB" w:rsidRDefault="000628FB" w:rsidP="002B0AE2">
      <w:pPr>
        <w:pStyle w:val="BasicParagraph"/>
        <w:suppressAutoHyphens/>
        <w:spacing w:line="276" w:lineRule="auto"/>
        <w:rPr>
          <w:rFonts w:ascii="Verdana" w:hAnsi="Verdana" w:cs="Arial"/>
          <w:b/>
          <w:color w:val="232120"/>
        </w:rPr>
      </w:pPr>
    </w:p>
    <w:p w14:paraId="6BE69EA6" w14:textId="77777777" w:rsidR="000628FB" w:rsidRDefault="000628FB" w:rsidP="002B0AE2">
      <w:pPr>
        <w:pStyle w:val="BasicParagraph"/>
        <w:suppressAutoHyphens/>
        <w:spacing w:line="276" w:lineRule="auto"/>
        <w:rPr>
          <w:rFonts w:ascii="Verdana" w:hAnsi="Verdana" w:cs="Arial"/>
          <w:b/>
          <w:color w:val="232120"/>
        </w:rPr>
      </w:pPr>
    </w:p>
    <w:p w14:paraId="09613DD2" w14:textId="77777777" w:rsidR="000628FB" w:rsidRDefault="000628FB" w:rsidP="002B0AE2">
      <w:pPr>
        <w:pStyle w:val="BasicParagraph"/>
        <w:suppressAutoHyphens/>
        <w:spacing w:line="276" w:lineRule="auto"/>
        <w:rPr>
          <w:rFonts w:ascii="Verdana" w:hAnsi="Verdana" w:cs="Arial"/>
          <w:b/>
          <w:color w:val="232120"/>
        </w:rPr>
      </w:pPr>
    </w:p>
    <w:p w14:paraId="728D49F9" w14:textId="77777777" w:rsidR="000628FB" w:rsidRDefault="000628FB" w:rsidP="002B0AE2">
      <w:pPr>
        <w:pStyle w:val="BasicParagraph"/>
        <w:suppressAutoHyphens/>
        <w:spacing w:line="276" w:lineRule="auto"/>
        <w:rPr>
          <w:rFonts w:ascii="Verdana" w:hAnsi="Verdana" w:cs="Arial"/>
          <w:b/>
          <w:color w:val="232120"/>
        </w:rPr>
      </w:pPr>
    </w:p>
    <w:p w14:paraId="315BC780" w14:textId="77777777" w:rsidR="000628FB" w:rsidRDefault="000628FB" w:rsidP="002B0AE2">
      <w:pPr>
        <w:pStyle w:val="BasicParagraph"/>
        <w:suppressAutoHyphens/>
        <w:spacing w:line="276" w:lineRule="auto"/>
        <w:rPr>
          <w:rFonts w:ascii="Verdana" w:hAnsi="Verdana" w:cs="Arial"/>
          <w:b/>
          <w:color w:val="232120"/>
        </w:rPr>
      </w:pPr>
    </w:p>
    <w:p w14:paraId="29013EA9" w14:textId="77777777" w:rsidR="000628FB" w:rsidRDefault="000628FB" w:rsidP="002B0AE2">
      <w:pPr>
        <w:pStyle w:val="BasicParagraph"/>
        <w:suppressAutoHyphens/>
        <w:spacing w:line="276" w:lineRule="auto"/>
        <w:rPr>
          <w:rFonts w:ascii="Verdana" w:hAnsi="Verdana" w:cs="Arial"/>
          <w:b/>
          <w:color w:val="232120"/>
        </w:rPr>
      </w:pPr>
    </w:p>
    <w:p w14:paraId="2FCDA5F9" w14:textId="77777777" w:rsidR="000628FB" w:rsidRDefault="000628FB" w:rsidP="002B0AE2">
      <w:pPr>
        <w:pStyle w:val="BasicParagraph"/>
        <w:suppressAutoHyphens/>
        <w:spacing w:line="276" w:lineRule="auto"/>
        <w:rPr>
          <w:rFonts w:ascii="Verdana" w:hAnsi="Verdana" w:cs="Arial"/>
          <w:b/>
          <w:color w:val="232120"/>
        </w:rPr>
      </w:pPr>
    </w:p>
    <w:p w14:paraId="7F650D5B" w14:textId="77777777" w:rsidR="000628FB" w:rsidRDefault="000628FB" w:rsidP="002B0AE2">
      <w:pPr>
        <w:pStyle w:val="BasicParagraph"/>
        <w:suppressAutoHyphens/>
        <w:spacing w:line="276" w:lineRule="auto"/>
        <w:rPr>
          <w:rFonts w:ascii="Verdana" w:hAnsi="Verdana" w:cs="Arial"/>
          <w:b/>
          <w:color w:val="232120"/>
        </w:rPr>
      </w:pPr>
    </w:p>
    <w:p w14:paraId="62BE5C56" w14:textId="77777777" w:rsidR="000628FB" w:rsidRDefault="000628FB" w:rsidP="002B0AE2">
      <w:pPr>
        <w:pStyle w:val="BasicParagraph"/>
        <w:suppressAutoHyphens/>
        <w:spacing w:line="276" w:lineRule="auto"/>
        <w:rPr>
          <w:rFonts w:ascii="Verdana" w:hAnsi="Verdana" w:cs="Arial"/>
          <w:b/>
          <w:color w:val="232120"/>
        </w:rPr>
      </w:pPr>
    </w:p>
    <w:p w14:paraId="3BE927E2" w14:textId="77777777" w:rsidR="000628FB" w:rsidRDefault="000628FB" w:rsidP="002B0AE2">
      <w:pPr>
        <w:pStyle w:val="BasicParagraph"/>
        <w:suppressAutoHyphens/>
        <w:spacing w:line="276" w:lineRule="auto"/>
        <w:rPr>
          <w:rFonts w:ascii="Verdana" w:hAnsi="Verdana" w:cs="Arial"/>
          <w:b/>
          <w:color w:val="232120"/>
        </w:rPr>
      </w:pPr>
    </w:p>
    <w:p w14:paraId="7AABDE5E" w14:textId="77777777" w:rsidR="000628FB" w:rsidRDefault="000628FB" w:rsidP="002B0AE2">
      <w:pPr>
        <w:pStyle w:val="BasicParagraph"/>
        <w:suppressAutoHyphens/>
        <w:spacing w:line="276" w:lineRule="auto"/>
        <w:rPr>
          <w:rFonts w:ascii="Verdana" w:hAnsi="Verdana" w:cs="Arial"/>
          <w:b/>
          <w:color w:val="232120"/>
        </w:rPr>
      </w:pPr>
    </w:p>
    <w:p w14:paraId="2E7EB11D" w14:textId="77777777" w:rsidR="000628FB" w:rsidRDefault="000628FB" w:rsidP="002B0AE2">
      <w:pPr>
        <w:pStyle w:val="BasicParagraph"/>
        <w:suppressAutoHyphens/>
        <w:spacing w:line="276" w:lineRule="auto"/>
        <w:rPr>
          <w:rFonts w:ascii="Verdana" w:hAnsi="Verdana" w:cs="Arial"/>
          <w:b/>
          <w:color w:val="232120"/>
        </w:rPr>
      </w:pPr>
    </w:p>
    <w:p w14:paraId="4D5D6DD7" w14:textId="77777777" w:rsidR="000628FB" w:rsidRDefault="000628FB" w:rsidP="002B0AE2">
      <w:pPr>
        <w:pStyle w:val="BasicParagraph"/>
        <w:suppressAutoHyphens/>
        <w:spacing w:line="276" w:lineRule="auto"/>
        <w:rPr>
          <w:rFonts w:ascii="Verdana" w:hAnsi="Verdana" w:cs="Arial"/>
          <w:b/>
          <w:color w:val="232120"/>
        </w:rPr>
      </w:pPr>
    </w:p>
    <w:p w14:paraId="144BB5D0" w14:textId="77777777" w:rsidR="000628FB" w:rsidRDefault="000628FB" w:rsidP="002B0AE2">
      <w:pPr>
        <w:pStyle w:val="BasicParagraph"/>
        <w:suppressAutoHyphens/>
        <w:spacing w:line="276" w:lineRule="auto"/>
        <w:rPr>
          <w:rFonts w:ascii="Verdana" w:hAnsi="Verdana" w:cs="Arial"/>
          <w:b/>
          <w:color w:val="232120"/>
        </w:rPr>
      </w:pPr>
    </w:p>
    <w:p w14:paraId="378AA4D6" w14:textId="77777777" w:rsidR="000628FB" w:rsidRDefault="000628FB" w:rsidP="002B0AE2">
      <w:pPr>
        <w:pStyle w:val="BasicParagraph"/>
        <w:suppressAutoHyphens/>
        <w:spacing w:line="276" w:lineRule="auto"/>
        <w:rPr>
          <w:rFonts w:ascii="Verdana" w:hAnsi="Verdana" w:cs="Arial"/>
          <w:b/>
          <w:color w:val="232120"/>
        </w:rPr>
      </w:pPr>
    </w:p>
    <w:p w14:paraId="5CE26907" w14:textId="77777777" w:rsidR="000628FB" w:rsidRDefault="000628FB" w:rsidP="002B0AE2">
      <w:pPr>
        <w:pStyle w:val="BasicParagraph"/>
        <w:suppressAutoHyphens/>
        <w:spacing w:line="276" w:lineRule="auto"/>
        <w:rPr>
          <w:rFonts w:ascii="Verdana" w:hAnsi="Verdana" w:cs="Arial"/>
          <w:b/>
          <w:color w:val="232120"/>
        </w:rPr>
      </w:pPr>
    </w:p>
    <w:p w14:paraId="74E40FBA" w14:textId="77777777" w:rsidR="000628FB" w:rsidRDefault="000628FB" w:rsidP="002B0AE2">
      <w:pPr>
        <w:pStyle w:val="BasicParagraph"/>
        <w:suppressAutoHyphens/>
        <w:spacing w:line="276" w:lineRule="auto"/>
        <w:rPr>
          <w:rFonts w:ascii="Verdana" w:hAnsi="Verdana" w:cs="Arial"/>
          <w:b/>
          <w:color w:val="232120"/>
        </w:rPr>
      </w:pPr>
    </w:p>
    <w:p w14:paraId="6C3C38C5" w14:textId="77777777" w:rsidR="000628FB" w:rsidRDefault="000628FB" w:rsidP="002B0AE2">
      <w:pPr>
        <w:pStyle w:val="BasicParagraph"/>
        <w:suppressAutoHyphens/>
        <w:spacing w:line="276" w:lineRule="auto"/>
        <w:rPr>
          <w:rFonts w:ascii="Verdana" w:hAnsi="Verdana" w:cs="Arial"/>
          <w:b/>
          <w:color w:val="232120"/>
        </w:rPr>
      </w:pPr>
    </w:p>
    <w:p w14:paraId="5D5AD47A" w14:textId="77777777" w:rsidR="00FD6DB5" w:rsidRDefault="00FD6DB5" w:rsidP="002B0AE2">
      <w:pPr>
        <w:pStyle w:val="BasicParagraph"/>
        <w:suppressAutoHyphens/>
        <w:spacing w:line="276" w:lineRule="auto"/>
        <w:rPr>
          <w:rFonts w:ascii="Verdana" w:hAnsi="Verdana" w:cs="Arial"/>
          <w:b/>
          <w:color w:val="232120"/>
        </w:rPr>
      </w:pPr>
    </w:p>
    <w:p w14:paraId="0096305B" w14:textId="77777777" w:rsidR="008068FF" w:rsidRDefault="008068FF" w:rsidP="002B0AE2">
      <w:pPr>
        <w:pStyle w:val="BasicParagraph"/>
        <w:suppressAutoHyphens/>
        <w:spacing w:line="276" w:lineRule="auto"/>
        <w:rPr>
          <w:rFonts w:ascii="Verdana" w:hAnsi="Verdana" w:cs="Arial"/>
          <w:b/>
          <w:color w:val="232120"/>
        </w:rPr>
      </w:pPr>
    </w:p>
    <w:p w14:paraId="1CC9B2FB" w14:textId="77777777" w:rsidR="008068FF" w:rsidRDefault="008068FF" w:rsidP="002B0AE2">
      <w:pPr>
        <w:pStyle w:val="BasicParagraph"/>
        <w:suppressAutoHyphens/>
        <w:spacing w:line="276" w:lineRule="auto"/>
        <w:rPr>
          <w:rFonts w:ascii="Verdana" w:hAnsi="Verdana" w:cs="Arial"/>
          <w:b/>
          <w:color w:val="232120"/>
        </w:rPr>
      </w:pPr>
    </w:p>
    <w:p w14:paraId="00E40933" w14:textId="77777777" w:rsidR="008068FF" w:rsidRDefault="008068FF" w:rsidP="002B0AE2">
      <w:pPr>
        <w:pStyle w:val="BasicParagraph"/>
        <w:suppressAutoHyphens/>
        <w:spacing w:line="276" w:lineRule="auto"/>
        <w:rPr>
          <w:rFonts w:ascii="Verdana" w:hAnsi="Verdana" w:cs="Arial"/>
          <w:b/>
          <w:color w:val="232120"/>
        </w:rPr>
      </w:pPr>
    </w:p>
    <w:p w14:paraId="4741A97B" w14:textId="77777777" w:rsidR="008068FF" w:rsidRDefault="008068FF" w:rsidP="002B0AE2">
      <w:pPr>
        <w:pStyle w:val="BasicParagraph"/>
        <w:suppressAutoHyphens/>
        <w:spacing w:line="276" w:lineRule="auto"/>
        <w:rPr>
          <w:rFonts w:ascii="Verdana" w:hAnsi="Verdana" w:cs="Arial"/>
          <w:b/>
          <w:color w:val="232120"/>
        </w:rPr>
      </w:pPr>
    </w:p>
    <w:p w14:paraId="4CD9A5FA" w14:textId="77777777" w:rsidR="00925B23" w:rsidRDefault="00925B23" w:rsidP="002B0AE2">
      <w:pPr>
        <w:pStyle w:val="BasicParagraph"/>
        <w:suppressAutoHyphens/>
        <w:spacing w:line="276" w:lineRule="auto"/>
        <w:rPr>
          <w:rFonts w:ascii="Verdana" w:hAnsi="Verdana" w:cs="Arial"/>
          <w:b/>
          <w:color w:val="232120"/>
        </w:rPr>
      </w:pPr>
    </w:p>
    <w:p w14:paraId="54C14A33" w14:textId="77777777" w:rsidR="00925B23" w:rsidRDefault="00925B23" w:rsidP="002B0AE2">
      <w:pPr>
        <w:pStyle w:val="BasicParagraph"/>
        <w:suppressAutoHyphens/>
        <w:spacing w:line="276" w:lineRule="auto"/>
        <w:rPr>
          <w:rFonts w:ascii="Verdana" w:hAnsi="Verdana" w:cs="Arial"/>
          <w:b/>
          <w:color w:val="232120"/>
        </w:rPr>
      </w:pPr>
    </w:p>
    <w:p w14:paraId="16487353" w14:textId="373825CE" w:rsidR="00925B23" w:rsidRDefault="00925B23" w:rsidP="002B0AE2">
      <w:pPr>
        <w:pStyle w:val="BasicParagraph"/>
        <w:suppressAutoHyphens/>
        <w:spacing w:line="276" w:lineRule="auto"/>
        <w:rPr>
          <w:rFonts w:ascii="Verdana" w:hAnsi="Verdana" w:cs="Arial"/>
          <w:b/>
          <w:color w:val="232120"/>
        </w:rPr>
      </w:pPr>
    </w:p>
    <w:p w14:paraId="000F209D" w14:textId="53C7AD56" w:rsidR="005B7372" w:rsidRDefault="005B7372" w:rsidP="002B0AE2">
      <w:pPr>
        <w:pStyle w:val="BasicParagraph"/>
        <w:suppressAutoHyphens/>
        <w:spacing w:line="276" w:lineRule="auto"/>
        <w:rPr>
          <w:rFonts w:ascii="Verdana" w:hAnsi="Verdana" w:cs="Arial"/>
          <w:b/>
          <w:color w:val="232120"/>
        </w:rPr>
      </w:pPr>
    </w:p>
    <w:p w14:paraId="2E519CE7" w14:textId="6FE6F733" w:rsidR="005B7372" w:rsidRDefault="005B7372" w:rsidP="002B0AE2">
      <w:pPr>
        <w:pStyle w:val="BasicParagraph"/>
        <w:suppressAutoHyphens/>
        <w:spacing w:line="276" w:lineRule="auto"/>
        <w:rPr>
          <w:rFonts w:ascii="Verdana" w:hAnsi="Verdana" w:cs="Arial"/>
          <w:b/>
          <w:color w:val="232120"/>
        </w:rPr>
      </w:pPr>
    </w:p>
    <w:p w14:paraId="0AA66521" w14:textId="3E911F1B" w:rsidR="005B7372" w:rsidRDefault="005B7372" w:rsidP="002B0AE2">
      <w:pPr>
        <w:pStyle w:val="BasicParagraph"/>
        <w:suppressAutoHyphens/>
        <w:spacing w:line="276" w:lineRule="auto"/>
        <w:rPr>
          <w:rFonts w:ascii="Verdana" w:hAnsi="Verdana" w:cs="Arial"/>
          <w:b/>
          <w:color w:val="232120"/>
        </w:rPr>
      </w:pPr>
    </w:p>
    <w:p w14:paraId="60631E61" w14:textId="6C288A44" w:rsidR="005B7372" w:rsidRDefault="005B7372" w:rsidP="002B0AE2">
      <w:pPr>
        <w:pStyle w:val="BasicParagraph"/>
        <w:suppressAutoHyphens/>
        <w:spacing w:line="276" w:lineRule="auto"/>
        <w:rPr>
          <w:rFonts w:ascii="Verdana" w:hAnsi="Verdana" w:cs="Arial"/>
          <w:b/>
          <w:color w:val="232120"/>
        </w:rPr>
      </w:pPr>
    </w:p>
    <w:p w14:paraId="6A4D3BC0" w14:textId="2D6458D5" w:rsidR="005B7372" w:rsidRDefault="005B7372" w:rsidP="002B0AE2">
      <w:pPr>
        <w:pStyle w:val="BasicParagraph"/>
        <w:suppressAutoHyphens/>
        <w:spacing w:line="276" w:lineRule="auto"/>
        <w:rPr>
          <w:rFonts w:ascii="Verdana" w:hAnsi="Verdana" w:cs="Arial"/>
          <w:b/>
          <w:color w:val="232120"/>
        </w:rPr>
      </w:pPr>
    </w:p>
    <w:p w14:paraId="7DB0A623" w14:textId="6D042294" w:rsidR="005B7372" w:rsidRDefault="005B7372" w:rsidP="002B0AE2">
      <w:pPr>
        <w:pStyle w:val="BasicParagraph"/>
        <w:suppressAutoHyphens/>
        <w:spacing w:line="276" w:lineRule="auto"/>
        <w:rPr>
          <w:rFonts w:ascii="Verdana" w:hAnsi="Verdana" w:cs="Arial"/>
          <w:b/>
          <w:color w:val="232120"/>
        </w:rPr>
      </w:pPr>
    </w:p>
    <w:p w14:paraId="52AF8652" w14:textId="691E2E3C" w:rsidR="005B7372" w:rsidRDefault="005B7372" w:rsidP="002B0AE2">
      <w:pPr>
        <w:pStyle w:val="BasicParagraph"/>
        <w:suppressAutoHyphens/>
        <w:spacing w:line="276" w:lineRule="auto"/>
        <w:rPr>
          <w:rFonts w:ascii="Verdana" w:hAnsi="Verdana" w:cs="Arial"/>
          <w:b/>
          <w:color w:val="232120"/>
        </w:rPr>
      </w:pPr>
    </w:p>
    <w:p w14:paraId="45E09893" w14:textId="1E4B153C" w:rsidR="005B7372" w:rsidRDefault="005B7372" w:rsidP="002B0AE2">
      <w:pPr>
        <w:pStyle w:val="BasicParagraph"/>
        <w:suppressAutoHyphens/>
        <w:spacing w:line="276" w:lineRule="auto"/>
        <w:rPr>
          <w:rFonts w:ascii="Verdana" w:hAnsi="Verdana" w:cs="Arial"/>
          <w:b/>
          <w:color w:val="232120"/>
        </w:rPr>
      </w:pPr>
    </w:p>
    <w:p w14:paraId="417A521F" w14:textId="60D0980C" w:rsidR="005B7372" w:rsidRDefault="005B7372" w:rsidP="002B0AE2">
      <w:pPr>
        <w:pStyle w:val="BasicParagraph"/>
        <w:suppressAutoHyphens/>
        <w:spacing w:line="276" w:lineRule="auto"/>
        <w:rPr>
          <w:rFonts w:ascii="Verdana" w:hAnsi="Verdana" w:cs="Arial"/>
          <w:b/>
          <w:color w:val="232120"/>
        </w:rPr>
      </w:pPr>
    </w:p>
    <w:p w14:paraId="3D65EE75" w14:textId="177295A4" w:rsidR="005B7372" w:rsidRDefault="005B7372" w:rsidP="002B0AE2">
      <w:pPr>
        <w:pStyle w:val="BasicParagraph"/>
        <w:suppressAutoHyphens/>
        <w:spacing w:line="276" w:lineRule="auto"/>
        <w:rPr>
          <w:rFonts w:ascii="Verdana" w:hAnsi="Verdana" w:cs="Arial"/>
          <w:b/>
          <w:color w:val="232120"/>
        </w:rPr>
      </w:pPr>
    </w:p>
    <w:p w14:paraId="21E36B81" w14:textId="2D1D23F8" w:rsidR="005B7372" w:rsidRDefault="005B7372" w:rsidP="002B0AE2">
      <w:pPr>
        <w:pStyle w:val="BasicParagraph"/>
        <w:suppressAutoHyphens/>
        <w:spacing w:line="276" w:lineRule="auto"/>
        <w:rPr>
          <w:rFonts w:ascii="Verdana" w:hAnsi="Verdana" w:cs="Arial"/>
          <w:b/>
          <w:color w:val="232120"/>
        </w:rPr>
      </w:pPr>
    </w:p>
    <w:p w14:paraId="51F9B83C" w14:textId="77777777" w:rsidR="005B7372" w:rsidRDefault="005B7372" w:rsidP="002B0AE2">
      <w:pPr>
        <w:pStyle w:val="BasicParagraph"/>
        <w:suppressAutoHyphens/>
        <w:spacing w:line="276" w:lineRule="auto"/>
        <w:rPr>
          <w:rFonts w:ascii="Verdana" w:hAnsi="Verdana" w:cs="Arial"/>
          <w:b/>
          <w:color w:val="232120"/>
        </w:rPr>
      </w:pPr>
    </w:p>
    <w:p w14:paraId="747D0719" w14:textId="77777777" w:rsidR="00331C61" w:rsidRDefault="00C53916" w:rsidP="002B0AE2">
      <w:pPr>
        <w:pStyle w:val="BasicParagraph"/>
        <w:suppressAutoHyphens/>
        <w:spacing w:line="276" w:lineRule="auto"/>
        <w:jc w:val="center"/>
        <w:rPr>
          <w:rFonts w:ascii="Verdana" w:hAnsi="Verdana" w:cs="Arial"/>
          <w:b/>
          <w:bCs/>
          <w:color w:val="77328A"/>
          <w:sz w:val="36"/>
          <w:szCs w:val="36"/>
        </w:rPr>
      </w:pPr>
      <w:r>
        <w:rPr>
          <w:rFonts w:ascii="Verdana" w:hAnsi="Verdana" w:cs="Arial"/>
          <w:b/>
          <w:bCs/>
          <w:color w:val="77328A"/>
          <w:sz w:val="36"/>
          <w:szCs w:val="36"/>
        </w:rPr>
        <w:t>Con</w:t>
      </w:r>
      <w:r w:rsidR="0096459E">
        <w:rPr>
          <w:rFonts w:ascii="Verdana" w:hAnsi="Verdana" w:cs="Arial"/>
          <w:b/>
          <w:bCs/>
          <w:color w:val="77328A"/>
          <w:sz w:val="36"/>
          <w:szCs w:val="36"/>
        </w:rPr>
        <w:t xml:space="preserve">tact us </w:t>
      </w:r>
    </w:p>
    <w:p w14:paraId="7B864303" w14:textId="77777777" w:rsidR="00331C61" w:rsidRDefault="00331C61" w:rsidP="002B0AE2">
      <w:pPr>
        <w:spacing w:line="276" w:lineRule="auto"/>
        <w:jc w:val="center"/>
        <w:rPr>
          <w:rFonts w:ascii="Verdana" w:hAnsi="Verdana" w:cs="Arial"/>
          <w:b/>
          <w:color w:val="232120"/>
          <w:sz w:val="30"/>
          <w:szCs w:val="30"/>
        </w:rPr>
      </w:pPr>
    </w:p>
    <w:p w14:paraId="68C5D0E2" w14:textId="77777777" w:rsidR="00E24D35" w:rsidRPr="00331C61" w:rsidRDefault="00E24D35" w:rsidP="002B0AE2">
      <w:pPr>
        <w:spacing w:line="276" w:lineRule="auto"/>
        <w:jc w:val="center"/>
        <w:rPr>
          <w:rFonts w:ascii="Verdana" w:hAnsi="Verdana" w:cs="Arial"/>
          <w:b/>
          <w:color w:val="232120"/>
          <w:sz w:val="30"/>
          <w:szCs w:val="30"/>
        </w:rPr>
      </w:pPr>
      <w:r>
        <w:rPr>
          <w:rFonts w:ascii="Verdana" w:hAnsi="Verdana" w:cs="Arial"/>
          <w:b/>
          <w:color w:val="232120"/>
          <w:sz w:val="30"/>
          <w:szCs w:val="30"/>
        </w:rPr>
        <w:t xml:space="preserve">Rhyannon Blythe - Director of Legal, Policy, Research and Investigations </w:t>
      </w:r>
    </w:p>
    <w:p w14:paraId="07EB659E" w14:textId="77777777" w:rsidR="00331C61" w:rsidRPr="00331C61" w:rsidRDefault="00331C61" w:rsidP="002B0AE2">
      <w:pPr>
        <w:spacing w:line="276" w:lineRule="auto"/>
        <w:jc w:val="center"/>
        <w:rPr>
          <w:rFonts w:ascii="Verdana" w:hAnsi="Verdana" w:cs="Arial"/>
          <w:b/>
          <w:color w:val="232120"/>
          <w:sz w:val="30"/>
          <w:szCs w:val="30"/>
        </w:rPr>
      </w:pPr>
    </w:p>
    <w:p w14:paraId="6CA60702" w14:textId="77777777" w:rsidR="00331C61" w:rsidRPr="00331C61" w:rsidRDefault="00997B48" w:rsidP="002B0AE2">
      <w:pPr>
        <w:spacing w:line="276"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3867C2CD" w14:textId="77777777" w:rsidR="00F56C78" w:rsidRPr="00331C61" w:rsidRDefault="00D16532" w:rsidP="002B0AE2">
      <w:pPr>
        <w:spacing w:line="276"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7FA8FBAD" w14:textId="77777777" w:rsidR="00F56C78" w:rsidRPr="00331C61" w:rsidRDefault="00F56C78" w:rsidP="002B0AE2">
      <w:pPr>
        <w:spacing w:line="276" w:lineRule="auto"/>
        <w:jc w:val="center"/>
        <w:rPr>
          <w:rFonts w:ascii="Verdana" w:hAnsi="Verdana" w:cs="Arial"/>
          <w:b/>
          <w:color w:val="232120"/>
          <w:sz w:val="28"/>
          <w:szCs w:val="28"/>
        </w:rPr>
      </w:pPr>
    </w:p>
    <w:p w14:paraId="10CC0773" w14:textId="77777777" w:rsidR="00F56C78" w:rsidRPr="00331C61" w:rsidRDefault="00F56C78" w:rsidP="002B0AE2">
      <w:pPr>
        <w:spacing w:line="276" w:lineRule="auto"/>
        <w:jc w:val="center"/>
        <w:rPr>
          <w:rFonts w:ascii="Verdana" w:hAnsi="Verdana" w:cs="Arial"/>
          <w:color w:val="232120"/>
          <w:sz w:val="20"/>
          <w:szCs w:val="20"/>
        </w:rPr>
      </w:pPr>
    </w:p>
    <w:p w14:paraId="7E4673F5" w14:textId="77777777" w:rsidR="00705833" w:rsidRPr="00331C61" w:rsidRDefault="00F56C78" w:rsidP="002B0AE2">
      <w:pPr>
        <w:pStyle w:val="BasicParagraph"/>
        <w:suppressAutoHyphens/>
        <w:spacing w:line="276"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753AE360" wp14:editId="6F31DB8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2057" w14:textId="77777777" w:rsidR="005B7372" w:rsidRDefault="005B7372" w:rsidP="00962B2B">
      <w:r>
        <w:separator/>
      </w:r>
    </w:p>
  </w:endnote>
  <w:endnote w:type="continuationSeparator" w:id="0">
    <w:p w14:paraId="611A26F4" w14:textId="77777777" w:rsidR="005B7372" w:rsidRDefault="005B7372"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2303" w14:textId="77777777" w:rsidR="005B7372" w:rsidRDefault="005B7372" w:rsidP="00656ECD">
    <w:pPr>
      <w:pStyle w:val="Footer"/>
      <w:jc w:val="right"/>
      <w:rPr>
        <w:rStyle w:val="PageNumber"/>
        <w:rFonts w:ascii="Arial" w:hAnsi="Arial" w:cs="Arial"/>
        <w:b/>
        <w:sz w:val="16"/>
        <w:szCs w:val="16"/>
      </w:rPr>
    </w:pPr>
  </w:p>
  <w:p w14:paraId="37D5F611" w14:textId="599C7904" w:rsidR="005B7372" w:rsidRPr="007569C1" w:rsidRDefault="005B7372"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E4490A">
      <w:rPr>
        <w:rStyle w:val="PageNumber"/>
        <w:rFonts w:ascii="Arial" w:hAnsi="Arial" w:cs="Arial"/>
        <w:b/>
        <w:noProof/>
        <w:color w:val="77328A"/>
        <w:sz w:val="16"/>
        <w:szCs w:val="16"/>
      </w:rPr>
      <w:t>3</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D2F9" w14:textId="77777777" w:rsidR="005B7372" w:rsidRDefault="005B7372" w:rsidP="00046705">
    <w:pPr>
      <w:pStyle w:val="Footer"/>
      <w:jc w:val="right"/>
      <w:rPr>
        <w:rStyle w:val="PageNumber"/>
        <w:rFonts w:ascii="Arial" w:hAnsi="Arial" w:cs="Arial"/>
        <w:b/>
        <w:sz w:val="16"/>
        <w:szCs w:val="16"/>
      </w:rPr>
    </w:pPr>
  </w:p>
  <w:p w14:paraId="237149BD" w14:textId="77777777" w:rsidR="005B7372" w:rsidRPr="00D12EF8" w:rsidRDefault="005B7372"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6CFA" w14:textId="77777777" w:rsidR="005B7372" w:rsidRDefault="005B7372" w:rsidP="00B96D34">
      <w:r>
        <w:continuationSeparator/>
      </w:r>
    </w:p>
    <w:p w14:paraId="380A7030" w14:textId="77777777" w:rsidR="005B7372" w:rsidRPr="00B96D34" w:rsidRDefault="005B7372" w:rsidP="00B96D34">
      <w:pPr>
        <w:pStyle w:val="Footer"/>
      </w:pPr>
    </w:p>
  </w:footnote>
  <w:footnote w:type="continuationSeparator" w:id="0">
    <w:p w14:paraId="2E87AB1E" w14:textId="77777777" w:rsidR="005B7372" w:rsidRDefault="005B7372" w:rsidP="00962B2B">
      <w:r>
        <w:continuationSeparator/>
      </w:r>
    </w:p>
  </w:footnote>
  <w:footnote w:type="continuationNotice" w:id="1">
    <w:p w14:paraId="48DA6FE3" w14:textId="77777777" w:rsidR="005B7372" w:rsidRDefault="005B7372"/>
  </w:footnote>
  <w:footnote w:id="2">
    <w:p w14:paraId="4391EDEA" w14:textId="77777777" w:rsidR="005B7372" w:rsidRPr="004A1DFA" w:rsidRDefault="005B7372" w:rsidP="000A1D37">
      <w:pPr>
        <w:pStyle w:val="FootnoteText"/>
        <w:rPr>
          <w:rFonts w:ascii="Verdana" w:hAnsi="Verdana"/>
          <w:color w:val="77328A"/>
          <w:sz w:val="16"/>
          <w:szCs w:val="16"/>
        </w:rPr>
      </w:pPr>
      <w:r w:rsidRPr="004A1DFA">
        <w:rPr>
          <w:rStyle w:val="FootnoteReference"/>
          <w:rFonts w:ascii="Verdana" w:hAnsi="Verdana"/>
          <w:color w:val="77328A"/>
          <w:sz w:val="16"/>
          <w:szCs w:val="16"/>
        </w:rPr>
        <w:footnoteRef/>
      </w:r>
      <w:r w:rsidRPr="004A1DFA">
        <w:rPr>
          <w:rFonts w:ascii="Verdana" w:hAnsi="Verdana"/>
          <w:color w:val="77328A"/>
          <w:sz w:val="16"/>
          <w:szCs w:val="16"/>
        </w:rPr>
        <w:t xml:space="preserve"> Ratified by the UK 1951. Further guidance is also taken from the body of case law from the European Court of Human</w:t>
      </w:r>
    </w:p>
    <w:p w14:paraId="5060FB28" w14:textId="77777777" w:rsidR="005B7372" w:rsidRPr="004A1DFA" w:rsidRDefault="005B7372" w:rsidP="000A1D37">
      <w:pPr>
        <w:pStyle w:val="FootnoteText"/>
        <w:rPr>
          <w:rFonts w:ascii="Verdana" w:hAnsi="Verdana"/>
          <w:color w:val="77328A"/>
          <w:sz w:val="16"/>
          <w:szCs w:val="16"/>
        </w:rPr>
      </w:pPr>
      <w:r w:rsidRPr="004A1DFA">
        <w:rPr>
          <w:rFonts w:ascii="Verdana" w:hAnsi="Verdana"/>
          <w:color w:val="77328A"/>
          <w:sz w:val="16"/>
          <w:szCs w:val="16"/>
        </w:rPr>
        <w:t>Rights (ECtHR).</w:t>
      </w:r>
    </w:p>
  </w:footnote>
  <w:footnote w:id="3">
    <w:p w14:paraId="339007F9" w14:textId="77777777" w:rsidR="005B7372" w:rsidRPr="004A1DFA" w:rsidRDefault="005B7372" w:rsidP="000A1D37">
      <w:pPr>
        <w:pStyle w:val="FootnoteText"/>
        <w:rPr>
          <w:rFonts w:ascii="Verdana" w:hAnsi="Verdana"/>
          <w:color w:val="77328A"/>
          <w:sz w:val="16"/>
          <w:szCs w:val="16"/>
        </w:rPr>
      </w:pPr>
      <w:r w:rsidRPr="004A1DFA">
        <w:rPr>
          <w:rStyle w:val="FootnoteReference"/>
          <w:rFonts w:ascii="Verdana" w:hAnsi="Verdana"/>
          <w:color w:val="77328A"/>
          <w:sz w:val="16"/>
          <w:szCs w:val="16"/>
        </w:rPr>
        <w:footnoteRef/>
      </w:r>
      <w:r w:rsidRPr="004A1DFA">
        <w:rPr>
          <w:rFonts w:ascii="Verdana" w:hAnsi="Verdana"/>
          <w:color w:val="77328A"/>
          <w:sz w:val="16"/>
          <w:szCs w:val="16"/>
        </w:rPr>
        <w:t xml:space="preserve"> Ratified by the UK 1966. </w:t>
      </w:r>
    </w:p>
  </w:footnote>
  <w:footnote w:id="4">
    <w:p w14:paraId="378E9826" w14:textId="77777777" w:rsidR="005B7372" w:rsidRPr="004A1DFA" w:rsidRDefault="005B7372" w:rsidP="000A1D37">
      <w:pPr>
        <w:pStyle w:val="FootnoteText"/>
        <w:rPr>
          <w:rFonts w:ascii="Verdana" w:hAnsi="Verdana"/>
          <w:color w:val="77328A"/>
          <w:sz w:val="16"/>
          <w:szCs w:val="16"/>
        </w:rPr>
      </w:pPr>
      <w:r w:rsidRPr="004A1DFA">
        <w:rPr>
          <w:rStyle w:val="FootnoteReference"/>
          <w:rFonts w:ascii="Verdana" w:hAnsi="Verdana"/>
          <w:color w:val="77328A"/>
          <w:sz w:val="16"/>
          <w:szCs w:val="16"/>
        </w:rPr>
        <w:footnoteRef/>
      </w:r>
      <w:r w:rsidRPr="004A1DFA">
        <w:rPr>
          <w:rFonts w:ascii="Verdana" w:hAnsi="Verdana"/>
          <w:color w:val="77328A"/>
          <w:sz w:val="16"/>
          <w:szCs w:val="16"/>
        </w:rPr>
        <w:t xml:space="preserve"> Ratified by the UK 1986.</w:t>
      </w:r>
    </w:p>
  </w:footnote>
  <w:footnote w:id="5">
    <w:p w14:paraId="746FC896" w14:textId="77777777" w:rsidR="005B7372" w:rsidRPr="004A1DFA" w:rsidRDefault="005B7372" w:rsidP="000A1D37">
      <w:pPr>
        <w:pStyle w:val="FootnoteText"/>
        <w:rPr>
          <w:rFonts w:ascii="Verdana" w:hAnsi="Verdana"/>
          <w:color w:val="77328A"/>
          <w:sz w:val="16"/>
          <w:szCs w:val="16"/>
        </w:rPr>
      </w:pPr>
      <w:r w:rsidRPr="004A1DFA">
        <w:rPr>
          <w:rStyle w:val="FootnoteReference"/>
          <w:rFonts w:ascii="Verdana" w:hAnsi="Verdana"/>
          <w:color w:val="77328A"/>
          <w:sz w:val="16"/>
          <w:szCs w:val="16"/>
        </w:rPr>
        <w:footnoteRef/>
      </w:r>
      <w:r w:rsidRPr="004A1DFA">
        <w:rPr>
          <w:rFonts w:ascii="Verdana" w:hAnsi="Verdana"/>
          <w:color w:val="77328A"/>
          <w:sz w:val="16"/>
          <w:szCs w:val="16"/>
        </w:rPr>
        <w:t xml:space="preserve"> Ratified by the UK 1988. </w:t>
      </w:r>
    </w:p>
  </w:footnote>
  <w:footnote w:id="6">
    <w:p w14:paraId="7F6F1A13" w14:textId="77777777" w:rsidR="005B7372" w:rsidRPr="004A1DFA" w:rsidRDefault="005B7372" w:rsidP="000A1D37">
      <w:pPr>
        <w:pStyle w:val="FootnoteText"/>
        <w:rPr>
          <w:rFonts w:ascii="Verdana" w:hAnsi="Verdana"/>
          <w:color w:val="77328A"/>
          <w:sz w:val="16"/>
          <w:szCs w:val="16"/>
        </w:rPr>
      </w:pPr>
      <w:r w:rsidRPr="004A1DFA">
        <w:rPr>
          <w:rStyle w:val="FootnoteReference"/>
          <w:rFonts w:ascii="Verdana" w:hAnsi="Verdana"/>
          <w:color w:val="77328A"/>
          <w:sz w:val="16"/>
          <w:szCs w:val="16"/>
        </w:rPr>
        <w:footnoteRef/>
      </w:r>
      <w:r w:rsidRPr="004A1DFA">
        <w:rPr>
          <w:rFonts w:ascii="Verdana" w:hAnsi="Verdana"/>
          <w:color w:val="77328A"/>
          <w:sz w:val="16"/>
          <w:szCs w:val="16"/>
        </w:rPr>
        <w:t xml:space="preserve"> Ratified by the UK 1989.</w:t>
      </w:r>
    </w:p>
  </w:footnote>
  <w:footnote w:id="7">
    <w:p w14:paraId="64484735" w14:textId="77777777" w:rsidR="005B7372" w:rsidRPr="004A1DFA" w:rsidRDefault="005B7372" w:rsidP="00034569">
      <w:pPr>
        <w:pStyle w:val="NIHRCFootnotes"/>
      </w:pPr>
      <w:r w:rsidRPr="004A1DFA">
        <w:rPr>
          <w:rStyle w:val="FootnoteReference"/>
        </w:rPr>
        <w:footnoteRef/>
      </w:r>
      <w:r w:rsidRPr="004A1DFA">
        <w:t xml:space="preserve"> Ratified by the UK in 1990.</w:t>
      </w:r>
    </w:p>
  </w:footnote>
  <w:footnote w:id="8">
    <w:p w14:paraId="43E0A348" w14:textId="77777777" w:rsidR="005B7372" w:rsidRPr="004A1DFA" w:rsidRDefault="005B7372" w:rsidP="00034569">
      <w:pPr>
        <w:pStyle w:val="NIHRCFootnotes"/>
      </w:pPr>
      <w:r w:rsidRPr="004A1DFA">
        <w:rPr>
          <w:rStyle w:val="FootnoteReference"/>
        </w:rPr>
        <w:footnoteRef/>
      </w:r>
      <w:r w:rsidRPr="004A1DFA">
        <w:t xml:space="preserve"> Ratified by the UK in 2011.</w:t>
      </w:r>
    </w:p>
  </w:footnote>
  <w:footnote w:id="9">
    <w:p w14:paraId="1BE4D1A2" w14:textId="77777777" w:rsidR="005B7372" w:rsidRPr="004A1DFA" w:rsidRDefault="005B7372" w:rsidP="00034569">
      <w:pPr>
        <w:pStyle w:val="NIHRCFootnotes"/>
      </w:pPr>
      <w:r w:rsidRPr="004A1DFA">
        <w:rPr>
          <w:rStyle w:val="FootnoteReference"/>
        </w:rPr>
        <w:footnoteRef/>
      </w:r>
      <w:r w:rsidRPr="004A1DFA">
        <w:t xml:space="preserve"> Ratified by the UK in 2007. </w:t>
      </w:r>
    </w:p>
  </w:footnote>
  <w:footnote w:id="10">
    <w:p w14:paraId="344AEA7A" w14:textId="77777777" w:rsidR="005B7372" w:rsidRPr="00C73A7F" w:rsidRDefault="005B7372" w:rsidP="00034569">
      <w:pPr>
        <w:pStyle w:val="NIHRCFootnotes"/>
      </w:pPr>
      <w:r w:rsidRPr="00C73A7F">
        <w:rPr>
          <w:rStyle w:val="FootnoteReference"/>
        </w:rPr>
        <w:footnoteRef/>
      </w:r>
      <w:r w:rsidRPr="00C73A7F">
        <w:t xml:space="preserve"> Ratified by the UK in 2018.</w:t>
      </w:r>
    </w:p>
  </w:footnote>
  <w:footnote w:id="11">
    <w:p w14:paraId="39120DC2" w14:textId="77777777" w:rsidR="005B7372" w:rsidRPr="00C73A7F" w:rsidRDefault="005B7372" w:rsidP="00034569">
      <w:pPr>
        <w:pStyle w:val="NIHRCFootnotes"/>
      </w:pPr>
      <w:r w:rsidRPr="00C73A7F">
        <w:rPr>
          <w:rStyle w:val="FootnoteReference"/>
        </w:rPr>
        <w:footnoteRef/>
      </w:r>
      <w:r w:rsidRPr="00C73A7F">
        <w:t xml:space="preserve"> Signed by the UK in 2012. The UK has not yet ratified this Convention but has committed to do so with the enactment of the Preventing and Combating Violence against Women and Domestic Violence (Ratification of Convention) Act 2017. The UK Mission at Geneva has also stated, “the UK’s approach to signing international treaties is that we only give our signature where we are fully prepared to follow-up with ratification in a short time thereafter”. See UK Mission at Geneva, ‘Universal Periodic Review Mid-term Progress Update by the United Kingdom on its Implementation of Recommendations Agreed in June 2008’ (UKMIS), at recommendation 22 (France). </w:t>
      </w:r>
    </w:p>
  </w:footnote>
  <w:footnote w:id="12">
    <w:p w14:paraId="04A6913D" w14:textId="77777777" w:rsidR="005B7372" w:rsidRPr="00C73A7F" w:rsidRDefault="005B7372" w:rsidP="00034569">
      <w:pPr>
        <w:pStyle w:val="NIHRCFootnotes"/>
      </w:pPr>
      <w:r w:rsidRPr="00C73A7F">
        <w:rPr>
          <w:rStyle w:val="FootnoteReference"/>
        </w:rPr>
        <w:footnoteRef/>
      </w:r>
      <w:r w:rsidRPr="00C73A7F">
        <w:t xml:space="preserve"> EU Directive 2011/93/EU of the European Parliament and of the Council of 13 December 2011 on combating the sexual abuse and sexual exploitation of children and child pornography, and replacing Council Framework Decision 2004/68/JHA.</w:t>
      </w:r>
    </w:p>
  </w:footnote>
  <w:footnote w:id="13">
    <w:p w14:paraId="051E88C3" w14:textId="77777777" w:rsidR="005B7372" w:rsidRPr="00C73A7F" w:rsidRDefault="005B7372" w:rsidP="00034569">
      <w:pPr>
        <w:pStyle w:val="NIHRCFootnotes"/>
      </w:pPr>
      <w:r w:rsidRPr="00C73A7F">
        <w:rPr>
          <w:rStyle w:val="FootnoteReference"/>
        </w:rPr>
        <w:footnoteRef/>
      </w:r>
      <w:r w:rsidRPr="00C73A7F">
        <w:t xml:space="preserve"> EU Directive 2012/29/EU of the European Parliament and of the Council of 25 October 2012 establishing minimum standards on the rights, support and protection of victims of crime.</w:t>
      </w:r>
    </w:p>
  </w:footnote>
  <w:footnote w:id="14">
    <w:p w14:paraId="7F714BC5" w14:textId="77777777" w:rsidR="005B7372" w:rsidRPr="00C73A7F" w:rsidRDefault="005B7372">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EU Directive 2011/36/EU of the European Parliament and of the Council of 5 April 2011 on preventing and combatting trafficking in human beings and protecting its victims.</w:t>
      </w:r>
    </w:p>
  </w:footnote>
  <w:footnote w:id="15">
    <w:p w14:paraId="3874C7D7" w14:textId="77777777" w:rsidR="005B7372" w:rsidRPr="00C73A7F" w:rsidRDefault="005B7372" w:rsidP="00034569">
      <w:pPr>
        <w:pStyle w:val="NIHRCFootnotes"/>
      </w:pPr>
      <w:r w:rsidRPr="00C73A7F">
        <w:rPr>
          <w:rStyle w:val="FootnoteReference"/>
        </w:rPr>
        <w:footnoteRef/>
      </w:r>
      <w:r w:rsidRPr="00C73A7F">
        <w:t xml:space="preserve"> Ratified by the UK in 2009.</w:t>
      </w:r>
    </w:p>
  </w:footnote>
  <w:footnote w:id="16">
    <w:p w14:paraId="732365EF" w14:textId="77777777" w:rsidR="005B7372" w:rsidRPr="00C73A7F" w:rsidRDefault="005B7372" w:rsidP="000A1D37">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CAT/C/GBR/CO/6, ‘UN CAT Committee Concluding Observations on the Sixth Periodic Report of the UK of Great Britain and NI’, 7 June 2019.</w:t>
      </w:r>
    </w:p>
  </w:footnote>
  <w:footnote w:id="17">
    <w:p w14:paraId="300A7211" w14:textId="77777777" w:rsidR="005B7372" w:rsidRPr="00C73A7F" w:rsidRDefault="005B7372" w:rsidP="000A1D37">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CEDAW/C/GBR/CO/8, ‘UN CEDAW Committee Concluding Observations on the UK Eighth Periodic Report’, 8 March 2019.</w:t>
      </w:r>
    </w:p>
  </w:footnote>
  <w:footnote w:id="18">
    <w:p w14:paraId="1BC6D3EA" w14:textId="77777777" w:rsidR="005B7372" w:rsidRPr="00C73A7F" w:rsidRDefault="005B7372" w:rsidP="005811A1">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CEDAW/C/GC/35, ‘UN CEDAW Committee General recommendation No. 35 on gender-based violence against women, updating general recommendation No. 19’, July 2019. </w:t>
      </w:r>
    </w:p>
  </w:footnote>
  <w:footnote w:id="19">
    <w:p w14:paraId="35BC7467" w14:textId="77777777" w:rsidR="005B7372" w:rsidRPr="004A1DFA" w:rsidRDefault="005B7372" w:rsidP="000A1D37">
      <w:pPr>
        <w:pStyle w:val="FootnoteText"/>
        <w:rPr>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UN General Assembly, ‘Declaration on the Elimination of Violence against Women’, 20 December 1993.</w:t>
      </w:r>
    </w:p>
  </w:footnote>
  <w:footnote w:id="20">
    <w:p w14:paraId="19CA5655" w14:textId="77777777" w:rsidR="005B7372" w:rsidRPr="004A1DFA" w:rsidRDefault="005B7372" w:rsidP="004A1DFA">
      <w:pPr>
        <w:pStyle w:val="NIHRCFootnotes"/>
      </w:pPr>
      <w:r w:rsidRPr="004A1DFA">
        <w:rPr>
          <w:rStyle w:val="FootnoteReference"/>
        </w:rPr>
        <w:footnoteRef/>
      </w:r>
      <w:r w:rsidRPr="004A1DFA">
        <w:t xml:space="preserve"> Recommendation Rec(91)11 of the Committee of Ministers to Member States concerning sexual exploitation, pornography, and prostitution of, and trafficking in, children and young adults, 9 September 1991.</w:t>
      </w:r>
    </w:p>
  </w:footnote>
  <w:footnote w:id="21">
    <w:p w14:paraId="025EB63A" w14:textId="77777777" w:rsidR="005B7372" w:rsidRPr="004A1DFA" w:rsidRDefault="005B7372" w:rsidP="004A1DFA">
      <w:pPr>
        <w:pStyle w:val="NIHRCFootnotes"/>
      </w:pPr>
      <w:r w:rsidRPr="004A1DFA">
        <w:rPr>
          <w:rStyle w:val="FootnoteReference"/>
        </w:rPr>
        <w:footnoteRef/>
      </w:r>
      <w:r w:rsidRPr="004A1DFA">
        <w:t xml:space="preserve"> Doc/9535, ‘Council of Europe Parliamentary Assembly, Resolution on the Sexual Exploitation of Children: Zero Tolerance’, 5 September 2002.</w:t>
      </w:r>
    </w:p>
  </w:footnote>
  <w:footnote w:id="22">
    <w:p w14:paraId="06817D28" w14:textId="77777777" w:rsidR="005B7372" w:rsidRPr="008D5A7B" w:rsidRDefault="005B7372" w:rsidP="004A1DFA">
      <w:pPr>
        <w:pStyle w:val="NIHRCFootnotes"/>
      </w:pPr>
      <w:r w:rsidRPr="004A1DFA">
        <w:rPr>
          <w:rStyle w:val="FootnoteReference"/>
        </w:rPr>
        <w:footnoteRef/>
      </w:r>
      <w:r w:rsidRPr="004A1DFA">
        <w:t xml:space="preserve"> Recommendation Rec (2001)16 of the Committee of Ministers to Member States concerning the protection of children against sexual exploitation, 31 October 2001.</w:t>
      </w:r>
    </w:p>
  </w:footnote>
  <w:footnote w:id="23">
    <w:p w14:paraId="30AB0FD9" w14:textId="65AC07C1" w:rsidR="005B7372" w:rsidRPr="008D5A7B" w:rsidRDefault="005B7372" w:rsidP="004A1DFA">
      <w:pPr>
        <w:pStyle w:val="NIHRCFootnotes"/>
      </w:pPr>
      <w:r w:rsidRPr="008D5A7B">
        <w:rPr>
          <w:rStyle w:val="FootnoteReference"/>
        </w:rPr>
        <w:footnoteRef/>
      </w:r>
      <w:r w:rsidRPr="008D5A7B">
        <w:t xml:space="preserve"> COM(2011)60, ‘EU Agenda for the Rights of the Child’, 15 February 2011.</w:t>
      </w:r>
    </w:p>
  </w:footnote>
  <w:footnote w:id="24">
    <w:p w14:paraId="2D8BB7AA" w14:textId="77777777" w:rsidR="005B7372" w:rsidRPr="008D5A7B" w:rsidRDefault="005B7372" w:rsidP="004A1DFA">
      <w:pPr>
        <w:pStyle w:val="NIHRCFootnotes"/>
      </w:pPr>
      <w:r w:rsidRPr="008D5A7B">
        <w:rPr>
          <w:rStyle w:val="FootnoteReference"/>
        </w:rPr>
        <w:footnoteRef/>
      </w:r>
      <w:r w:rsidRPr="008D5A7B">
        <w:t xml:space="preserve"> RES 289/57, ‘Resolution of the European Parliament on the 25th anniversary of the UN Convention on the Rights of the Child’, 27 November 2014.</w:t>
      </w:r>
    </w:p>
  </w:footnote>
  <w:footnote w:id="25">
    <w:p w14:paraId="6411B60E"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Case of Centre for Legal Resources on Behalf of Valentin Campeanu v Romania</w:t>
      </w:r>
      <w:r w:rsidRPr="0037287D">
        <w:rPr>
          <w:rFonts w:ascii="Verdana" w:hAnsi="Verdana"/>
          <w:color w:val="76328A"/>
          <w:sz w:val="16"/>
          <w:szCs w:val="16"/>
        </w:rPr>
        <w:t xml:space="preserve"> (2014) ECHR 14.</w:t>
      </w:r>
    </w:p>
  </w:footnote>
  <w:footnote w:id="26">
    <w:p w14:paraId="16822F9C"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Osman v </w:t>
      </w:r>
      <w:r>
        <w:rPr>
          <w:rFonts w:ascii="Verdana" w:hAnsi="Verdana"/>
          <w:i/>
          <w:color w:val="76328A"/>
          <w:sz w:val="16"/>
          <w:szCs w:val="16"/>
        </w:rPr>
        <w:t xml:space="preserve">the </w:t>
      </w:r>
      <w:r w:rsidRPr="0037287D">
        <w:rPr>
          <w:rFonts w:ascii="Verdana" w:hAnsi="Verdana"/>
          <w:i/>
          <w:color w:val="76328A"/>
          <w:sz w:val="16"/>
          <w:szCs w:val="16"/>
        </w:rPr>
        <w:t>U</w:t>
      </w:r>
      <w:r>
        <w:rPr>
          <w:rFonts w:ascii="Verdana" w:hAnsi="Verdana"/>
          <w:i/>
          <w:color w:val="76328A"/>
          <w:sz w:val="16"/>
          <w:szCs w:val="16"/>
        </w:rPr>
        <w:t xml:space="preserve">nited </w:t>
      </w:r>
      <w:r w:rsidRPr="0037287D">
        <w:rPr>
          <w:rFonts w:ascii="Verdana" w:hAnsi="Verdana"/>
          <w:i/>
          <w:color w:val="76328A"/>
          <w:sz w:val="16"/>
          <w:szCs w:val="16"/>
        </w:rPr>
        <w:t>K</w:t>
      </w:r>
      <w:r>
        <w:rPr>
          <w:rFonts w:ascii="Verdana" w:hAnsi="Verdana"/>
          <w:i/>
          <w:color w:val="76328A"/>
          <w:sz w:val="16"/>
          <w:szCs w:val="16"/>
        </w:rPr>
        <w:t>ingdom</w:t>
      </w:r>
      <w:r w:rsidRPr="0037287D">
        <w:rPr>
          <w:rFonts w:ascii="Verdana" w:hAnsi="Verdana"/>
          <w:color w:val="76328A"/>
          <w:sz w:val="16"/>
          <w:szCs w:val="16"/>
        </w:rPr>
        <w:t xml:space="preserve"> (1998) ECHR 101, at para 116.</w:t>
      </w:r>
    </w:p>
  </w:footnote>
  <w:footnote w:id="27">
    <w:p w14:paraId="1B6940DA"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Chahal v </w:t>
      </w:r>
      <w:r>
        <w:rPr>
          <w:rFonts w:ascii="Verdana" w:hAnsi="Verdana"/>
          <w:i/>
          <w:color w:val="76328A"/>
          <w:sz w:val="16"/>
          <w:szCs w:val="16"/>
        </w:rPr>
        <w:t xml:space="preserve">the </w:t>
      </w:r>
      <w:r w:rsidRPr="0037287D">
        <w:rPr>
          <w:rFonts w:ascii="Verdana" w:hAnsi="Verdana"/>
          <w:i/>
          <w:color w:val="76328A"/>
          <w:sz w:val="16"/>
          <w:szCs w:val="16"/>
        </w:rPr>
        <w:t>U</w:t>
      </w:r>
      <w:r>
        <w:rPr>
          <w:rFonts w:ascii="Verdana" w:hAnsi="Verdana"/>
          <w:i/>
          <w:color w:val="76328A"/>
          <w:sz w:val="16"/>
          <w:szCs w:val="16"/>
        </w:rPr>
        <w:t xml:space="preserve">nited </w:t>
      </w:r>
      <w:r w:rsidRPr="0037287D">
        <w:rPr>
          <w:rFonts w:ascii="Verdana" w:hAnsi="Verdana"/>
          <w:i/>
          <w:color w:val="76328A"/>
          <w:sz w:val="16"/>
          <w:szCs w:val="16"/>
        </w:rPr>
        <w:t>K</w:t>
      </w:r>
      <w:r>
        <w:rPr>
          <w:rFonts w:ascii="Verdana" w:hAnsi="Verdana"/>
          <w:i/>
          <w:color w:val="76328A"/>
          <w:sz w:val="16"/>
          <w:szCs w:val="16"/>
        </w:rPr>
        <w:t>ingdom</w:t>
      </w:r>
      <w:r w:rsidRPr="0037287D">
        <w:rPr>
          <w:rFonts w:ascii="Verdana" w:hAnsi="Verdana"/>
          <w:i/>
          <w:color w:val="76328A"/>
          <w:sz w:val="16"/>
          <w:szCs w:val="16"/>
        </w:rPr>
        <w:t xml:space="preserve"> </w:t>
      </w:r>
      <w:r w:rsidRPr="0037287D">
        <w:rPr>
          <w:rFonts w:ascii="Verdana" w:hAnsi="Verdana"/>
          <w:color w:val="76328A"/>
          <w:sz w:val="16"/>
          <w:szCs w:val="16"/>
        </w:rPr>
        <w:t xml:space="preserve">(1996) ECHR 413. </w:t>
      </w:r>
    </w:p>
  </w:footnote>
  <w:footnote w:id="28">
    <w:p w14:paraId="2FE9A21E" w14:textId="77777777" w:rsidR="005B7372" w:rsidRPr="0037287D" w:rsidRDefault="005B7372" w:rsidP="00821B4E">
      <w:pPr>
        <w:pStyle w:val="FootnoteText"/>
        <w:rPr>
          <w:rFonts w:ascii="Verdana" w:hAnsi="Verdana"/>
          <w:i/>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Milićević v Montenegro </w:t>
      </w:r>
      <w:r w:rsidRPr="0037287D">
        <w:rPr>
          <w:rFonts w:ascii="Verdana" w:hAnsi="Verdana"/>
          <w:color w:val="76328A"/>
          <w:sz w:val="16"/>
          <w:szCs w:val="16"/>
        </w:rPr>
        <w:t xml:space="preserve">(2018) ECHR 6; </w:t>
      </w:r>
      <w:r w:rsidRPr="0037287D">
        <w:rPr>
          <w:rFonts w:ascii="Verdana" w:hAnsi="Verdana"/>
          <w:i/>
          <w:color w:val="76328A"/>
          <w:sz w:val="16"/>
          <w:szCs w:val="16"/>
        </w:rPr>
        <w:t>ES. and Others v. Slovakia</w:t>
      </w:r>
      <w:r w:rsidRPr="0037287D">
        <w:rPr>
          <w:rFonts w:ascii="Verdana" w:hAnsi="Verdana"/>
          <w:color w:val="76328A"/>
          <w:sz w:val="16"/>
          <w:szCs w:val="16"/>
        </w:rPr>
        <w:t xml:space="preserve"> (2009).</w:t>
      </w:r>
    </w:p>
  </w:footnote>
  <w:footnote w:id="29">
    <w:p w14:paraId="30FD3835"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cs="Arial"/>
          <w:i/>
          <w:color w:val="76328A"/>
          <w:sz w:val="16"/>
          <w:szCs w:val="16"/>
        </w:rPr>
        <w:t xml:space="preserve">Sandra Janković v. Croatia </w:t>
      </w:r>
      <w:r w:rsidRPr="0037287D">
        <w:rPr>
          <w:rFonts w:ascii="Verdana" w:hAnsi="Verdana" w:cs="Arial"/>
          <w:color w:val="76328A"/>
          <w:sz w:val="16"/>
          <w:szCs w:val="16"/>
        </w:rPr>
        <w:t>(2008) ECHR 24.</w:t>
      </w:r>
      <w:r w:rsidRPr="0037287D">
        <w:rPr>
          <w:rFonts w:ascii="Verdana" w:hAnsi="Verdana" w:cs="Arial"/>
          <w:i/>
          <w:color w:val="76328A"/>
          <w:sz w:val="16"/>
          <w:szCs w:val="16"/>
        </w:rPr>
        <w:t xml:space="preserve"> </w:t>
      </w:r>
    </w:p>
  </w:footnote>
  <w:footnote w:id="30">
    <w:p w14:paraId="7D6224E3"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MC v Bulgaria </w:t>
      </w:r>
      <w:r w:rsidRPr="0037287D">
        <w:rPr>
          <w:rFonts w:ascii="Verdana" w:hAnsi="Verdana"/>
          <w:color w:val="76328A"/>
          <w:sz w:val="16"/>
          <w:szCs w:val="16"/>
        </w:rPr>
        <w:t>(2003) ECHR 646.</w:t>
      </w:r>
    </w:p>
  </w:footnote>
  <w:footnote w:id="31">
    <w:p w14:paraId="392E1E4A" w14:textId="77777777" w:rsidR="005B7372" w:rsidRPr="006549A6" w:rsidRDefault="005B7372" w:rsidP="00821B4E">
      <w:pPr>
        <w:pStyle w:val="FootnoteText"/>
        <w:rPr>
          <w:rFonts w:ascii="Verdana" w:hAnsi="Verdana"/>
          <w:color w:val="7030A0"/>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MC v Bulgaria </w:t>
      </w:r>
      <w:r w:rsidRPr="0037287D">
        <w:rPr>
          <w:rFonts w:ascii="Verdana" w:hAnsi="Verdana"/>
          <w:color w:val="76328A"/>
          <w:sz w:val="16"/>
          <w:szCs w:val="16"/>
        </w:rPr>
        <w:t>(2003) ECHR 646, at para 166.</w:t>
      </w:r>
    </w:p>
  </w:footnote>
  <w:footnote w:id="32">
    <w:p w14:paraId="394CC03E"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MC v Bulgaria </w:t>
      </w:r>
      <w:r w:rsidRPr="0037287D">
        <w:rPr>
          <w:rFonts w:ascii="Verdana" w:hAnsi="Verdana"/>
          <w:color w:val="76328A"/>
          <w:sz w:val="16"/>
          <w:szCs w:val="16"/>
        </w:rPr>
        <w:t>(2003) ECHR 646.</w:t>
      </w:r>
    </w:p>
  </w:footnote>
  <w:footnote w:id="33">
    <w:p w14:paraId="5077EFAD" w14:textId="77777777" w:rsidR="005B7372" w:rsidRPr="0037287D" w:rsidRDefault="005B7372" w:rsidP="00821B4E">
      <w:pPr>
        <w:pStyle w:val="FootnoteText"/>
        <w:rPr>
          <w:rFonts w:ascii="Verdana" w:hAnsi="Verdana"/>
          <w:color w:val="76328A"/>
          <w:sz w:val="16"/>
          <w:szCs w:val="16"/>
        </w:rPr>
      </w:pPr>
      <w:r w:rsidRPr="0037287D">
        <w:rPr>
          <w:rStyle w:val="FootnoteReference"/>
          <w:rFonts w:ascii="Verdana" w:hAnsi="Verdana"/>
          <w:color w:val="76328A"/>
          <w:sz w:val="16"/>
          <w:szCs w:val="16"/>
        </w:rPr>
        <w:footnoteRef/>
      </w:r>
      <w:r w:rsidRPr="0037287D">
        <w:rPr>
          <w:rFonts w:ascii="Verdana" w:hAnsi="Verdana"/>
          <w:color w:val="76328A"/>
          <w:sz w:val="16"/>
          <w:szCs w:val="16"/>
        </w:rPr>
        <w:t xml:space="preserve"> </w:t>
      </w:r>
      <w:r w:rsidRPr="0037287D">
        <w:rPr>
          <w:rFonts w:ascii="Verdana" w:hAnsi="Verdana"/>
          <w:i/>
          <w:color w:val="76328A"/>
          <w:sz w:val="16"/>
          <w:szCs w:val="16"/>
        </w:rPr>
        <w:t xml:space="preserve">MC v Bulgaria </w:t>
      </w:r>
      <w:r w:rsidRPr="0037287D">
        <w:rPr>
          <w:rFonts w:ascii="Verdana" w:hAnsi="Verdana"/>
          <w:color w:val="76328A"/>
          <w:sz w:val="16"/>
          <w:szCs w:val="16"/>
        </w:rPr>
        <w:t>(2003), ECHR 646 at para 166.</w:t>
      </w:r>
    </w:p>
  </w:footnote>
  <w:footnote w:id="34">
    <w:p w14:paraId="2432A1EE" w14:textId="77777777" w:rsidR="005B7372" w:rsidRPr="000A4066" w:rsidRDefault="005B7372" w:rsidP="00821B4E">
      <w:pPr>
        <w:pStyle w:val="FootnoteText"/>
        <w:rPr>
          <w:rFonts w:ascii="Verdana" w:hAnsi="Verdana"/>
          <w:color w:val="77328A"/>
          <w:sz w:val="16"/>
          <w:szCs w:val="16"/>
        </w:rPr>
      </w:pPr>
      <w:r w:rsidRPr="000A4066">
        <w:rPr>
          <w:rStyle w:val="FootnoteReference"/>
          <w:rFonts w:ascii="Verdana" w:hAnsi="Verdana"/>
          <w:color w:val="77328A"/>
          <w:sz w:val="16"/>
          <w:szCs w:val="16"/>
        </w:rPr>
        <w:footnoteRef/>
      </w:r>
      <w:r w:rsidRPr="000A4066">
        <w:rPr>
          <w:rFonts w:ascii="Verdana" w:hAnsi="Verdana"/>
          <w:color w:val="77328A"/>
          <w:sz w:val="16"/>
          <w:szCs w:val="16"/>
        </w:rPr>
        <w:t xml:space="preserve"> </w:t>
      </w:r>
      <w:r w:rsidRPr="000A4066">
        <w:rPr>
          <w:rFonts w:ascii="Verdana" w:hAnsi="Verdana"/>
          <w:i/>
          <w:color w:val="77328A"/>
          <w:sz w:val="16"/>
          <w:szCs w:val="16"/>
        </w:rPr>
        <w:t xml:space="preserve">MC v Bulgaria </w:t>
      </w:r>
      <w:r w:rsidRPr="000A4066">
        <w:rPr>
          <w:rFonts w:ascii="Verdana" w:hAnsi="Verdana"/>
          <w:color w:val="77328A"/>
          <w:sz w:val="16"/>
          <w:szCs w:val="16"/>
        </w:rPr>
        <w:t xml:space="preserve">(2003), ECHR 646. </w:t>
      </w:r>
    </w:p>
  </w:footnote>
  <w:footnote w:id="35">
    <w:p w14:paraId="457AF862" w14:textId="77777777" w:rsidR="005B7372" w:rsidRPr="000A4066" w:rsidRDefault="005B7372">
      <w:pPr>
        <w:pStyle w:val="FootnoteText"/>
        <w:rPr>
          <w:rFonts w:ascii="Verdana" w:hAnsi="Verdana"/>
          <w:color w:val="77328A"/>
          <w:sz w:val="16"/>
          <w:szCs w:val="16"/>
        </w:rPr>
      </w:pPr>
      <w:r w:rsidRPr="000A4066">
        <w:rPr>
          <w:rStyle w:val="FootnoteReference"/>
          <w:rFonts w:ascii="Verdana" w:hAnsi="Verdana"/>
          <w:color w:val="77328A"/>
          <w:sz w:val="16"/>
          <w:szCs w:val="16"/>
        </w:rPr>
        <w:footnoteRef/>
      </w:r>
      <w:r w:rsidRPr="000A4066">
        <w:rPr>
          <w:rFonts w:ascii="Verdana" w:hAnsi="Verdana"/>
          <w:color w:val="77328A"/>
          <w:sz w:val="16"/>
          <w:szCs w:val="16"/>
        </w:rPr>
        <w:t xml:space="preserve"> J.L. v Italy, 5671/1</w:t>
      </w:r>
      <w:r>
        <w:rPr>
          <w:rFonts w:ascii="Verdana" w:hAnsi="Verdana"/>
          <w:color w:val="77328A"/>
          <w:sz w:val="16"/>
          <w:szCs w:val="16"/>
        </w:rPr>
        <w:t>6 [2021], ECHR 169, 27 May 2021</w:t>
      </w:r>
      <w:r w:rsidRPr="000A4066">
        <w:rPr>
          <w:rFonts w:ascii="Verdana" w:hAnsi="Verdana"/>
          <w:color w:val="77328A"/>
          <w:sz w:val="16"/>
          <w:szCs w:val="16"/>
        </w:rPr>
        <w:t xml:space="preserve">. </w:t>
      </w:r>
    </w:p>
  </w:footnote>
  <w:footnote w:id="36">
    <w:p w14:paraId="1997A809" w14:textId="77777777" w:rsidR="005B7372" w:rsidRPr="000A4066" w:rsidRDefault="005B7372" w:rsidP="00821B4E">
      <w:pPr>
        <w:pStyle w:val="FootnoteText"/>
        <w:rPr>
          <w:rFonts w:ascii="Verdana" w:hAnsi="Verdana"/>
          <w:color w:val="77328A"/>
          <w:sz w:val="16"/>
          <w:szCs w:val="16"/>
        </w:rPr>
      </w:pPr>
      <w:r w:rsidRPr="000A4066">
        <w:rPr>
          <w:rStyle w:val="FootnoteReference"/>
          <w:rFonts w:ascii="Verdana" w:hAnsi="Verdana"/>
          <w:color w:val="77328A"/>
          <w:sz w:val="16"/>
          <w:szCs w:val="16"/>
        </w:rPr>
        <w:footnoteRef/>
      </w:r>
      <w:r w:rsidRPr="000A4066">
        <w:rPr>
          <w:rFonts w:ascii="Verdana" w:hAnsi="Verdana"/>
          <w:color w:val="77328A"/>
          <w:sz w:val="16"/>
          <w:szCs w:val="16"/>
        </w:rPr>
        <w:t xml:space="preserve"> CAT/C/GBR/CO/6, ‘UN CAT Committee Concluding Observations on the Sixth Periodic Report of the UK of Great Britain and NI’, 7 June 2019 at para 56.</w:t>
      </w:r>
    </w:p>
  </w:footnote>
  <w:footnote w:id="37">
    <w:p w14:paraId="6A163257" w14:textId="77777777" w:rsidR="005B7372" w:rsidRPr="0037287D" w:rsidRDefault="005B7372" w:rsidP="00821B4E">
      <w:pPr>
        <w:pStyle w:val="FootnoteText"/>
        <w:rPr>
          <w:rFonts w:ascii="Verdana" w:hAnsi="Verdana"/>
          <w:color w:val="76328A"/>
          <w:sz w:val="16"/>
          <w:szCs w:val="16"/>
        </w:rPr>
      </w:pPr>
      <w:r w:rsidRPr="000A4066">
        <w:rPr>
          <w:rStyle w:val="FootnoteReference"/>
          <w:rFonts w:ascii="Verdana" w:hAnsi="Verdana"/>
          <w:color w:val="77328A"/>
          <w:sz w:val="16"/>
          <w:szCs w:val="16"/>
        </w:rPr>
        <w:footnoteRef/>
      </w:r>
      <w:r w:rsidRPr="000A4066">
        <w:rPr>
          <w:rFonts w:ascii="Verdana" w:hAnsi="Verdana"/>
          <w:color w:val="77328A"/>
          <w:sz w:val="16"/>
          <w:szCs w:val="16"/>
        </w:rPr>
        <w:t xml:space="preserve"> CAT/C/GBR/CO/6, ‘UN CAT Committee Concluding Observations on the Sixth Periodic Report of the UK of Great Britain and NI’, 7 June 2019 at para 56.</w:t>
      </w:r>
    </w:p>
  </w:footnote>
  <w:footnote w:id="38">
    <w:p w14:paraId="709621F9" w14:textId="77777777" w:rsidR="005B7372" w:rsidRDefault="005B7372">
      <w:pPr>
        <w:pStyle w:val="FootnoteText"/>
      </w:pPr>
      <w:r w:rsidRPr="00527D6C">
        <w:rPr>
          <w:rStyle w:val="FootnoteReference"/>
          <w:rFonts w:ascii="Verdana" w:hAnsi="Verdana"/>
          <w:sz w:val="16"/>
          <w:szCs w:val="16"/>
        </w:rPr>
        <w:footnoteRef/>
      </w:r>
      <w:r w:rsidRPr="00527D6C">
        <w:rPr>
          <w:rFonts w:ascii="Verdana" w:hAnsi="Verdana"/>
          <w:sz w:val="16"/>
          <w:szCs w:val="16"/>
        </w:rPr>
        <w:t xml:space="preserve"> </w:t>
      </w:r>
      <w:r w:rsidRPr="0037287D">
        <w:rPr>
          <w:rFonts w:ascii="Verdana" w:eastAsia="Verdana" w:hAnsi="Verdana" w:cs="Verdana"/>
          <w:color w:val="76328A"/>
          <w:sz w:val="16"/>
          <w:szCs w:val="16"/>
        </w:rPr>
        <w:t xml:space="preserve">Preventing and Combating Violence against Women and Domestic Violence (Ratification of Convention) Act 2017; </w:t>
      </w:r>
      <w:r w:rsidRPr="0037287D">
        <w:rPr>
          <w:rFonts w:ascii="Verdana" w:hAnsi="Verdana"/>
          <w:color w:val="76328A"/>
          <w:sz w:val="16"/>
          <w:szCs w:val="16"/>
        </w:rPr>
        <w:t>Home Office, ‘Ratification of the CoE Convention on Combating Violence against Women and Girls and Domestic Violence (Istanbul Convention) – 2020 Report on Progress’ (HO, 2020), at Annex A.</w:t>
      </w:r>
    </w:p>
  </w:footnote>
  <w:footnote w:id="39">
    <w:p w14:paraId="4AA23CA6" w14:textId="77777777" w:rsidR="005B7372" w:rsidRPr="00C73A7F" w:rsidRDefault="005B7372" w:rsidP="00821B4E">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Northern Ireland Office, “Explainer: UK Government commitment to no diminution of rights, safeguards and equality of opportunity in Northern Ireland” (NIO, 2020), at para 12.</w:t>
      </w:r>
    </w:p>
  </w:footnote>
  <w:footnote w:id="40">
    <w:p w14:paraId="4CFD9B6C" w14:textId="77777777" w:rsidR="005B7372" w:rsidRDefault="005B7372" w:rsidP="00821B4E">
      <w:pPr>
        <w:pStyle w:val="FootnoteText"/>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Northern Ireland Office, “Explainer: UK Government commitment to no diminution of rights, safeguards and equality of opportunity in Northern Ireland” (NIO, 2020), at para 13.</w:t>
      </w:r>
    </w:p>
  </w:footnote>
  <w:footnote w:id="41">
    <w:p w14:paraId="38406663" w14:textId="77777777" w:rsidR="005B7372" w:rsidRPr="005B5190" w:rsidRDefault="005B7372" w:rsidP="00821B4E">
      <w:pPr>
        <w:pStyle w:val="FootnoteText"/>
        <w:rPr>
          <w:rFonts w:ascii="Verdana" w:hAnsi="Verdana"/>
          <w:color w:val="77328A"/>
          <w:sz w:val="16"/>
          <w:szCs w:val="16"/>
        </w:rPr>
      </w:pPr>
      <w:r w:rsidRPr="005B5190">
        <w:rPr>
          <w:rStyle w:val="FootnoteReference"/>
          <w:rFonts w:ascii="Verdana" w:hAnsi="Verdana"/>
          <w:color w:val="77328A"/>
          <w:sz w:val="16"/>
          <w:szCs w:val="16"/>
        </w:rPr>
        <w:footnoteRef/>
      </w:r>
      <w:r w:rsidRPr="005B5190">
        <w:rPr>
          <w:rFonts w:ascii="Verdana" w:hAnsi="Verdana"/>
          <w:color w:val="77328A"/>
          <w:sz w:val="16"/>
          <w:szCs w:val="16"/>
        </w:rPr>
        <w:t xml:space="preserve"> Northern Ireland Office, “Explainer: UK Government commitment to no diminution of rights, safeguards and equality of opportunity in Northern Ireland” (NIO, 2020), at para 13.</w:t>
      </w:r>
    </w:p>
  </w:footnote>
  <w:footnote w:id="42">
    <w:p w14:paraId="19A4A9E0" w14:textId="77777777" w:rsidR="005B7372" w:rsidRPr="005B5190" w:rsidRDefault="005B7372" w:rsidP="00821B4E">
      <w:pPr>
        <w:pStyle w:val="FootnoteText"/>
        <w:rPr>
          <w:rFonts w:ascii="Verdana" w:hAnsi="Verdana"/>
          <w:color w:val="77328A"/>
          <w:sz w:val="16"/>
          <w:szCs w:val="16"/>
        </w:rPr>
      </w:pPr>
      <w:r w:rsidRPr="005B5190">
        <w:rPr>
          <w:rStyle w:val="FootnoteReference"/>
          <w:rFonts w:ascii="Verdana" w:hAnsi="Verdana"/>
          <w:color w:val="77328A"/>
          <w:sz w:val="16"/>
          <w:szCs w:val="16"/>
        </w:rPr>
        <w:footnoteRef/>
      </w:r>
      <w:r w:rsidRPr="005B5190">
        <w:rPr>
          <w:rFonts w:ascii="Verdana" w:hAnsi="Verdana"/>
          <w:color w:val="77328A"/>
          <w:sz w:val="16"/>
          <w:szCs w:val="16"/>
        </w:rPr>
        <w:t xml:space="preserve"> </w:t>
      </w:r>
      <w:r>
        <w:rPr>
          <w:rFonts w:ascii="Verdana" w:hAnsi="Verdana"/>
          <w:color w:val="77328A"/>
          <w:sz w:val="16"/>
          <w:szCs w:val="16"/>
        </w:rPr>
        <w:t xml:space="preserve">Articles 10-15, </w:t>
      </w:r>
      <w:r w:rsidRPr="005B5190">
        <w:rPr>
          <w:rFonts w:ascii="Verdana" w:hAnsi="Verdana"/>
          <w:color w:val="77328A"/>
          <w:sz w:val="16"/>
          <w:szCs w:val="16"/>
        </w:rPr>
        <w:t>Directive 2012/29/EU</w:t>
      </w:r>
      <w:r>
        <w:rPr>
          <w:rFonts w:ascii="Verdana" w:hAnsi="Verdana"/>
          <w:color w:val="77328A"/>
          <w:sz w:val="16"/>
          <w:szCs w:val="16"/>
        </w:rPr>
        <w:t xml:space="preserve"> of the European Parliament and of the Council of 25 October 2012 establishing minimum standards on the rights, support and protection of victims of crime, and replacing Council Framework Decision 2001/220/JHA</w:t>
      </w:r>
      <w:r w:rsidRPr="005B5190">
        <w:rPr>
          <w:rFonts w:ascii="Verdana" w:hAnsi="Verdana"/>
          <w:color w:val="77328A"/>
          <w:sz w:val="16"/>
          <w:szCs w:val="16"/>
        </w:rPr>
        <w:t>.</w:t>
      </w:r>
    </w:p>
  </w:footnote>
  <w:footnote w:id="43">
    <w:p w14:paraId="5D15BBE8" w14:textId="77777777" w:rsidR="005B7372" w:rsidRPr="005B5190" w:rsidRDefault="005B7372" w:rsidP="00821B4E">
      <w:pPr>
        <w:pStyle w:val="FootnoteText"/>
        <w:rPr>
          <w:rFonts w:ascii="Verdana" w:hAnsi="Verdana"/>
          <w:color w:val="77328A"/>
          <w:sz w:val="16"/>
          <w:szCs w:val="16"/>
        </w:rPr>
      </w:pPr>
      <w:r w:rsidRPr="005B5190">
        <w:rPr>
          <w:rStyle w:val="FootnoteReference"/>
          <w:rFonts w:ascii="Verdana" w:hAnsi="Verdana"/>
          <w:color w:val="77328A"/>
          <w:sz w:val="16"/>
          <w:szCs w:val="16"/>
        </w:rPr>
        <w:footnoteRef/>
      </w:r>
      <w:r w:rsidRPr="005B5190">
        <w:rPr>
          <w:rFonts w:ascii="Verdana" w:hAnsi="Verdana"/>
          <w:color w:val="77328A"/>
          <w:sz w:val="16"/>
          <w:szCs w:val="16"/>
        </w:rPr>
        <w:t xml:space="preserve"> </w:t>
      </w:r>
      <w:r>
        <w:rPr>
          <w:rFonts w:ascii="Verdana" w:hAnsi="Verdana"/>
          <w:color w:val="77328A"/>
          <w:sz w:val="16"/>
          <w:szCs w:val="16"/>
        </w:rPr>
        <w:t xml:space="preserve">Articles 17, </w:t>
      </w:r>
      <w:r w:rsidRPr="005B5190">
        <w:rPr>
          <w:rFonts w:ascii="Verdana" w:hAnsi="Verdana"/>
          <w:color w:val="77328A"/>
          <w:sz w:val="16"/>
          <w:szCs w:val="16"/>
        </w:rPr>
        <w:t>Directive 2012/29/EU</w:t>
      </w:r>
      <w:r>
        <w:rPr>
          <w:rFonts w:ascii="Verdana" w:hAnsi="Verdana"/>
          <w:color w:val="77328A"/>
          <w:sz w:val="16"/>
          <w:szCs w:val="16"/>
        </w:rPr>
        <w:t xml:space="preserve"> of the European Parliament and of the Council of 25 October 2012 establishing minimum standards on the rights, support and protection of victims of crime, and replacing Council Framework Decision 2001/220/JHA</w:t>
      </w:r>
      <w:r w:rsidRPr="005B5190">
        <w:rPr>
          <w:rFonts w:ascii="Verdana" w:hAnsi="Verdana"/>
          <w:color w:val="77328A"/>
          <w:sz w:val="16"/>
          <w:szCs w:val="16"/>
        </w:rPr>
        <w:t>.</w:t>
      </w:r>
    </w:p>
  </w:footnote>
  <w:footnote w:id="44">
    <w:p w14:paraId="25D6A2B4" w14:textId="77777777" w:rsidR="005B7372" w:rsidRDefault="005B7372" w:rsidP="00821B4E">
      <w:pPr>
        <w:pStyle w:val="FootnoteText"/>
      </w:pPr>
      <w:r w:rsidRPr="005B5190">
        <w:rPr>
          <w:rStyle w:val="FootnoteReference"/>
          <w:rFonts w:ascii="Verdana" w:hAnsi="Verdana"/>
          <w:color w:val="77328A"/>
          <w:sz w:val="16"/>
          <w:szCs w:val="16"/>
        </w:rPr>
        <w:footnoteRef/>
      </w:r>
      <w:r w:rsidRPr="005B5190">
        <w:rPr>
          <w:rFonts w:ascii="Verdana" w:hAnsi="Verdana"/>
          <w:color w:val="77328A"/>
          <w:sz w:val="16"/>
          <w:szCs w:val="16"/>
        </w:rPr>
        <w:t xml:space="preserve"> Recital 7, Directive 2012/29/EU</w:t>
      </w:r>
      <w:r>
        <w:rPr>
          <w:rFonts w:ascii="Verdana" w:hAnsi="Verdana"/>
          <w:color w:val="77328A"/>
          <w:sz w:val="16"/>
          <w:szCs w:val="16"/>
        </w:rPr>
        <w:t xml:space="preserve"> of the European Parliament and of the Council of 25 October 2012 establishing minimum standards on the rights, support and protection of victims of crime, and replacing Council Framework Decision 2001/220/JHA</w:t>
      </w:r>
      <w:r w:rsidRPr="005B5190">
        <w:rPr>
          <w:rFonts w:ascii="Verdana" w:hAnsi="Verdana"/>
          <w:color w:val="77328A"/>
          <w:sz w:val="16"/>
          <w:szCs w:val="16"/>
        </w:rPr>
        <w:t>.</w:t>
      </w:r>
    </w:p>
  </w:footnote>
  <w:footnote w:id="45">
    <w:p w14:paraId="362C8AB0" w14:textId="77777777" w:rsidR="005B7372" w:rsidRDefault="005B7372" w:rsidP="00AE5CA2">
      <w:pPr>
        <w:pStyle w:val="NIHRCFootnotes"/>
      </w:pPr>
      <w:r>
        <w:rPr>
          <w:rStyle w:val="FootnoteReference"/>
        </w:rPr>
        <w:footnoteRef/>
      </w:r>
      <w:r>
        <w:t xml:space="preserve"> </w:t>
      </w:r>
      <w:r w:rsidRPr="00087EE0">
        <w:t>Directive 2011/36/EU of the European Parliament and of the Council of 5 April 2011 on preventing and combating trafficking in human beings and protecting its victims, and replacing Council Framework Decision 2002/629/JHA</w:t>
      </w:r>
      <w:r>
        <w:t>.</w:t>
      </w:r>
    </w:p>
  </w:footnote>
  <w:footnote w:id="46">
    <w:p w14:paraId="65D15DB9" w14:textId="77777777" w:rsidR="005B7372" w:rsidRDefault="005B7372" w:rsidP="00AE5CA2">
      <w:pPr>
        <w:pStyle w:val="NIHRCFootnotes"/>
      </w:pPr>
      <w:r>
        <w:rPr>
          <w:rStyle w:val="FootnoteReference"/>
        </w:rPr>
        <w:footnoteRef/>
      </w:r>
      <w:r>
        <w:t xml:space="preserve"> Directive 2011/92/EU of the European Parliament and of the Council of 13 December 2011 on combating the </w:t>
      </w:r>
      <w:r>
        <w:rPr>
          <w:shd w:val="clear" w:color="auto" w:fill="FFFFFF"/>
        </w:rPr>
        <w:t>sexual abuse and sexual exploitation of children and child pornography, and replacing Council Framework Decision 2004/68/JHA</w:t>
      </w:r>
    </w:p>
  </w:footnote>
  <w:footnote w:id="47">
    <w:p w14:paraId="2C056F9B" w14:textId="77777777" w:rsidR="005B7372" w:rsidRPr="00C73A7F" w:rsidRDefault="005B7372">
      <w:pPr>
        <w:pStyle w:val="FootnoteText"/>
        <w:rPr>
          <w:rFonts w:ascii="Verdana" w:hAnsi="Verdana"/>
          <w:color w:val="77328A"/>
          <w:sz w:val="16"/>
          <w:szCs w:val="16"/>
        </w:rPr>
      </w:pPr>
      <w:r w:rsidRPr="001476E5">
        <w:rPr>
          <w:rStyle w:val="FootnoteReference"/>
          <w:rFonts w:ascii="Verdana" w:hAnsi="Verdana"/>
          <w:color w:val="76328A"/>
          <w:sz w:val="16"/>
          <w:szCs w:val="16"/>
        </w:rPr>
        <w:footnoteRef/>
      </w:r>
      <w:r w:rsidRPr="001476E5">
        <w:rPr>
          <w:rFonts w:ascii="Verdana" w:hAnsi="Verdana"/>
          <w:color w:val="76328A"/>
          <w:sz w:val="16"/>
          <w:szCs w:val="16"/>
        </w:rPr>
        <w:t xml:space="preserve"> </w:t>
      </w:r>
      <w:r w:rsidRPr="00C73A7F">
        <w:rPr>
          <w:rFonts w:ascii="Verdana" w:hAnsi="Verdana"/>
          <w:color w:val="77328A"/>
          <w:sz w:val="16"/>
          <w:szCs w:val="16"/>
        </w:rPr>
        <w:t xml:space="preserve">Justice (Sexual Offences and Trafficking Victims) Bill. </w:t>
      </w:r>
    </w:p>
  </w:footnote>
  <w:footnote w:id="48">
    <w:p w14:paraId="67974846" w14:textId="77777777" w:rsidR="005B7372" w:rsidRPr="00C73A7F" w:rsidRDefault="005B7372">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Section 67(A), Voyeurism (Offences) Act 2019.</w:t>
      </w:r>
    </w:p>
  </w:footnote>
  <w:footnote w:id="49">
    <w:p w14:paraId="31BCA3C3" w14:textId="77777777" w:rsidR="005B7372" w:rsidRDefault="005B7372" w:rsidP="002173D3">
      <w:pPr>
        <w:pStyle w:val="FootnoteText"/>
        <w:jc w:val="both"/>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NI Human Rights Commission, ‘Submission to the Department of Justice Review of the Law on Child Sexual Exploitation’, April 2019.</w:t>
      </w:r>
    </w:p>
  </w:footnote>
  <w:footnote w:id="50">
    <w:p w14:paraId="2CE32CC2" w14:textId="77777777" w:rsidR="005B7372" w:rsidRPr="00C73A7F" w:rsidRDefault="005B7372" w:rsidP="002173D3">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CRC/C/OPSC/GBR/CO/1, ‘UN CRC Committee Concluding Observations on the Report Submitted by the UK of Great Britain and NI under Article 12, Paragraph 1, of the Optional Protocol to the UN CRC on the Sale of Children, Child Prostitution and Child Pornography’, 8 July 2014, at para 29; CEDAW/C/GBR/CO/8, 'UN CEDAW Committee Concluding Observations on the Eighth Periodic Report of the UK of Great Britain and NI', 14 March 2019, at para 35(g).</w:t>
      </w:r>
    </w:p>
  </w:footnote>
  <w:footnote w:id="51">
    <w:p w14:paraId="2238DBCE" w14:textId="77777777" w:rsidR="005B7372" w:rsidRPr="00C73A7F" w:rsidRDefault="005B7372" w:rsidP="00392189">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Criminal Justice Inspection NI, ‘Child Sexual Exploitation in NI: An Inspection of the Criminal Justice System’s Response’, 2020.</w:t>
      </w:r>
    </w:p>
  </w:footnote>
  <w:footnote w:id="52">
    <w:p w14:paraId="7A5532B1" w14:textId="77777777" w:rsidR="005B7372" w:rsidRDefault="005B7372" w:rsidP="00392189">
      <w:pPr>
        <w:pStyle w:val="FootnoteText"/>
        <w:jc w:val="both"/>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Criminal Justice Inspection NI, ‘Child Sexual Exploitation in NI: An Inspection of the Criminal Justice System’s Response’, 2020 at 8.</w:t>
      </w:r>
    </w:p>
  </w:footnote>
  <w:footnote w:id="53">
    <w:p w14:paraId="3186ADBB" w14:textId="77777777" w:rsidR="005B7372" w:rsidRPr="00C73A7F" w:rsidRDefault="005B7372" w:rsidP="00392189">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Criminal Justice Inspection NI, ‘Child Sexual Exploitation in NI: An Inspection of the Criminal Justice System’s Response’, 2020 at 8.</w:t>
      </w:r>
    </w:p>
  </w:footnote>
  <w:footnote w:id="54">
    <w:p w14:paraId="16C3BB79" w14:textId="77777777" w:rsidR="005B7372" w:rsidRPr="006C37FC"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Gillen Review, recommendation 27. </w:t>
      </w:r>
    </w:p>
  </w:footnote>
  <w:footnote w:id="55">
    <w:p w14:paraId="6DFBD0F1" w14:textId="77777777" w:rsidR="005B7372" w:rsidRPr="00C73A7F" w:rsidRDefault="005B7372" w:rsidP="0070351E">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Gillen Review at para 3.76. </w:t>
      </w:r>
    </w:p>
  </w:footnote>
  <w:footnote w:id="56">
    <w:p w14:paraId="708BB265" w14:textId="77777777" w:rsidR="005B7372" w:rsidRPr="00C73A7F" w:rsidRDefault="005B7372" w:rsidP="0070351E">
      <w:pPr>
        <w:pStyle w:val="FootnoteText"/>
        <w:rPr>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Article 13, Criminal Evidence (Northern Ireland) Order 1999.</w:t>
      </w:r>
    </w:p>
  </w:footnote>
  <w:footnote w:id="57">
    <w:p w14:paraId="3A47CED8" w14:textId="77777777" w:rsidR="005B7372" w:rsidRPr="00C73A7F" w:rsidRDefault="005B7372" w:rsidP="0070351E">
      <w:pPr>
        <w:pStyle w:val="FootnoteText"/>
        <w:rPr>
          <w:rFonts w:ascii="Verdana" w:hAnsi="Verdana"/>
          <w:color w:val="77328A"/>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Gillen Review at para 3.94.</w:t>
      </w:r>
    </w:p>
  </w:footnote>
  <w:footnote w:id="58">
    <w:p w14:paraId="6FD6FB93" w14:textId="77777777" w:rsidR="005B7372" w:rsidRDefault="005B7372">
      <w:pPr>
        <w:pStyle w:val="FootnoteText"/>
      </w:pPr>
      <w:r w:rsidRPr="00392189">
        <w:rPr>
          <w:rStyle w:val="FootnoteReference"/>
          <w:rFonts w:ascii="Verdana" w:hAnsi="Verdana"/>
          <w:color w:val="7030A0"/>
          <w:sz w:val="16"/>
          <w:szCs w:val="16"/>
        </w:rPr>
        <w:footnoteRef/>
      </w:r>
      <w:r w:rsidRPr="00392189">
        <w:rPr>
          <w:rFonts w:ascii="Verdana" w:hAnsi="Verdana"/>
          <w:color w:val="7030A0"/>
          <w:sz w:val="16"/>
          <w:szCs w:val="16"/>
        </w:rPr>
        <w:t xml:space="preserve"> </w:t>
      </w:r>
      <w:r>
        <w:rPr>
          <w:rFonts w:ascii="Verdana" w:hAnsi="Verdana"/>
          <w:color w:val="77328A"/>
          <w:sz w:val="16"/>
          <w:szCs w:val="16"/>
        </w:rPr>
        <w:t>See also Article 14 ICCPR.</w:t>
      </w:r>
    </w:p>
  </w:footnote>
  <w:footnote w:id="59">
    <w:p w14:paraId="257E1EB4"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w:t>
      </w:r>
      <w:r w:rsidRPr="00C73A7F">
        <w:rPr>
          <w:rFonts w:ascii="Verdana" w:hAnsi="Verdana"/>
          <w:i/>
          <w:color w:val="77328A"/>
          <w:sz w:val="16"/>
          <w:szCs w:val="16"/>
        </w:rPr>
        <w:t>B and P v the United Kingdom</w:t>
      </w:r>
      <w:r w:rsidRPr="00C73A7F">
        <w:rPr>
          <w:rFonts w:ascii="Verdana" w:hAnsi="Verdana"/>
          <w:color w:val="77328A"/>
          <w:sz w:val="16"/>
          <w:szCs w:val="16"/>
        </w:rPr>
        <w:t>, Appl. Nos. 36337/97 35974/97 (24 April 2001) para 36.</w:t>
      </w:r>
    </w:p>
  </w:footnote>
  <w:footnote w:id="60">
    <w:p w14:paraId="726CB33C"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UN Human Rights Committee, General Comment 32: Article 14 on the right to equality before the courts and tribunals and to a fair trial, CCPR/C/GC/32 (23 August 2007) para 1.</w:t>
      </w:r>
    </w:p>
  </w:footnote>
  <w:footnote w:id="61">
    <w:p w14:paraId="4F24E873"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w:t>
      </w:r>
      <w:r w:rsidRPr="00C73A7F">
        <w:rPr>
          <w:rFonts w:ascii="Verdana" w:hAnsi="Verdana"/>
          <w:i/>
          <w:color w:val="77328A"/>
          <w:sz w:val="16"/>
          <w:szCs w:val="16"/>
        </w:rPr>
        <w:t>B and P v the United Kingdom</w:t>
      </w:r>
      <w:r w:rsidRPr="00C73A7F">
        <w:rPr>
          <w:rFonts w:ascii="Verdana" w:hAnsi="Verdana"/>
          <w:color w:val="77328A"/>
          <w:sz w:val="16"/>
          <w:szCs w:val="16"/>
        </w:rPr>
        <w:t>, Application nos. 36337/97 35974/97 (24 April 2001) para 36.</w:t>
      </w:r>
    </w:p>
  </w:footnote>
  <w:footnote w:id="62">
    <w:p w14:paraId="55F67418"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Article 14(1), ICCPR; Article 6(1), ECHR. </w:t>
      </w:r>
    </w:p>
  </w:footnote>
  <w:footnote w:id="63">
    <w:p w14:paraId="6AD0A145"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w:t>
      </w:r>
      <w:r w:rsidRPr="00C73A7F">
        <w:rPr>
          <w:rFonts w:ascii="Verdana" w:hAnsi="Verdana"/>
          <w:i/>
          <w:color w:val="77328A"/>
          <w:sz w:val="16"/>
          <w:szCs w:val="16"/>
        </w:rPr>
        <w:t>B and P v the United Kingdom</w:t>
      </w:r>
      <w:r w:rsidRPr="00C73A7F">
        <w:rPr>
          <w:rFonts w:ascii="Verdana" w:hAnsi="Verdana"/>
          <w:color w:val="77328A"/>
          <w:sz w:val="16"/>
          <w:szCs w:val="16"/>
        </w:rPr>
        <w:t xml:space="preserve">, Application nos. 36337/97 35974/97 (24 April 2001) para 37. </w:t>
      </w:r>
    </w:p>
  </w:footnote>
  <w:footnote w:id="64">
    <w:p w14:paraId="60C7CB20" w14:textId="77777777" w:rsidR="005B7372" w:rsidRPr="00C73A7F" w:rsidRDefault="005B7372" w:rsidP="0070351E">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Chaushev and others v Russia, Application nos. 37037/03 39053/03 2469/04 (25 October 2016) para 24. </w:t>
      </w:r>
    </w:p>
  </w:footnote>
  <w:footnote w:id="65">
    <w:p w14:paraId="6BC87C97" w14:textId="77777777" w:rsidR="005B7372" w:rsidRPr="001F0B1C" w:rsidRDefault="005B7372" w:rsidP="0070351E">
      <w:pPr>
        <w:pStyle w:val="FootnoteText"/>
        <w:jc w:val="both"/>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UN Human Rights Committee, General Comment 32: Article 14 on the right to equality before the courts and tribunals and to a fair trial, CCPR/C/GC/32 (23 August 2007) para 29.</w:t>
      </w:r>
    </w:p>
  </w:footnote>
  <w:footnote w:id="66">
    <w:p w14:paraId="05609143" w14:textId="77777777" w:rsidR="005B7372" w:rsidRPr="001F0B1C" w:rsidRDefault="005B7372" w:rsidP="0070351E">
      <w:pPr>
        <w:pStyle w:val="FootnoteText"/>
        <w:jc w:val="both"/>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Article 22(1), EU Directive 2012/29/EU. </w:t>
      </w:r>
    </w:p>
  </w:footnote>
  <w:footnote w:id="67">
    <w:p w14:paraId="64B17A19" w14:textId="77777777" w:rsidR="005B7372" w:rsidRPr="001F0B1C" w:rsidRDefault="005B7372" w:rsidP="0070351E">
      <w:pPr>
        <w:pStyle w:val="FootnoteText"/>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Articles 22(2) and (3), EU Directive 2012/29/EU.</w:t>
      </w:r>
    </w:p>
  </w:footnote>
  <w:footnote w:id="68">
    <w:p w14:paraId="07A60B38" w14:textId="77777777" w:rsidR="005B7372" w:rsidRPr="001F0B1C" w:rsidRDefault="005B7372" w:rsidP="0070351E">
      <w:pPr>
        <w:pStyle w:val="FootnoteText"/>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Article 23(3)(d), EU Directive 2012/29/EU. </w:t>
      </w:r>
    </w:p>
  </w:footnote>
  <w:footnote w:id="69">
    <w:p w14:paraId="080919AC" w14:textId="77777777" w:rsidR="005B7372" w:rsidRPr="0070351E" w:rsidRDefault="005B7372" w:rsidP="001F0B1C">
      <w:pPr>
        <w:pStyle w:val="FootnoteText"/>
        <w:jc w:val="both"/>
        <w:rPr>
          <w:rFonts w:ascii="Verdana" w:hAnsi="Verdana"/>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UN Committee against Torture, General Comment 3: Implementation of article 14 by States parties, CAT/C/GC/3 (13 December 2012) para 33.</w:t>
      </w:r>
    </w:p>
  </w:footnote>
  <w:footnote w:id="70">
    <w:p w14:paraId="602A830B" w14:textId="77777777" w:rsidR="005B7372" w:rsidRPr="001F0B1C" w:rsidRDefault="005B7372" w:rsidP="0070351E">
      <w:pPr>
        <w:pStyle w:val="FootnoteText"/>
        <w:jc w:val="both"/>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Article 36(2), Lanzarote Convention. </w:t>
      </w:r>
    </w:p>
  </w:footnote>
  <w:footnote w:id="71">
    <w:p w14:paraId="59F2399A" w14:textId="77777777" w:rsidR="005B7372" w:rsidRPr="00C73A7F" w:rsidRDefault="005B7372" w:rsidP="0070351E">
      <w:pPr>
        <w:pStyle w:val="FootnoteText"/>
        <w:jc w:val="both"/>
        <w:rPr>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Article 56(1)(i), Istanbul Convention</w:t>
      </w:r>
      <w:r w:rsidRPr="00C73A7F">
        <w:rPr>
          <w:rFonts w:ascii="Verdana" w:hAnsi="Verdana"/>
          <w:color w:val="77328A"/>
          <w:sz w:val="16"/>
          <w:szCs w:val="16"/>
        </w:rPr>
        <w:t>.</w:t>
      </w:r>
      <w:r w:rsidRPr="00C73A7F">
        <w:rPr>
          <w:color w:val="77328A"/>
          <w:sz w:val="16"/>
          <w:szCs w:val="16"/>
        </w:rPr>
        <w:t xml:space="preserve"> </w:t>
      </w:r>
    </w:p>
  </w:footnote>
  <w:footnote w:id="72">
    <w:p w14:paraId="3C98A568" w14:textId="77777777" w:rsidR="005B7372" w:rsidRPr="001F0B1C" w:rsidRDefault="005B7372" w:rsidP="00D01D49">
      <w:pPr>
        <w:pStyle w:val="FootnoteText"/>
        <w:rPr>
          <w:rFonts w:ascii="Verdana" w:hAnsi="Verdana"/>
          <w:color w:val="77328A"/>
          <w:sz w:val="16"/>
          <w:szCs w:val="16"/>
        </w:rPr>
      </w:pPr>
      <w:r w:rsidRPr="00D01D49">
        <w:rPr>
          <w:rStyle w:val="FootnoteReference"/>
          <w:rFonts w:ascii="Verdana" w:hAnsi="Verdana"/>
          <w:sz w:val="16"/>
          <w:szCs w:val="16"/>
        </w:rPr>
        <w:footnoteRef/>
      </w:r>
      <w:r w:rsidRPr="001F0B1C">
        <w:rPr>
          <w:rFonts w:ascii="Verdana" w:hAnsi="Verdana"/>
          <w:color w:val="77328A"/>
          <w:sz w:val="16"/>
          <w:szCs w:val="16"/>
        </w:rPr>
        <w:t xml:space="preserve"> Article 25(1), EU Directive 20012/29/EU.</w:t>
      </w:r>
    </w:p>
  </w:footnote>
  <w:footnote w:id="73">
    <w:p w14:paraId="470E662A" w14:textId="77777777" w:rsidR="005B7372" w:rsidRPr="001F0B1C" w:rsidRDefault="005B7372" w:rsidP="00D01D49">
      <w:pPr>
        <w:pStyle w:val="FootnoteText"/>
        <w:rPr>
          <w:rFonts w:ascii="Verdana" w:hAnsi="Verdana"/>
          <w:color w:val="77328A"/>
          <w:sz w:val="16"/>
          <w:szCs w:val="16"/>
        </w:rPr>
      </w:pPr>
      <w:r w:rsidRPr="001F0B1C">
        <w:rPr>
          <w:rStyle w:val="FootnoteReference"/>
          <w:rFonts w:ascii="Verdana" w:hAnsi="Verdana"/>
          <w:sz w:val="16"/>
          <w:szCs w:val="16"/>
        </w:rPr>
        <w:footnoteRef/>
      </w:r>
      <w:r w:rsidRPr="001F0B1C">
        <w:rPr>
          <w:rFonts w:ascii="Verdana" w:hAnsi="Verdana"/>
          <w:color w:val="77328A"/>
          <w:sz w:val="16"/>
          <w:szCs w:val="16"/>
        </w:rPr>
        <w:t xml:space="preserve"> Article 25(2), EU Directive 2012/29/EU.</w:t>
      </w:r>
    </w:p>
  </w:footnote>
  <w:footnote w:id="74">
    <w:p w14:paraId="0E723BDE" w14:textId="77777777" w:rsidR="005B7372" w:rsidRPr="001F0B1C" w:rsidRDefault="005B7372" w:rsidP="00392189">
      <w:pPr>
        <w:pStyle w:val="FootnoteText"/>
        <w:jc w:val="both"/>
        <w:rPr>
          <w:rFonts w:ascii="Verdana" w:hAnsi="Verdana"/>
          <w:color w:val="77328A"/>
          <w:sz w:val="16"/>
          <w:szCs w:val="16"/>
        </w:rPr>
      </w:pPr>
      <w:r w:rsidRPr="001F0B1C">
        <w:rPr>
          <w:rStyle w:val="FootnoteReference"/>
          <w:rFonts w:ascii="Verdana" w:hAnsi="Verdana"/>
          <w:color w:val="77328A"/>
          <w:sz w:val="16"/>
          <w:szCs w:val="16"/>
        </w:rPr>
        <w:footnoteRef/>
      </w:r>
      <w:r w:rsidRPr="001F0B1C">
        <w:rPr>
          <w:rFonts w:ascii="Verdana" w:hAnsi="Verdana"/>
          <w:color w:val="77328A"/>
          <w:sz w:val="16"/>
          <w:szCs w:val="16"/>
        </w:rPr>
        <w:t xml:space="preserve"> Sir John Gillen, ‘Gillen Review: Report into the law and procedures in serious sexual offences in Northern Ireland; Recommendations’, (DoJ, 2019), para 222.</w:t>
      </w:r>
    </w:p>
  </w:footnote>
  <w:footnote w:id="75">
    <w:p w14:paraId="4F6F689F" w14:textId="77777777" w:rsidR="005B7372" w:rsidRPr="00F10132" w:rsidRDefault="005B7372">
      <w:pPr>
        <w:pStyle w:val="FootnoteText"/>
        <w:rPr>
          <w:rFonts w:ascii="Verdana" w:hAnsi="Verdan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CEDAW/C/GBR/CO/8, 'UN CEDAW Committee Concluding Observations on the Eighth Periodic Report of the UK of Great Britain and NI', 14 March 2019, at para 33.</w:t>
      </w:r>
    </w:p>
  </w:footnote>
  <w:footnote w:id="76">
    <w:p w14:paraId="000D85B7" w14:textId="77777777" w:rsidR="005B7372" w:rsidRPr="00C73A7F" w:rsidRDefault="005B7372" w:rsidP="00392189">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CEDAW/C/GBR/CO/8, 'UN CEDAW Committee Concluding Observations on the Eighth Periodic Report of the United Kingdom of Great Britain and Northern Ireland', 14 March 2019, at para 35. </w:t>
      </w:r>
    </w:p>
  </w:footnote>
  <w:footnote w:id="77">
    <w:p w14:paraId="21CF6AD0" w14:textId="77777777" w:rsidR="005B7372" w:rsidRPr="00F10132" w:rsidRDefault="005B7372" w:rsidP="00392189">
      <w:pPr>
        <w:pStyle w:val="FootnoteText"/>
        <w:jc w:val="both"/>
        <w:rPr>
          <w:rFonts w:ascii="Verdana" w:hAnsi="Verdan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CAT/C/GBR/CO/6, 'UN Committee against Torture, Concluding Observations on the Sixth Periodic Report of the United Kingdom of Great Britain and Northern Ireland', 7 June 2019, at para 59. </w:t>
      </w:r>
    </w:p>
  </w:footnote>
  <w:footnote w:id="78">
    <w:p w14:paraId="2D418349" w14:textId="77777777" w:rsidR="005B7372" w:rsidRPr="00C73A7F" w:rsidRDefault="005B7372" w:rsidP="00392189">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Criminal Justice Inspect</w:t>
      </w:r>
      <w:r>
        <w:rPr>
          <w:rFonts w:ascii="Verdana" w:hAnsi="Verdana"/>
          <w:color w:val="77328A"/>
          <w:sz w:val="16"/>
          <w:szCs w:val="16"/>
        </w:rPr>
        <w:t>ion</w:t>
      </w:r>
      <w:r w:rsidRPr="00C73A7F">
        <w:rPr>
          <w:rFonts w:ascii="Verdana" w:hAnsi="Verdana"/>
          <w:color w:val="77328A"/>
          <w:sz w:val="16"/>
          <w:szCs w:val="16"/>
        </w:rPr>
        <w:t xml:space="preserve"> NI, ‘Modern Slavery and Human Trafficking: An Inspection of How the Criminal Justice System Deals with Modern Slavery and Human Trafficking in NI’, 2020.</w:t>
      </w:r>
    </w:p>
  </w:footnote>
  <w:footnote w:id="79">
    <w:p w14:paraId="455640D7" w14:textId="77777777" w:rsidR="005B7372" w:rsidRDefault="005B7372" w:rsidP="00392189">
      <w:pPr>
        <w:pStyle w:val="FootnoteText"/>
        <w:jc w:val="both"/>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w:t>
      </w:r>
      <w:r w:rsidRPr="00B40E49">
        <w:rPr>
          <w:rFonts w:ascii="Verdana" w:hAnsi="Verdana"/>
          <w:color w:val="77328A"/>
          <w:sz w:val="16"/>
          <w:szCs w:val="16"/>
        </w:rPr>
        <w:t>Criminal Justice Inspection NI, ‘Modern Slavery and Human Trafficking: An Inspection of How the Criminal Justice System Deals with Modern Slavery and Human Trafficking in NI’, 2020.</w:t>
      </w:r>
    </w:p>
  </w:footnote>
  <w:footnote w:id="80">
    <w:p w14:paraId="19025039" w14:textId="77777777" w:rsidR="005B7372" w:rsidRPr="00C73A7F" w:rsidRDefault="005B7372">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NI Human Rights Commissions, ‘Response to the Department of Justice Consultation on Consent to Serious Harm for Sexual Gratification: Not a Defence’, January 2021. </w:t>
      </w:r>
    </w:p>
  </w:footnote>
  <w:footnote w:id="81">
    <w:p w14:paraId="08CC6590" w14:textId="77777777" w:rsidR="005B7372" w:rsidRPr="00C73A7F" w:rsidRDefault="005B7372">
      <w:pPr>
        <w:pStyle w:val="FootnoteText"/>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UN Office of the High Commissioner Human Rights, ‘News: International Day on the Elimination of Violence against Women’, November 2018.  Available at: </w:t>
      </w:r>
      <w:hyperlink r:id="rId1" w:history="1">
        <w:r w:rsidRPr="00C73A7F">
          <w:rPr>
            <w:rStyle w:val="Hyperlink"/>
            <w:rFonts w:ascii="Verdana" w:hAnsi="Verdana"/>
            <w:color w:val="77328A"/>
            <w:sz w:val="16"/>
            <w:szCs w:val="16"/>
          </w:rPr>
          <w:t>https://www.ohchr.org/EN/NewsEvents/Pages/DisplayNews.aspx?NewsID=23921</w:t>
        </w:r>
      </w:hyperlink>
      <w:r w:rsidRPr="00C73A7F">
        <w:rPr>
          <w:rFonts w:ascii="Verdana" w:hAnsi="Verdana"/>
          <w:color w:val="77328A"/>
          <w:sz w:val="16"/>
          <w:szCs w:val="16"/>
        </w:rPr>
        <w:t xml:space="preserve"> </w:t>
      </w:r>
    </w:p>
  </w:footnote>
  <w:footnote w:id="82">
    <w:p w14:paraId="24610A66" w14:textId="77777777" w:rsidR="005B7372" w:rsidRDefault="005B7372">
      <w:pPr>
        <w:pStyle w:val="FootnoteText"/>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Ibid.</w:t>
      </w:r>
      <w:r w:rsidRPr="00C73A7F">
        <w:rPr>
          <w:color w:val="77328A"/>
        </w:rPr>
        <w:t xml:space="preserve"> </w:t>
      </w:r>
    </w:p>
  </w:footnote>
  <w:footnote w:id="83">
    <w:p w14:paraId="39D8B0AA" w14:textId="77777777" w:rsidR="005B7372" w:rsidRPr="00C73A7F" w:rsidRDefault="005B7372" w:rsidP="00392189">
      <w:pPr>
        <w:pStyle w:val="FootnoteText"/>
        <w:jc w:val="both"/>
        <w:rPr>
          <w:rFonts w:ascii="Verdana" w:hAnsi="Verdana"/>
          <w:color w:val="77328A"/>
          <w:sz w:val="16"/>
          <w:szCs w:val="16"/>
        </w:rPr>
      </w:pPr>
      <w:r w:rsidRPr="00C73A7F">
        <w:rPr>
          <w:rStyle w:val="FootnoteReference"/>
          <w:rFonts w:ascii="Verdana" w:hAnsi="Verdana"/>
          <w:color w:val="77328A"/>
          <w:sz w:val="16"/>
          <w:szCs w:val="16"/>
        </w:rPr>
        <w:footnoteRef/>
      </w:r>
      <w:r w:rsidRPr="00C73A7F">
        <w:rPr>
          <w:rFonts w:ascii="Verdana" w:hAnsi="Verdana"/>
          <w:color w:val="77328A"/>
          <w:sz w:val="16"/>
          <w:szCs w:val="16"/>
        </w:rPr>
        <w:t xml:space="preserve"> NI Human Rights Commission, ‘Submission to the Department of Justice Review of the Law on Child Sexual Exploitation’, April 2019.</w:t>
      </w:r>
    </w:p>
  </w:footnote>
  <w:footnote w:id="84">
    <w:p w14:paraId="48FE39C8" w14:textId="77777777" w:rsidR="005B7372" w:rsidRPr="00C73A7F" w:rsidRDefault="005B7372" w:rsidP="00392189">
      <w:pPr>
        <w:pStyle w:val="NIHRCFootnotes"/>
        <w:jc w:val="both"/>
      </w:pPr>
      <w:r w:rsidRPr="00C73A7F">
        <w:rPr>
          <w:rStyle w:val="FootnoteReference"/>
        </w:rPr>
        <w:footnoteRef/>
      </w:r>
      <w:r w:rsidRPr="00C73A7F">
        <w:t xml:space="preserve"> Article 18(1b), Lanzarote Convention.</w:t>
      </w:r>
    </w:p>
  </w:footnote>
  <w:footnote w:id="85">
    <w:p w14:paraId="5BFB8732" w14:textId="77777777" w:rsidR="005B7372" w:rsidRPr="00C73A7F" w:rsidRDefault="005B7372" w:rsidP="00392189">
      <w:pPr>
        <w:pStyle w:val="NIHRCFootnotes"/>
        <w:jc w:val="both"/>
      </w:pPr>
      <w:r w:rsidRPr="00C73A7F">
        <w:rPr>
          <w:rStyle w:val="FootnoteReference"/>
        </w:rPr>
        <w:footnoteRef/>
      </w:r>
      <w:r w:rsidRPr="00C73A7F">
        <w:t xml:space="preserve"> CETS 201 Explanatory Report to the Lanzarote Convention, at para 124. </w:t>
      </w:r>
    </w:p>
  </w:footnote>
  <w:footnote w:id="86">
    <w:p w14:paraId="5B7E6553" w14:textId="77777777" w:rsidR="005B7372" w:rsidRPr="008D5A7B" w:rsidRDefault="005B7372" w:rsidP="00392189">
      <w:pPr>
        <w:pStyle w:val="NIHRCFootnotes"/>
        <w:jc w:val="both"/>
      </w:pPr>
      <w:r w:rsidRPr="00C73A7F">
        <w:rPr>
          <w:rStyle w:val="FootnoteReference"/>
        </w:rPr>
        <w:footnoteRef/>
      </w:r>
      <w:r w:rsidRPr="00C73A7F">
        <w:t xml:space="preserve"> Ibid.</w:t>
      </w:r>
    </w:p>
  </w:footnote>
  <w:footnote w:id="87">
    <w:p w14:paraId="1B020B07" w14:textId="77777777" w:rsidR="005B7372" w:rsidRPr="00C73A7F" w:rsidRDefault="005B7372" w:rsidP="00392189">
      <w:pPr>
        <w:pStyle w:val="NIHRCFootnotes"/>
        <w:jc w:val="both"/>
      </w:pPr>
      <w:r w:rsidRPr="00C73A7F">
        <w:rPr>
          <w:rStyle w:val="FootnoteReference"/>
        </w:rPr>
        <w:footnoteRef/>
      </w:r>
      <w:r w:rsidRPr="00C73A7F">
        <w:t xml:space="preserve"> Ibid.</w:t>
      </w:r>
    </w:p>
  </w:footnote>
  <w:footnote w:id="88">
    <w:p w14:paraId="386DD845" w14:textId="77777777" w:rsidR="005B7372" w:rsidRPr="00C73A7F" w:rsidRDefault="005B7372" w:rsidP="00392189">
      <w:pPr>
        <w:pStyle w:val="NIHRCFootnotes"/>
        <w:jc w:val="both"/>
      </w:pPr>
      <w:r w:rsidRPr="00C73A7F">
        <w:rPr>
          <w:rStyle w:val="FootnoteReference"/>
        </w:rPr>
        <w:footnoteRef/>
      </w:r>
      <w:r w:rsidRPr="00C73A7F">
        <w:t xml:space="preserve"> T-ES (2015) ‘Committee of the Parties to the Council of Europe Convention on the protection of children against sexual exploitation and sexual abuse, ‘First implementation report: protection of children against sexual abuse in the circle of trust’, 8 January 2016, at para 19.</w:t>
      </w:r>
    </w:p>
  </w:footnote>
  <w:footnote w:id="89">
    <w:p w14:paraId="690EA8E7" w14:textId="77777777" w:rsidR="005B7372" w:rsidRPr="00C73A7F" w:rsidRDefault="005B7372" w:rsidP="00392189">
      <w:pPr>
        <w:pStyle w:val="NIHRCFootnotes"/>
        <w:jc w:val="both"/>
      </w:pPr>
      <w:r w:rsidRPr="00C73A7F">
        <w:rPr>
          <w:rStyle w:val="FootnoteReference"/>
        </w:rPr>
        <w:footnoteRef/>
      </w:r>
      <w:r w:rsidRPr="00C73A7F">
        <w:t xml:space="preserve"> </w:t>
      </w:r>
      <w:r w:rsidRPr="00B40E49">
        <w:t>T-ES (2015) ‘Committee of the Parties to the Council of Europe Convention on the protection of children against sexual exploitation and sexual abuse, ‘First implementation report: protection of children against sexual abuse in the circle of tru</w:t>
      </w:r>
      <w:r>
        <w:t>st’, 8 January 2016, at para 19</w:t>
      </w:r>
      <w:r w:rsidRPr="00C73A7F">
        <w:t>, at para 23.</w:t>
      </w:r>
    </w:p>
  </w:footnote>
  <w:footnote w:id="90">
    <w:p w14:paraId="72729DF3" w14:textId="77777777" w:rsidR="005B7372" w:rsidRPr="00C73A7F" w:rsidRDefault="005B7372" w:rsidP="00392189">
      <w:pPr>
        <w:pStyle w:val="NIHRCFootnotes"/>
        <w:jc w:val="both"/>
      </w:pPr>
      <w:r w:rsidRPr="00C73A7F">
        <w:rPr>
          <w:rStyle w:val="FootnoteReference"/>
        </w:rPr>
        <w:footnoteRef/>
      </w:r>
      <w:r w:rsidRPr="00C73A7F">
        <w:t xml:space="preserve"> Ibid, at para 24.</w:t>
      </w:r>
    </w:p>
  </w:footnote>
  <w:footnote w:id="91">
    <w:p w14:paraId="32227308" w14:textId="77777777" w:rsidR="005B7372" w:rsidRPr="00C73A7F" w:rsidRDefault="005B7372" w:rsidP="00392189">
      <w:pPr>
        <w:pStyle w:val="NIHRCFootnotes"/>
        <w:jc w:val="both"/>
      </w:pPr>
      <w:r w:rsidRPr="00C73A7F">
        <w:rPr>
          <w:rStyle w:val="FootnoteReference"/>
        </w:rPr>
        <w:footnoteRef/>
      </w:r>
      <w:r w:rsidRPr="00C73A7F">
        <w:t xml:space="preserve"> Ibid, at para 36. </w:t>
      </w:r>
    </w:p>
  </w:footnote>
  <w:footnote w:id="92">
    <w:p w14:paraId="6EA3C834" w14:textId="77777777" w:rsidR="005B7372" w:rsidRPr="00C73A7F" w:rsidRDefault="005B7372" w:rsidP="00392189">
      <w:pPr>
        <w:pStyle w:val="NIHRCFootnotes"/>
        <w:jc w:val="both"/>
      </w:pPr>
      <w:r w:rsidRPr="00C73A7F">
        <w:rPr>
          <w:rStyle w:val="FootnoteReference"/>
        </w:rPr>
        <w:footnoteRef/>
      </w:r>
      <w:r w:rsidRPr="00C73A7F">
        <w:t xml:space="preserve"> Ibid, at para 36. </w:t>
      </w:r>
    </w:p>
  </w:footnote>
  <w:footnote w:id="93">
    <w:p w14:paraId="1C446BFA" w14:textId="77777777" w:rsidR="005B7372" w:rsidRPr="00C73A7F" w:rsidRDefault="005B7372" w:rsidP="00392189">
      <w:pPr>
        <w:pStyle w:val="NIHRCFootnotes"/>
        <w:jc w:val="both"/>
      </w:pPr>
      <w:r w:rsidRPr="00C73A7F">
        <w:rPr>
          <w:rStyle w:val="FootnoteReference"/>
        </w:rPr>
        <w:footnoteRef/>
      </w:r>
      <w:r w:rsidRPr="00C73A7F">
        <w:t xml:space="preserve"> Ibid, at para 36. </w:t>
      </w:r>
    </w:p>
  </w:footnote>
  <w:footnote w:id="94">
    <w:p w14:paraId="07EF1DAE" w14:textId="77777777" w:rsidR="005B7372" w:rsidRPr="008D5A7B" w:rsidRDefault="005B7372" w:rsidP="00392189">
      <w:pPr>
        <w:pStyle w:val="NIHRCFootnotes"/>
        <w:jc w:val="both"/>
      </w:pPr>
      <w:r w:rsidRPr="00C73A7F">
        <w:rPr>
          <w:rStyle w:val="FootnoteReference"/>
        </w:rPr>
        <w:footnoteRef/>
      </w:r>
      <w:r w:rsidRPr="00C73A7F">
        <w:t xml:space="preserve"> Ibid, at para 29.</w:t>
      </w:r>
    </w:p>
  </w:footnote>
  <w:footnote w:id="95">
    <w:p w14:paraId="7B52571A" w14:textId="77777777" w:rsidR="005B7372" w:rsidRPr="00C73A7F" w:rsidRDefault="005B7372" w:rsidP="00392189">
      <w:pPr>
        <w:pStyle w:val="NIHRCFootnotes"/>
        <w:jc w:val="both"/>
      </w:pPr>
      <w:r w:rsidRPr="00C73A7F">
        <w:rPr>
          <w:rStyle w:val="FootnoteReference"/>
        </w:rPr>
        <w:footnoteRef/>
      </w:r>
      <w:r w:rsidRPr="00C73A7F">
        <w:t xml:space="preserve"> Ibid, at para 141.</w:t>
      </w:r>
    </w:p>
  </w:footnote>
  <w:footnote w:id="96">
    <w:p w14:paraId="20E477CF" w14:textId="77777777" w:rsidR="005B7372" w:rsidRPr="00C73A7F" w:rsidRDefault="005B7372" w:rsidP="00392189">
      <w:pPr>
        <w:pStyle w:val="NIHRCFootnotes"/>
        <w:jc w:val="both"/>
      </w:pPr>
      <w:r w:rsidRPr="00C73A7F">
        <w:rPr>
          <w:rStyle w:val="FootnoteReference"/>
        </w:rPr>
        <w:footnoteRef/>
      </w:r>
      <w:r w:rsidRPr="00C73A7F">
        <w:t xml:space="preserve"> The positions of trust do not include parental responsibility and other family relationships, which are covered by Articles 32-33 of the Sexual Offences (Northern Ireland) 2008 Order (familial sexual offences).</w:t>
      </w:r>
    </w:p>
  </w:footnote>
  <w:footnote w:id="97">
    <w:p w14:paraId="77D5014F" w14:textId="77777777" w:rsidR="005B7372" w:rsidRPr="002E4C4B" w:rsidRDefault="005B7372" w:rsidP="00392189">
      <w:pPr>
        <w:pStyle w:val="NIHRCFootnotes"/>
        <w:jc w:val="both"/>
      </w:pPr>
      <w:r w:rsidRPr="00C73A7F">
        <w:rPr>
          <w:rStyle w:val="FootnoteReference"/>
        </w:rPr>
        <w:footnoteRef/>
      </w:r>
      <w:r w:rsidRPr="00C73A7F">
        <w:t xml:space="preserve"> Professor Alexis Jay, OBE, Chair of the Independent Inquiry into Child Sexual Abuse. Report of the internal review, (December 2016), p 4.</w:t>
      </w:r>
    </w:p>
  </w:footnote>
  <w:footnote w:id="98">
    <w:p w14:paraId="41A02DFB" w14:textId="77777777" w:rsidR="005B7372" w:rsidRPr="005716D4" w:rsidRDefault="005B7372" w:rsidP="005716D4">
      <w:pPr>
        <w:pStyle w:val="FootnoteText"/>
        <w:jc w:val="both"/>
        <w:rPr>
          <w:rFonts w:ascii="Verdana" w:hAnsi="Verdana"/>
          <w:color w:val="77328A"/>
          <w:sz w:val="16"/>
          <w:szCs w:val="16"/>
        </w:rPr>
      </w:pPr>
      <w:r w:rsidRPr="005716D4">
        <w:rPr>
          <w:rStyle w:val="FootnoteReference"/>
          <w:rFonts w:ascii="Verdana" w:hAnsi="Verdana"/>
          <w:sz w:val="16"/>
          <w:szCs w:val="16"/>
        </w:rPr>
        <w:footnoteRef/>
      </w:r>
      <w:r w:rsidRPr="005716D4">
        <w:rPr>
          <w:rFonts w:ascii="Verdana" w:hAnsi="Verdana"/>
          <w:sz w:val="16"/>
          <w:szCs w:val="16"/>
        </w:rPr>
        <w:t xml:space="preserve"> </w:t>
      </w:r>
      <w:r w:rsidRPr="005716D4">
        <w:rPr>
          <w:rFonts w:ascii="Verdana" w:hAnsi="Verdana"/>
          <w:color w:val="77328A"/>
          <w:sz w:val="16"/>
          <w:szCs w:val="16"/>
        </w:rPr>
        <w:t>CRC</w:t>
      </w:r>
      <w:r w:rsidRPr="002B0AE2">
        <w:rPr>
          <w:rFonts w:ascii="Verdana" w:hAnsi="Verdana"/>
          <w:color w:val="77328A"/>
          <w:sz w:val="16"/>
          <w:szCs w:val="16"/>
        </w:rPr>
        <w:t>/C/GBR/CO/5, ‘UN CRC Committee Concluding Observations on the Fifth Periodic Report of the UK of Great Britain an</w:t>
      </w:r>
      <w:r>
        <w:rPr>
          <w:rFonts w:ascii="Verdana" w:hAnsi="Verdana"/>
          <w:color w:val="77328A"/>
          <w:sz w:val="16"/>
          <w:szCs w:val="16"/>
        </w:rPr>
        <w:t xml:space="preserve">d NI’, 12 July 2016, at para 79; </w:t>
      </w:r>
      <w:r w:rsidRPr="002B0AE2">
        <w:rPr>
          <w:rFonts w:ascii="Verdana" w:hAnsi="Verdana"/>
          <w:color w:val="77328A"/>
          <w:sz w:val="16"/>
          <w:szCs w:val="16"/>
        </w:rPr>
        <w:t>CAT/C/GBR/CO/6, ‘UN CAT Committee Concluding Observations on the Sixth Periodic Report of the UK of Great Britain and NI’, 7 June 2019, at para 23.</w:t>
      </w:r>
      <w:r>
        <w:rPr>
          <w:rFonts w:ascii="Verdana" w:hAnsi="Verdana"/>
          <w:color w:val="77328A"/>
          <w:sz w:val="16"/>
          <w:szCs w:val="16"/>
        </w:rPr>
        <w:t xml:space="preserve"> See also, </w:t>
      </w:r>
      <w:r w:rsidRPr="002B0AE2">
        <w:rPr>
          <w:rFonts w:ascii="Verdana" w:hAnsi="Verdana"/>
          <w:color w:val="77328A"/>
          <w:sz w:val="16"/>
          <w:szCs w:val="16"/>
        </w:rPr>
        <w:t>CRC/C/GC/24, 'UN CRC Committee General Comment No 24: Children's Rights in the Child Justice System', 18 September 2019, at para 21.</w:t>
      </w:r>
    </w:p>
  </w:footnote>
  <w:footnote w:id="99">
    <w:p w14:paraId="3910E0CF" w14:textId="77777777" w:rsidR="005B7372" w:rsidRPr="00FD6DB5" w:rsidRDefault="005B7372" w:rsidP="005716D4">
      <w:pPr>
        <w:pStyle w:val="FootnoteText"/>
        <w:rPr>
          <w:rFonts w:ascii="Verdana" w:hAnsi="Verdana"/>
          <w:sz w:val="16"/>
          <w:szCs w:val="16"/>
        </w:rPr>
      </w:pPr>
      <w:r w:rsidRPr="00FD6DB5">
        <w:rPr>
          <w:rStyle w:val="FootnoteReference"/>
          <w:rFonts w:ascii="Verdana" w:hAnsi="Verdana"/>
          <w:color w:val="7030A0"/>
          <w:sz w:val="16"/>
          <w:szCs w:val="16"/>
        </w:rPr>
        <w:footnoteRef/>
      </w:r>
      <w:r w:rsidRPr="00FD6DB5">
        <w:rPr>
          <w:rFonts w:ascii="Verdana" w:hAnsi="Verdana"/>
          <w:color w:val="7030A0"/>
          <w:sz w:val="16"/>
          <w:szCs w:val="16"/>
        </w:rPr>
        <w:t xml:space="preserve"> </w:t>
      </w:r>
      <w:r w:rsidRPr="006C6A75">
        <w:rPr>
          <w:rFonts w:ascii="Verdana" w:hAnsi="Verdana"/>
          <w:i/>
          <w:color w:val="7030A0"/>
          <w:sz w:val="16"/>
          <w:szCs w:val="16"/>
        </w:rPr>
        <w:t>Gaughran v the United Kingdom</w:t>
      </w:r>
      <w:r w:rsidRPr="00FD6DB5">
        <w:rPr>
          <w:rFonts w:ascii="Verdana" w:hAnsi="Verdana"/>
          <w:color w:val="7030A0"/>
          <w:sz w:val="16"/>
          <w:szCs w:val="16"/>
        </w:rPr>
        <w:t xml:space="preserve"> (2020) ECHR 144.</w:t>
      </w:r>
    </w:p>
  </w:footnote>
  <w:footnote w:id="100">
    <w:p w14:paraId="578D2AE2" w14:textId="77777777" w:rsidR="005B7372" w:rsidRPr="006E0AB2" w:rsidRDefault="005B7372">
      <w:pPr>
        <w:pStyle w:val="FootnoteText"/>
        <w:rPr>
          <w:rFonts w:ascii="Verdana" w:hAnsi="Verdana"/>
          <w:color w:val="76328A"/>
          <w:sz w:val="16"/>
          <w:szCs w:val="16"/>
        </w:rPr>
      </w:pPr>
      <w:r w:rsidRPr="006E0AB2">
        <w:rPr>
          <w:rStyle w:val="FootnoteReference"/>
          <w:rFonts w:ascii="Verdana" w:hAnsi="Verdana"/>
          <w:color w:val="76328A"/>
          <w:sz w:val="16"/>
          <w:szCs w:val="16"/>
        </w:rPr>
        <w:footnoteRef/>
      </w:r>
      <w:r w:rsidRPr="006E0AB2">
        <w:rPr>
          <w:rFonts w:ascii="Verdana" w:hAnsi="Verdana"/>
          <w:color w:val="76328A"/>
          <w:sz w:val="16"/>
          <w:szCs w:val="16"/>
        </w:rPr>
        <w:t xml:space="preserve"> CEDAW/C/GBR/CO/8. ‘UN Committee on the Elimination of Discrimination against Women Concluding Observations on the eighth periodic report of the United Kingdom of Great Britain and Northern Ireland’ 8 March 2019, para 35(g); See CEDAW/C/GBR/7, ‘UN Committee on the Elimination of Discrimination Against Women Concluding Observations on the seventh periodic report of the United Kingdom of Great Britain and Northern Ireland’ 8-26 July 2013; CRC/C/OPSC/GBR/CO/1, ‘UN Committee on the Rights of the Child Concluding observations on the report submitted by the United Kingdom of Great Britain and NI under article 12, paragraph 1, of the Optional Protocol to the Convention on the Rights of the Child on the sale of children, child prostitution and child pornography, 8 July 2014 at VI(a).</w:t>
      </w:r>
    </w:p>
  </w:footnote>
  <w:footnote w:id="101">
    <w:p w14:paraId="5DB2F718" w14:textId="77777777" w:rsidR="005B7372" w:rsidRDefault="005B7372">
      <w:pPr>
        <w:pStyle w:val="FootnoteText"/>
      </w:pPr>
      <w:r w:rsidRPr="006E0AB2">
        <w:rPr>
          <w:rStyle w:val="FootnoteReference"/>
          <w:rFonts w:ascii="Verdana" w:hAnsi="Verdana"/>
          <w:sz w:val="16"/>
          <w:szCs w:val="16"/>
        </w:rPr>
        <w:footnoteRef/>
      </w:r>
      <w:r>
        <w:t xml:space="preserve"> </w:t>
      </w:r>
    </w:p>
  </w:footnote>
  <w:footnote w:id="102">
    <w:p w14:paraId="35BE2923" w14:textId="77777777" w:rsidR="005B7372" w:rsidRPr="008D5A7B" w:rsidRDefault="005B7372" w:rsidP="00FD6DB5">
      <w:pPr>
        <w:pStyle w:val="NIHRCFootnotes"/>
        <w:jc w:val="both"/>
      </w:pPr>
      <w:r w:rsidRPr="008D5A7B">
        <w:rPr>
          <w:rStyle w:val="FootnoteReference"/>
        </w:rPr>
        <w:footnoteRef/>
      </w:r>
      <w:r w:rsidRPr="008D5A7B">
        <w:t xml:space="preserve"> Kathleen Marshall, ‘Child Sexual Exploitation in Northern Ireland: Report of the Independent Inquiry’ (November 2014). Key Recommendation 14. </w:t>
      </w:r>
    </w:p>
  </w:footnote>
  <w:footnote w:id="103">
    <w:p w14:paraId="5B3D0040" w14:textId="77777777" w:rsidR="005B7372" w:rsidRPr="008D5A7B" w:rsidRDefault="005B7372" w:rsidP="00FD6DB5">
      <w:pPr>
        <w:pStyle w:val="NIHRCFootnotes"/>
        <w:jc w:val="both"/>
      </w:pPr>
      <w:r w:rsidRPr="008D5A7B">
        <w:rPr>
          <w:rStyle w:val="FootnoteReference"/>
        </w:rPr>
        <w:footnoteRef/>
      </w:r>
      <w:r w:rsidRPr="008D5A7B">
        <w:t xml:space="preserve"> NIHRC, ‘Submission to Independent Inquiry into Child Sexual Exploitation in Northern Ireland’ (March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52D"/>
    <w:multiLevelType w:val="hybridMultilevel"/>
    <w:tmpl w:val="394211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C76331"/>
    <w:multiLevelType w:val="hybridMultilevel"/>
    <w:tmpl w:val="2CAAD5E0"/>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 w15:restartNumberingAfterBreak="0">
    <w:nsid w:val="07C25B76"/>
    <w:multiLevelType w:val="multilevel"/>
    <w:tmpl w:val="79A2CE1A"/>
    <w:lvl w:ilvl="0">
      <w:start w:val="3"/>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094F4B44"/>
    <w:multiLevelType w:val="hybridMultilevel"/>
    <w:tmpl w:val="8834AA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D74158"/>
    <w:multiLevelType w:val="hybridMultilevel"/>
    <w:tmpl w:val="D2F45DE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63E7E9C"/>
    <w:multiLevelType w:val="multilevel"/>
    <w:tmpl w:val="DAE63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1BCA5BFE"/>
    <w:multiLevelType w:val="hybridMultilevel"/>
    <w:tmpl w:val="DF1847F0"/>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7" w15:restartNumberingAfterBreak="0">
    <w:nsid w:val="1C1174D4"/>
    <w:multiLevelType w:val="multilevel"/>
    <w:tmpl w:val="79A2CE1A"/>
    <w:lvl w:ilvl="0">
      <w:start w:val="3"/>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1C5B79A0"/>
    <w:multiLevelType w:val="hybridMultilevel"/>
    <w:tmpl w:val="89FAB0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B6FC2"/>
    <w:multiLevelType w:val="hybridMultilevel"/>
    <w:tmpl w:val="51D4868E"/>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0" w15:restartNumberingAfterBreak="0">
    <w:nsid w:val="267E6D66"/>
    <w:multiLevelType w:val="multilevel"/>
    <w:tmpl w:val="9D206E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2AAD6B92"/>
    <w:multiLevelType w:val="multilevel"/>
    <w:tmpl w:val="A2F654F6"/>
    <w:lvl w:ilvl="0">
      <w:start w:val="3"/>
      <w:numFmt w:val="decimal"/>
      <w:lvlText w:val="%1.0"/>
      <w:lvlJc w:val="left"/>
      <w:pPr>
        <w:ind w:left="720" w:hanging="720"/>
      </w:pPr>
      <w:rPr>
        <w:rFonts w:hint="default"/>
        <w:color w:val="77328A"/>
      </w:rPr>
    </w:lvl>
    <w:lvl w:ilvl="1">
      <w:start w:val="1"/>
      <w:numFmt w:val="decimal"/>
      <w:lvlText w:val="%1.%2"/>
      <w:lvlJc w:val="left"/>
      <w:pPr>
        <w:ind w:left="720" w:hanging="720"/>
      </w:pPr>
      <w:rPr>
        <w:rFonts w:ascii="Verdana" w:hAnsi="Verdana" w:hint="default"/>
        <w:b w:val="0"/>
        <w:color w:val="auto"/>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3106653F"/>
    <w:multiLevelType w:val="multilevel"/>
    <w:tmpl w:val="C8C49F0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0E071F"/>
    <w:multiLevelType w:val="hybridMultilevel"/>
    <w:tmpl w:val="B8E6DE5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ED95787"/>
    <w:multiLevelType w:val="hybridMultilevel"/>
    <w:tmpl w:val="586A4C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3863909"/>
    <w:multiLevelType w:val="multilevel"/>
    <w:tmpl w:val="DAE63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6" w15:restartNumberingAfterBreak="0">
    <w:nsid w:val="43F54243"/>
    <w:multiLevelType w:val="multilevel"/>
    <w:tmpl w:val="FA926A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BD34B7"/>
    <w:multiLevelType w:val="multilevel"/>
    <w:tmpl w:val="FA926A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DE55DE"/>
    <w:multiLevelType w:val="hybridMultilevel"/>
    <w:tmpl w:val="D2E05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F7720"/>
    <w:multiLevelType w:val="hybridMultilevel"/>
    <w:tmpl w:val="C726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A32AF"/>
    <w:multiLevelType w:val="multilevel"/>
    <w:tmpl w:val="79A2CE1A"/>
    <w:lvl w:ilvl="0">
      <w:start w:val="3"/>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1" w15:restartNumberingAfterBreak="0">
    <w:nsid w:val="5B6867A7"/>
    <w:multiLevelType w:val="multilevel"/>
    <w:tmpl w:val="FA926A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CB2A50"/>
    <w:multiLevelType w:val="hybridMultilevel"/>
    <w:tmpl w:val="E582332E"/>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3" w15:restartNumberingAfterBreak="0">
    <w:nsid w:val="686A6CB1"/>
    <w:multiLevelType w:val="multilevel"/>
    <w:tmpl w:val="3ACC370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88B748B"/>
    <w:multiLevelType w:val="hybridMultilevel"/>
    <w:tmpl w:val="98E86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464472"/>
    <w:multiLevelType w:val="multilevel"/>
    <w:tmpl w:val="F64697B8"/>
    <w:lvl w:ilvl="0">
      <w:start w:val="1"/>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6FCB7E8A"/>
    <w:multiLevelType w:val="multilevel"/>
    <w:tmpl w:val="79A2CE1A"/>
    <w:lvl w:ilvl="0">
      <w:start w:val="3"/>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76B971C7"/>
    <w:multiLevelType w:val="hybridMultilevel"/>
    <w:tmpl w:val="32565498"/>
    <w:lvl w:ilvl="0" w:tplc="2CD078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9F7339"/>
    <w:multiLevelType w:val="hybridMultilevel"/>
    <w:tmpl w:val="468A737C"/>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num w:numId="1">
    <w:abstractNumId w:val="5"/>
  </w:num>
  <w:num w:numId="2">
    <w:abstractNumId w:val="25"/>
  </w:num>
  <w:num w:numId="3">
    <w:abstractNumId w:val="4"/>
  </w:num>
  <w:num w:numId="4">
    <w:abstractNumId w:val="28"/>
  </w:num>
  <w:num w:numId="5">
    <w:abstractNumId w:val="23"/>
  </w:num>
  <w:num w:numId="6">
    <w:abstractNumId w:val="3"/>
  </w:num>
  <w:num w:numId="7">
    <w:abstractNumId w:val="27"/>
  </w:num>
  <w:num w:numId="8">
    <w:abstractNumId w:val="13"/>
  </w:num>
  <w:num w:numId="9">
    <w:abstractNumId w:val="17"/>
  </w:num>
  <w:num w:numId="10">
    <w:abstractNumId w:val="1"/>
  </w:num>
  <w:num w:numId="11">
    <w:abstractNumId w:val="9"/>
  </w:num>
  <w:num w:numId="12">
    <w:abstractNumId w:val="11"/>
  </w:num>
  <w:num w:numId="13">
    <w:abstractNumId w:val="0"/>
  </w:num>
  <w:num w:numId="14">
    <w:abstractNumId w:val="26"/>
  </w:num>
  <w:num w:numId="15">
    <w:abstractNumId w:val="7"/>
  </w:num>
  <w:num w:numId="16">
    <w:abstractNumId w:val="29"/>
  </w:num>
  <w:num w:numId="17">
    <w:abstractNumId w:val="6"/>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16"/>
  </w:num>
  <w:num w:numId="23">
    <w:abstractNumId w:val="2"/>
  </w:num>
  <w:num w:numId="24">
    <w:abstractNumId w:val="20"/>
  </w:num>
  <w:num w:numId="25">
    <w:abstractNumId w:val="12"/>
  </w:num>
  <w:num w:numId="26">
    <w:abstractNumId w:val="15"/>
  </w:num>
  <w:num w:numId="27">
    <w:abstractNumId w:val="10"/>
  </w:num>
  <w:num w:numId="28">
    <w:abstractNumId w:val="18"/>
  </w:num>
  <w:num w:numId="29">
    <w:abstractNumId w:val="8"/>
  </w:num>
  <w:num w:numId="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11ED5"/>
    <w:rsid w:val="0001271D"/>
    <w:rsid w:val="00017608"/>
    <w:rsid w:val="00023003"/>
    <w:rsid w:val="00034569"/>
    <w:rsid w:val="00043827"/>
    <w:rsid w:val="00046705"/>
    <w:rsid w:val="0005379E"/>
    <w:rsid w:val="000628FB"/>
    <w:rsid w:val="00077BE3"/>
    <w:rsid w:val="00086A98"/>
    <w:rsid w:val="000A1D37"/>
    <w:rsid w:val="000A4066"/>
    <w:rsid w:val="000B15C3"/>
    <w:rsid w:val="000B6BB0"/>
    <w:rsid w:val="000C5C12"/>
    <w:rsid w:val="000D0B89"/>
    <w:rsid w:val="000D3654"/>
    <w:rsid w:val="000D3CEC"/>
    <w:rsid w:val="000E1F61"/>
    <w:rsid w:val="000E7F0C"/>
    <w:rsid w:val="00103B4C"/>
    <w:rsid w:val="00110E0A"/>
    <w:rsid w:val="001217BB"/>
    <w:rsid w:val="001476E5"/>
    <w:rsid w:val="0016579E"/>
    <w:rsid w:val="001850BE"/>
    <w:rsid w:val="001A4E0E"/>
    <w:rsid w:val="001B2A57"/>
    <w:rsid w:val="001B676F"/>
    <w:rsid w:val="001C7C56"/>
    <w:rsid w:val="001E081A"/>
    <w:rsid w:val="001E4B43"/>
    <w:rsid w:val="001E79A9"/>
    <w:rsid w:val="001F0B1C"/>
    <w:rsid w:val="00213B8A"/>
    <w:rsid w:val="002159A6"/>
    <w:rsid w:val="002173D3"/>
    <w:rsid w:val="00224140"/>
    <w:rsid w:val="00224FFB"/>
    <w:rsid w:val="00230E8C"/>
    <w:rsid w:val="002351CB"/>
    <w:rsid w:val="002428EC"/>
    <w:rsid w:val="00244518"/>
    <w:rsid w:val="00251705"/>
    <w:rsid w:val="00256743"/>
    <w:rsid w:val="002617B4"/>
    <w:rsid w:val="0027035F"/>
    <w:rsid w:val="00291823"/>
    <w:rsid w:val="002A1456"/>
    <w:rsid w:val="002A2D09"/>
    <w:rsid w:val="002B0AE2"/>
    <w:rsid w:val="002B1272"/>
    <w:rsid w:val="00306317"/>
    <w:rsid w:val="003168F5"/>
    <w:rsid w:val="00330308"/>
    <w:rsid w:val="00331C61"/>
    <w:rsid w:val="00331DBA"/>
    <w:rsid w:val="00341BFE"/>
    <w:rsid w:val="003523A7"/>
    <w:rsid w:val="0035455B"/>
    <w:rsid w:val="003612D1"/>
    <w:rsid w:val="00367CCA"/>
    <w:rsid w:val="0037287D"/>
    <w:rsid w:val="00373958"/>
    <w:rsid w:val="00374CEA"/>
    <w:rsid w:val="0039189F"/>
    <w:rsid w:val="00392189"/>
    <w:rsid w:val="003B2947"/>
    <w:rsid w:val="003B59FA"/>
    <w:rsid w:val="003B6F77"/>
    <w:rsid w:val="003B7D0E"/>
    <w:rsid w:val="003D09D2"/>
    <w:rsid w:val="003D7286"/>
    <w:rsid w:val="003E64AF"/>
    <w:rsid w:val="003F5FC4"/>
    <w:rsid w:val="00410D8B"/>
    <w:rsid w:val="00425E51"/>
    <w:rsid w:val="00463D6B"/>
    <w:rsid w:val="00466A2E"/>
    <w:rsid w:val="004672AC"/>
    <w:rsid w:val="00467AD8"/>
    <w:rsid w:val="00474C8F"/>
    <w:rsid w:val="00477F3C"/>
    <w:rsid w:val="004A0E89"/>
    <w:rsid w:val="004A1DFA"/>
    <w:rsid w:val="004B2477"/>
    <w:rsid w:val="004D64AC"/>
    <w:rsid w:val="004E08BC"/>
    <w:rsid w:val="004F494F"/>
    <w:rsid w:val="0051014E"/>
    <w:rsid w:val="00512A36"/>
    <w:rsid w:val="00514DD5"/>
    <w:rsid w:val="005158DF"/>
    <w:rsid w:val="00527D6C"/>
    <w:rsid w:val="00552293"/>
    <w:rsid w:val="005651FC"/>
    <w:rsid w:val="00566574"/>
    <w:rsid w:val="005716D4"/>
    <w:rsid w:val="0057725A"/>
    <w:rsid w:val="005811A1"/>
    <w:rsid w:val="00587C5B"/>
    <w:rsid w:val="005A004C"/>
    <w:rsid w:val="005B723E"/>
    <w:rsid w:val="005B7372"/>
    <w:rsid w:val="005C6685"/>
    <w:rsid w:val="005D3E35"/>
    <w:rsid w:val="005E2D87"/>
    <w:rsid w:val="00607881"/>
    <w:rsid w:val="00615DE3"/>
    <w:rsid w:val="006469CE"/>
    <w:rsid w:val="00656ECD"/>
    <w:rsid w:val="00673869"/>
    <w:rsid w:val="006A2496"/>
    <w:rsid w:val="006A7934"/>
    <w:rsid w:val="006C37FC"/>
    <w:rsid w:val="006C6A75"/>
    <w:rsid w:val="006D058C"/>
    <w:rsid w:val="006E0AB2"/>
    <w:rsid w:val="006E2F1E"/>
    <w:rsid w:val="006E7F11"/>
    <w:rsid w:val="007028E1"/>
    <w:rsid w:val="0070351E"/>
    <w:rsid w:val="00705833"/>
    <w:rsid w:val="00732B72"/>
    <w:rsid w:val="007336C1"/>
    <w:rsid w:val="00734652"/>
    <w:rsid w:val="007464EA"/>
    <w:rsid w:val="00754188"/>
    <w:rsid w:val="007569C1"/>
    <w:rsid w:val="007807F9"/>
    <w:rsid w:val="00783F12"/>
    <w:rsid w:val="0078533F"/>
    <w:rsid w:val="007855F7"/>
    <w:rsid w:val="007A2E3A"/>
    <w:rsid w:val="007B2223"/>
    <w:rsid w:val="007B277E"/>
    <w:rsid w:val="007B33E4"/>
    <w:rsid w:val="007C1D4E"/>
    <w:rsid w:val="007C6AAA"/>
    <w:rsid w:val="007F266D"/>
    <w:rsid w:val="008068FF"/>
    <w:rsid w:val="00812D47"/>
    <w:rsid w:val="008159E8"/>
    <w:rsid w:val="00821B4E"/>
    <w:rsid w:val="00822721"/>
    <w:rsid w:val="008257B7"/>
    <w:rsid w:val="00835658"/>
    <w:rsid w:val="00836C4E"/>
    <w:rsid w:val="008607BB"/>
    <w:rsid w:val="00862456"/>
    <w:rsid w:val="0087000F"/>
    <w:rsid w:val="0087161B"/>
    <w:rsid w:val="00872187"/>
    <w:rsid w:val="00875E68"/>
    <w:rsid w:val="00884367"/>
    <w:rsid w:val="0088495B"/>
    <w:rsid w:val="008949E6"/>
    <w:rsid w:val="008D0680"/>
    <w:rsid w:val="008D7C32"/>
    <w:rsid w:val="008D7FC9"/>
    <w:rsid w:val="008F42CB"/>
    <w:rsid w:val="008F6F55"/>
    <w:rsid w:val="00900764"/>
    <w:rsid w:val="00901921"/>
    <w:rsid w:val="009031CA"/>
    <w:rsid w:val="00925B23"/>
    <w:rsid w:val="00937944"/>
    <w:rsid w:val="00941B20"/>
    <w:rsid w:val="009530A1"/>
    <w:rsid w:val="00955715"/>
    <w:rsid w:val="0096076E"/>
    <w:rsid w:val="00962B2B"/>
    <w:rsid w:val="0096459E"/>
    <w:rsid w:val="00991F97"/>
    <w:rsid w:val="00997B48"/>
    <w:rsid w:val="009B7520"/>
    <w:rsid w:val="009C492B"/>
    <w:rsid w:val="009D14B3"/>
    <w:rsid w:val="009D2410"/>
    <w:rsid w:val="00A00931"/>
    <w:rsid w:val="00A330A4"/>
    <w:rsid w:val="00A33337"/>
    <w:rsid w:val="00A349F7"/>
    <w:rsid w:val="00A715E8"/>
    <w:rsid w:val="00A742B4"/>
    <w:rsid w:val="00A97B63"/>
    <w:rsid w:val="00AA2A88"/>
    <w:rsid w:val="00AA439D"/>
    <w:rsid w:val="00AB3268"/>
    <w:rsid w:val="00AB63A0"/>
    <w:rsid w:val="00AC5798"/>
    <w:rsid w:val="00AE5CA2"/>
    <w:rsid w:val="00AE664E"/>
    <w:rsid w:val="00AF703D"/>
    <w:rsid w:val="00B27C6A"/>
    <w:rsid w:val="00B40E49"/>
    <w:rsid w:val="00B70AAC"/>
    <w:rsid w:val="00B80B08"/>
    <w:rsid w:val="00B96D34"/>
    <w:rsid w:val="00BB1698"/>
    <w:rsid w:val="00BB1763"/>
    <w:rsid w:val="00BC34C9"/>
    <w:rsid w:val="00BC5B40"/>
    <w:rsid w:val="00BD4852"/>
    <w:rsid w:val="00BD63CE"/>
    <w:rsid w:val="00BE10D2"/>
    <w:rsid w:val="00BE5849"/>
    <w:rsid w:val="00BE746C"/>
    <w:rsid w:val="00BF4B83"/>
    <w:rsid w:val="00C02F67"/>
    <w:rsid w:val="00C12106"/>
    <w:rsid w:val="00C13646"/>
    <w:rsid w:val="00C1366B"/>
    <w:rsid w:val="00C218EA"/>
    <w:rsid w:val="00C2725D"/>
    <w:rsid w:val="00C40529"/>
    <w:rsid w:val="00C45EB1"/>
    <w:rsid w:val="00C53916"/>
    <w:rsid w:val="00C70FE8"/>
    <w:rsid w:val="00C73A7F"/>
    <w:rsid w:val="00C76E49"/>
    <w:rsid w:val="00C80A00"/>
    <w:rsid w:val="00C87EB0"/>
    <w:rsid w:val="00C93711"/>
    <w:rsid w:val="00C97CF0"/>
    <w:rsid w:val="00CA0B28"/>
    <w:rsid w:val="00CB73A9"/>
    <w:rsid w:val="00CD0E18"/>
    <w:rsid w:val="00CE0968"/>
    <w:rsid w:val="00CE3039"/>
    <w:rsid w:val="00CF0261"/>
    <w:rsid w:val="00CF329A"/>
    <w:rsid w:val="00D01D49"/>
    <w:rsid w:val="00D11C97"/>
    <w:rsid w:val="00D12EF8"/>
    <w:rsid w:val="00D16532"/>
    <w:rsid w:val="00D2770F"/>
    <w:rsid w:val="00D45A1E"/>
    <w:rsid w:val="00D4793F"/>
    <w:rsid w:val="00D57331"/>
    <w:rsid w:val="00D61475"/>
    <w:rsid w:val="00D63FCB"/>
    <w:rsid w:val="00D84E74"/>
    <w:rsid w:val="00D8678D"/>
    <w:rsid w:val="00D97236"/>
    <w:rsid w:val="00DA1EF5"/>
    <w:rsid w:val="00DB37BF"/>
    <w:rsid w:val="00DC21BD"/>
    <w:rsid w:val="00DC3AD2"/>
    <w:rsid w:val="00DE63BD"/>
    <w:rsid w:val="00DF0EFB"/>
    <w:rsid w:val="00E21E78"/>
    <w:rsid w:val="00E24D35"/>
    <w:rsid w:val="00E3189B"/>
    <w:rsid w:val="00E33552"/>
    <w:rsid w:val="00E417DF"/>
    <w:rsid w:val="00E4490A"/>
    <w:rsid w:val="00E458AA"/>
    <w:rsid w:val="00E50E6F"/>
    <w:rsid w:val="00E57B95"/>
    <w:rsid w:val="00E7336A"/>
    <w:rsid w:val="00E82FB5"/>
    <w:rsid w:val="00E86670"/>
    <w:rsid w:val="00EA12CE"/>
    <w:rsid w:val="00EA2EB7"/>
    <w:rsid w:val="00EB5480"/>
    <w:rsid w:val="00EB7581"/>
    <w:rsid w:val="00EC3B3D"/>
    <w:rsid w:val="00ED1EE3"/>
    <w:rsid w:val="00EF353B"/>
    <w:rsid w:val="00EF35F7"/>
    <w:rsid w:val="00F00049"/>
    <w:rsid w:val="00F10132"/>
    <w:rsid w:val="00F1080C"/>
    <w:rsid w:val="00F238DF"/>
    <w:rsid w:val="00F31387"/>
    <w:rsid w:val="00F43CE4"/>
    <w:rsid w:val="00F457B5"/>
    <w:rsid w:val="00F50428"/>
    <w:rsid w:val="00F53D40"/>
    <w:rsid w:val="00F56C78"/>
    <w:rsid w:val="00FD42BE"/>
    <w:rsid w:val="00FD6DB5"/>
    <w:rsid w:val="00FF06C6"/>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083750"/>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D35"/>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034569"/>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E24D35"/>
    <w:rPr>
      <w:rFonts w:ascii="Verdana" w:eastAsiaTheme="majorEastAsia" w:hAnsi="Verdana" w:cstheme="majorBidi"/>
      <w:b/>
      <w:color w:val="77328A"/>
      <w:sz w:val="30"/>
      <w:szCs w:val="32"/>
    </w:rPr>
  </w:style>
  <w:style w:type="paragraph" w:styleId="ListParagraph">
    <w:name w:val="List Paragraph"/>
    <w:basedOn w:val="Normal"/>
    <w:uiPriority w:val="34"/>
    <w:qFormat/>
    <w:rsid w:val="000A1D37"/>
    <w:pPr>
      <w:ind w:left="720"/>
      <w:contextualSpacing/>
    </w:pPr>
  </w:style>
  <w:style w:type="character" w:customStyle="1" w:styleId="Heading2Char">
    <w:name w:val="Heading 2 Char"/>
    <w:basedOn w:val="DefaultParagraphFont"/>
    <w:link w:val="Heading2"/>
    <w:uiPriority w:val="9"/>
    <w:rsid w:val="00034569"/>
    <w:rPr>
      <w:rFonts w:ascii="Verdana" w:eastAsiaTheme="majorEastAsia" w:hAnsi="Verdana" w:cstheme="majorBidi"/>
      <w:b/>
      <w:szCs w:val="26"/>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34569"/>
    <w:pPr>
      <w:spacing w:line="240" w:lineRule="exact"/>
      <w:jc w:val="both"/>
    </w:pPr>
    <w:rPr>
      <w:vertAlign w:val="superscript"/>
    </w:rPr>
  </w:style>
  <w:style w:type="paragraph" w:styleId="Quote">
    <w:name w:val="Quote"/>
    <w:basedOn w:val="Normal"/>
    <w:next w:val="Normal"/>
    <w:link w:val="QuoteChar"/>
    <w:uiPriority w:val="29"/>
    <w:qFormat/>
    <w:rsid w:val="00A97B63"/>
    <w:pPr>
      <w:spacing w:before="200" w:after="160"/>
      <w:ind w:left="864" w:right="864"/>
    </w:pPr>
    <w:rPr>
      <w:rFonts w:ascii="Verdana" w:hAnsi="Verdana"/>
      <w:iCs/>
    </w:rPr>
  </w:style>
  <w:style w:type="character" w:customStyle="1" w:styleId="QuoteChar">
    <w:name w:val="Quote Char"/>
    <w:basedOn w:val="DefaultParagraphFont"/>
    <w:link w:val="Quote"/>
    <w:uiPriority w:val="29"/>
    <w:rsid w:val="00A97B63"/>
    <w:rPr>
      <w:rFonts w:ascii="Verdana" w:hAnsi="Verdana"/>
      <w:iCs/>
    </w:rPr>
  </w:style>
  <w:style w:type="paragraph" w:styleId="TOCHeading">
    <w:name w:val="TOC Heading"/>
    <w:basedOn w:val="Heading1"/>
    <w:next w:val="Normal"/>
    <w:uiPriority w:val="39"/>
    <w:unhideWhenUsed/>
    <w:qFormat/>
    <w:rsid w:val="00754188"/>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3B6F77"/>
    <w:pPr>
      <w:tabs>
        <w:tab w:val="left" w:pos="660"/>
        <w:tab w:val="right" w:leader="dot" w:pos="9848"/>
      </w:tabs>
      <w:spacing w:after="100"/>
    </w:pPr>
    <w:rPr>
      <w:rFonts w:ascii="Verdana" w:hAnsi="Verdana"/>
      <w:b/>
      <w:noProof/>
    </w:rPr>
  </w:style>
  <w:style w:type="paragraph" w:styleId="TOC2">
    <w:name w:val="toc 2"/>
    <w:basedOn w:val="Normal"/>
    <w:next w:val="Normal"/>
    <w:autoRedefine/>
    <w:uiPriority w:val="39"/>
    <w:unhideWhenUsed/>
    <w:rsid w:val="000A4066"/>
    <w:pPr>
      <w:tabs>
        <w:tab w:val="right" w:leader="dot" w:pos="9848"/>
      </w:tabs>
      <w:spacing w:after="100"/>
      <w:ind w:left="240"/>
    </w:pPr>
  </w:style>
  <w:style w:type="character" w:styleId="CommentReference">
    <w:name w:val="annotation reference"/>
    <w:basedOn w:val="DefaultParagraphFont"/>
    <w:uiPriority w:val="99"/>
    <w:semiHidden/>
    <w:unhideWhenUsed/>
    <w:rsid w:val="00955715"/>
    <w:rPr>
      <w:sz w:val="16"/>
      <w:szCs w:val="16"/>
    </w:rPr>
  </w:style>
  <w:style w:type="paragraph" w:styleId="CommentText">
    <w:name w:val="annotation text"/>
    <w:basedOn w:val="Normal"/>
    <w:link w:val="CommentTextChar"/>
    <w:uiPriority w:val="99"/>
    <w:semiHidden/>
    <w:unhideWhenUsed/>
    <w:rsid w:val="00955715"/>
    <w:rPr>
      <w:sz w:val="20"/>
      <w:szCs w:val="20"/>
    </w:rPr>
  </w:style>
  <w:style w:type="character" w:customStyle="1" w:styleId="CommentTextChar">
    <w:name w:val="Comment Text Char"/>
    <w:basedOn w:val="DefaultParagraphFont"/>
    <w:link w:val="CommentText"/>
    <w:uiPriority w:val="99"/>
    <w:semiHidden/>
    <w:rsid w:val="00955715"/>
    <w:rPr>
      <w:sz w:val="20"/>
      <w:szCs w:val="20"/>
    </w:rPr>
  </w:style>
  <w:style w:type="paragraph" w:styleId="CommentSubject">
    <w:name w:val="annotation subject"/>
    <w:basedOn w:val="CommentText"/>
    <w:next w:val="CommentText"/>
    <w:link w:val="CommentSubjectChar"/>
    <w:uiPriority w:val="99"/>
    <w:semiHidden/>
    <w:unhideWhenUsed/>
    <w:rsid w:val="00955715"/>
    <w:rPr>
      <w:b/>
      <w:bCs/>
    </w:rPr>
  </w:style>
  <w:style w:type="character" w:customStyle="1" w:styleId="CommentSubjectChar">
    <w:name w:val="Comment Subject Char"/>
    <w:basedOn w:val="CommentTextChar"/>
    <w:link w:val="CommentSubject"/>
    <w:uiPriority w:val="99"/>
    <w:semiHidden/>
    <w:rsid w:val="00955715"/>
    <w:rPr>
      <w:b/>
      <w:bCs/>
      <w:sz w:val="20"/>
      <w:szCs w:val="20"/>
    </w:rPr>
  </w:style>
  <w:style w:type="paragraph" w:customStyle="1" w:styleId="legclearfix">
    <w:name w:val="legclearfix"/>
    <w:basedOn w:val="Normal"/>
    <w:rsid w:val="001C7C56"/>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1C7C56"/>
  </w:style>
  <w:style w:type="paragraph" w:styleId="Revision">
    <w:name w:val="Revision"/>
    <w:hidden/>
    <w:uiPriority w:val="99"/>
    <w:semiHidden/>
    <w:rsid w:val="000A4066"/>
  </w:style>
  <w:style w:type="paragraph" w:customStyle="1" w:styleId="doc-ti">
    <w:name w:val="doc-ti"/>
    <w:basedOn w:val="Normal"/>
    <w:rsid w:val="00410D8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29662">
      <w:bodyDiv w:val="1"/>
      <w:marLeft w:val="0"/>
      <w:marRight w:val="0"/>
      <w:marTop w:val="0"/>
      <w:marBottom w:val="0"/>
      <w:divBdr>
        <w:top w:val="none" w:sz="0" w:space="0" w:color="auto"/>
        <w:left w:val="none" w:sz="0" w:space="0" w:color="auto"/>
        <w:bottom w:val="none" w:sz="0" w:space="0" w:color="auto"/>
        <w:right w:val="none" w:sz="0" w:space="0" w:color="auto"/>
      </w:divBdr>
    </w:div>
    <w:div w:id="79260091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4072">
      <w:bodyDiv w:val="1"/>
      <w:marLeft w:val="0"/>
      <w:marRight w:val="0"/>
      <w:marTop w:val="0"/>
      <w:marBottom w:val="0"/>
      <w:divBdr>
        <w:top w:val="none" w:sz="0" w:space="0" w:color="auto"/>
        <w:left w:val="none" w:sz="0" w:space="0" w:color="auto"/>
        <w:bottom w:val="none" w:sz="0" w:space="0" w:color="auto"/>
        <w:right w:val="none" w:sz="0" w:space="0" w:color="auto"/>
      </w:divBdr>
      <w:divsChild>
        <w:div w:id="2029212263">
          <w:marLeft w:val="0"/>
          <w:marRight w:val="0"/>
          <w:marTop w:val="0"/>
          <w:marBottom w:val="0"/>
          <w:divBdr>
            <w:top w:val="none" w:sz="0" w:space="0" w:color="auto"/>
            <w:left w:val="none" w:sz="0" w:space="0" w:color="auto"/>
            <w:bottom w:val="none" w:sz="0" w:space="0" w:color="auto"/>
            <w:right w:val="none" w:sz="0" w:space="0" w:color="auto"/>
          </w:divBdr>
          <w:divsChild>
            <w:div w:id="2114279690">
              <w:marLeft w:val="0"/>
              <w:marRight w:val="0"/>
              <w:marTop w:val="0"/>
              <w:marBottom w:val="0"/>
              <w:divBdr>
                <w:top w:val="none" w:sz="0" w:space="0" w:color="auto"/>
                <w:left w:val="none" w:sz="0" w:space="0" w:color="auto"/>
                <w:bottom w:val="none" w:sz="0" w:space="0" w:color="auto"/>
                <w:right w:val="none" w:sz="0" w:space="0" w:color="auto"/>
              </w:divBdr>
              <w:divsChild>
                <w:div w:id="538052011">
                  <w:marLeft w:val="0"/>
                  <w:marRight w:val="0"/>
                  <w:marTop w:val="0"/>
                  <w:marBottom w:val="0"/>
                  <w:divBdr>
                    <w:top w:val="none" w:sz="0" w:space="0" w:color="auto"/>
                    <w:left w:val="none" w:sz="0" w:space="0" w:color="auto"/>
                    <w:bottom w:val="none" w:sz="0" w:space="0" w:color="auto"/>
                    <w:right w:val="none" w:sz="0" w:space="0" w:color="auto"/>
                  </w:divBdr>
                  <w:divsChild>
                    <w:div w:id="488981266">
                      <w:marLeft w:val="0"/>
                      <w:marRight w:val="0"/>
                      <w:marTop w:val="0"/>
                      <w:marBottom w:val="0"/>
                      <w:divBdr>
                        <w:top w:val="none" w:sz="0" w:space="0" w:color="auto"/>
                        <w:left w:val="none" w:sz="0" w:space="0" w:color="auto"/>
                        <w:bottom w:val="none" w:sz="0" w:space="0" w:color="auto"/>
                        <w:right w:val="none" w:sz="0" w:space="0" w:color="auto"/>
                      </w:divBdr>
                      <w:divsChild>
                        <w:div w:id="210728145">
                          <w:marLeft w:val="0"/>
                          <w:marRight w:val="0"/>
                          <w:marTop w:val="100"/>
                          <w:marBottom w:val="100"/>
                          <w:divBdr>
                            <w:top w:val="none" w:sz="0" w:space="0" w:color="auto"/>
                            <w:left w:val="none" w:sz="0" w:space="0" w:color="auto"/>
                            <w:bottom w:val="none" w:sz="0" w:space="0" w:color="auto"/>
                            <w:right w:val="none" w:sz="0" w:space="0" w:color="auto"/>
                          </w:divBdr>
                          <w:divsChild>
                            <w:div w:id="1236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07269">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825004881">
      <w:bodyDiv w:val="1"/>
      <w:marLeft w:val="0"/>
      <w:marRight w:val="0"/>
      <w:marTop w:val="0"/>
      <w:marBottom w:val="0"/>
      <w:divBdr>
        <w:top w:val="none" w:sz="0" w:space="0" w:color="auto"/>
        <w:left w:val="none" w:sz="0" w:space="0" w:color="auto"/>
        <w:bottom w:val="none" w:sz="0" w:space="0" w:color="auto"/>
        <w:right w:val="none" w:sz="0" w:space="0" w:color="auto"/>
      </w:divBdr>
    </w:div>
    <w:div w:id="1841265205">
      <w:bodyDiv w:val="1"/>
      <w:marLeft w:val="0"/>
      <w:marRight w:val="0"/>
      <w:marTop w:val="0"/>
      <w:marBottom w:val="0"/>
      <w:divBdr>
        <w:top w:val="none" w:sz="0" w:space="0" w:color="auto"/>
        <w:left w:val="none" w:sz="0" w:space="0" w:color="auto"/>
        <w:bottom w:val="none" w:sz="0" w:space="0" w:color="auto"/>
        <w:right w:val="none" w:sz="0" w:space="0" w:color="auto"/>
      </w:divBdr>
    </w:div>
    <w:div w:id="1965841215">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12642455">
      <w:bodyDiv w:val="1"/>
      <w:marLeft w:val="0"/>
      <w:marRight w:val="0"/>
      <w:marTop w:val="0"/>
      <w:marBottom w:val="0"/>
      <w:divBdr>
        <w:top w:val="none" w:sz="0" w:space="0" w:color="auto"/>
        <w:left w:val="none" w:sz="0" w:space="0" w:color="auto"/>
        <w:bottom w:val="none" w:sz="0" w:space="0" w:color="auto"/>
        <w:right w:val="none" w:sz="0" w:space="0" w:color="auto"/>
      </w:divBdr>
    </w:div>
    <w:div w:id="2073961093">
      <w:bodyDiv w:val="1"/>
      <w:marLeft w:val="0"/>
      <w:marRight w:val="0"/>
      <w:marTop w:val="0"/>
      <w:marBottom w:val="0"/>
      <w:divBdr>
        <w:top w:val="none" w:sz="0" w:space="0" w:color="auto"/>
        <w:left w:val="none" w:sz="0" w:space="0" w:color="auto"/>
        <w:bottom w:val="none" w:sz="0" w:space="0" w:color="auto"/>
        <w:right w:val="none" w:sz="0" w:space="0" w:color="auto"/>
      </w:divBdr>
    </w:div>
    <w:div w:id="2075156077">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DisplayNews.aspx?NewsID=23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16B9B-450C-4364-BD76-5AB3F4CD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6958</Words>
  <Characters>39665</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2021-09-27T11:01:00Z</dcterms:created>
  <dcterms:modified xsi:type="dcterms:W3CDTF">2021-09-27T11:01:00Z</dcterms:modified>
</cp:coreProperties>
</file>