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A668E" w14:textId="77777777" w:rsidR="00F31387" w:rsidRPr="0041616A" w:rsidRDefault="00F31387" w:rsidP="00FA165E">
      <w:pPr>
        <w:pStyle w:val="BasicParagraph"/>
        <w:suppressAutoHyphens/>
        <w:jc w:val="center"/>
        <w:rPr>
          <w:rFonts w:ascii="Verdana" w:hAnsi="Verdana" w:cs="Arial"/>
          <w:b/>
          <w:bCs/>
          <w:color w:val="734791"/>
          <w:sz w:val="36"/>
          <w:szCs w:val="36"/>
        </w:rPr>
      </w:pPr>
      <w:r w:rsidRPr="0041616A">
        <w:rPr>
          <w:rFonts w:ascii="Verdana" w:hAnsi="Verdana" w:cs="Arial"/>
          <w:b/>
          <w:bCs/>
          <w:noProof/>
          <w:color w:val="734791"/>
          <w:sz w:val="36"/>
          <w:szCs w:val="36"/>
          <w:lang w:eastAsia="en-GB"/>
        </w:rPr>
        <w:drawing>
          <wp:inline distT="0" distB="0" distL="0" distR="0" wp14:anchorId="66E8E872" wp14:editId="102A566D">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6D4D23E2" w14:textId="77777777" w:rsidR="003B7D0E" w:rsidRPr="0041616A" w:rsidRDefault="003B7D0E" w:rsidP="00FA165E">
      <w:pPr>
        <w:pStyle w:val="BasicParagraph"/>
        <w:suppressAutoHyphens/>
        <w:jc w:val="center"/>
        <w:rPr>
          <w:rFonts w:ascii="Verdana" w:hAnsi="Verdana" w:cs="Arial"/>
          <w:b/>
          <w:bCs/>
          <w:color w:val="734791"/>
          <w:sz w:val="36"/>
          <w:szCs w:val="36"/>
        </w:rPr>
      </w:pPr>
    </w:p>
    <w:p w14:paraId="43668E30" w14:textId="77777777" w:rsidR="0041616A" w:rsidRPr="0041616A" w:rsidRDefault="0041616A" w:rsidP="00FA165E">
      <w:pPr>
        <w:pStyle w:val="Default"/>
        <w:spacing w:line="288" w:lineRule="auto"/>
        <w:jc w:val="center"/>
        <w:rPr>
          <w:rFonts w:cs="Arial"/>
          <w:b/>
          <w:bCs/>
          <w:color w:val="77328A"/>
          <w:sz w:val="36"/>
          <w:szCs w:val="36"/>
          <w:lang w:val="en"/>
        </w:rPr>
      </w:pPr>
      <w:r w:rsidRPr="0041616A">
        <w:rPr>
          <w:rFonts w:cs="Arial"/>
          <w:b/>
          <w:bCs/>
          <w:color w:val="77328A"/>
          <w:sz w:val="36"/>
          <w:szCs w:val="36"/>
          <w:lang w:val="en"/>
        </w:rPr>
        <w:t>Northern Ireland Human Rights Commission Submission to Joint Committee for Human Rights on the Proposal for a draft Bereavement Benefits (Remedial) Order 2021</w:t>
      </w:r>
    </w:p>
    <w:p w14:paraId="50698F4B" w14:textId="77777777" w:rsidR="00F31387" w:rsidRPr="0041616A" w:rsidRDefault="00F31387" w:rsidP="00FA165E">
      <w:pPr>
        <w:pStyle w:val="Default"/>
        <w:spacing w:line="288" w:lineRule="auto"/>
        <w:jc w:val="center"/>
        <w:rPr>
          <w:rFonts w:cs="Arial"/>
          <w:color w:val="232120"/>
          <w:sz w:val="36"/>
          <w:szCs w:val="36"/>
        </w:rPr>
      </w:pPr>
    </w:p>
    <w:p w14:paraId="7CAB1180" w14:textId="77777777" w:rsidR="008159E8" w:rsidRPr="0041616A" w:rsidRDefault="0041616A" w:rsidP="00FA165E">
      <w:pPr>
        <w:spacing w:line="288" w:lineRule="auto"/>
        <w:jc w:val="center"/>
        <w:rPr>
          <w:rFonts w:ascii="Verdana" w:hAnsi="Verdana" w:cs="Arial"/>
          <w:b/>
          <w:color w:val="232120"/>
          <w:sz w:val="30"/>
          <w:szCs w:val="30"/>
        </w:rPr>
      </w:pPr>
      <w:r w:rsidRPr="0041616A">
        <w:rPr>
          <w:rFonts w:ascii="Verdana" w:hAnsi="Verdana" w:cs="Arial"/>
          <w:b/>
          <w:color w:val="232120"/>
          <w:sz w:val="30"/>
          <w:szCs w:val="30"/>
        </w:rPr>
        <w:t>September 2021</w:t>
      </w:r>
    </w:p>
    <w:p w14:paraId="49CB52DC" w14:textId="77777777" w:rsidR="00046705" w:rsidRPr="0041616A" w:rsidRDefault="00046705" w:rsidP="002374A8">
      <w:pPr>
        <w:spacing w:line="288" w:lineRule="auto"/>
        <w:rPr>
          <w:rFonts w:ascii="Verdana" w:hAnsi="Verdana" w:cs="Arial"/>
          <w:b/>
          <w:color w:val="232120"/>
          <w:sz w:val="28"/>
          <w:szCs w:val="28"/>
        </w:rPr>
      </w:pPr>
    </w:p>
    <w:p w14:paraId="1836A967" w14:textId="77777777" w:rsidR="00046705" w:rsidRPr="0041616A" w:rsidRDefault="00046705" w:rsidP="002374A8">
      <w:pPr>
        <w:spacing w:line="288" w:lineRule="auto"/>
        <w:rPr>
          <w:rFonts w:ascii="Verdana" w:hAnsi="Verdana" w:cs="Arial"/>
          <w:b/>
          <w:color w:val="232120"/>
          <w:sz w:val="28"/>
          <w:szCs w:val="28"/>
        </w:rPr>
      </w:pPr>
    </w:p>
    <w:p w14:paraId="040D81FA" w14:textId="77777777" w:rsidR="00EA12CE" w:rsidRPr="0041616A" w:rsidRDefault="00EA12CE" w:rsidP="002374A8">
      <w:pPr>
        <w:pStyle w:val="Default"/>
        <w:spacing w:line="288" w:lineRule="auto"/>
        <w:rPr>
          <w:rFonts w:cs="Arial"/>
          <w:b/>
          <w:color w:val="232120"/>
          <w:sz w:val="28"/>
          <w:szCs w:val="28"/>
          <w:lang w:val="en-GB"/>
        </w:rPr>
      </w:pPr>
    </w:p>
    <w:p w14:paraId="15401815" w14:textId="77777777" w:rsidR="003B7D0E" w:rsidRPr="0041616A" w:rsidRDefault="003B7D0E" w:rsidP="002374A8">
      <w:pPr>
        <w:pStyle w:val="Default"/>
        <w:spacing w:line="480" w:lineRule="auto"/>
        <w:rPr>
          <w:rFonts w:cs="Arial"/>
          <w:b/>
          <w:color w:val="232120"/>
          <w:sz w:val="36"/>
          <w:szCs w:val="36"/>
        </w:rPr>
      </w:pPr>
    </w:p>
    <w:p w14:paraId="56E8A350" w14:textId="77777777" w:rsidR="003B7D0E" w:rsidRPr="0041616A" w:rsidRDefault="003B7D0E" w:rsidP="002374A8">
      <w:pPr>
        <w:pStyle w:val="Default"/>
        <w:spacing w:line="480" w:lineRule="auto"/>
        <w:rPr>
          <w:rFonts w:cs="Arial"/>
          <w:b/>
          <w:color w:val="232120"/>
          <w:sz w:val="36"/>
          <w:szCs w:val="36"/>
        </w:rPr>
      </w:pPr>
    </w:p>
    <w:p w14:paraId="179125AE" w14:textId="65C6DFDE" w:rsidR="00FA165E" w:rsidRDefault="00FA165E"/>
    <w:p w14:paraId="365F53A3" w14:textId="77777777" w:rsidR="001E79A9" w:rsidRPr="0041616A" w:rsidRDefault="001E79A9" w:rsidP="002374A8">
      <w:pPr>
        <w:pStyle w:val="Default"/>
        <w:spacing w:line="288" w:lineRule="auto"/>
        <w:rPr>
          <w:rFonts w:cs="Arial"/>
          <w:b/>
          <w:color w:val="232120"/>
        </w:rPr>
      </w:pPr>
    </w:p>
    <w:p w14:paraId="31708F6A" w14:textId="77777777" w:rsidR="00E731A1" w:rsidRDefault="00E731A1" w:rsidP="00E731A1">
      <w:pPr>
        <w:pStyle w:val="Default"/>
        <w:spacing w:line="480" w:lineRule="auto"/>
        <w:rPr>
          <w:rFonts w:cs="Arial"/>
          <w:b/>
          <w:color w:val="3C3C3B"/>
          <w:sz w:val="36"/>
          <w:szCs w:val="36"/>
        </w:rPr>
      </w:pPr>
      <w:r>
        <w:rPr>
          <w:rFonts w:cs="Arial"/>
          <w:b/>
          <w:color w:val="77328A"/>
          <w:sz w:val="36"/>
          <w:szCs w:val="36"/>
        </w:rPr>
        <w:lastRenderedPageBreak/>
        <w:t>Table of Contents</w:t>
      </w:r>
    </w:p>
    <w:sdt>
      <w:sdtPr>
        <w:rPr>
          <w:rFonts w:asciiTheme="minorHAnsi" w:eastAsiaTheme="minorEastAsia" w:hAnsiTheme="minorHAnsi" w:cstheme="minorBidi"/>
          <w:color w:val="auto"/>
          <w:sz w:val="24"/>
          <w:szCs w:val="24"/>
          <w:lang w:val="en-GB"/>
        </w:rPr>
        <w:id w:val="-551311515"/>
        <w:docPartObj>
          <w:docPartGallery w:val="Table of Contents"/>
          <w:docPartUnique/>
        </w:docPartObj>
      </w:sdtPr>
      <w:sdtEndPr/>
      <w:sdtContent>
        <w:p w14:paraId="463AA83B" w14:textId="77777777" w:rsidR="00E731A1" w:rsidRDefault="00E731A1" w:rsidP="00E731A1">
          <w:pPr>
            <w:pStyle w:val="TOCHeading"/>
            <w:rPr>
              <w:sz w:val="24"/>
              <w:szCs w:val="24"/>
            </w:rPr>
          </w:pPr>
        </w:p>
        <w:p w14:paraId="5354A74A" w14:textId="77777777" w:rsidR="00E731A1" w:rsidRDefault="00E731A1" w:rsidP="00E731A1">
          <w:pPr>
            <w:pStyle w:val="TOC1"/>
            <w:tabs>
              <w:tab w:val="right" w:leader="dot" w:pos="9010"/>
            </w:tabs>
            <w:rPr>
              <w:rStyle w:val="Hyperlink"/>
              <w:noProof/>
            </w:rPr>
          </w:pPr>
          <w:r>
            <w:fldChar w:fldCharType="begin"/>
          </w:r>
          <w:r>
            <w:instrText xml:space="preserve"> TOC \o "1-3" \h \z \u </w:instrText>
          </w:r>
          <w:r>
            <w:fldChar w:fldCharType="separate"/>
          </w:r>
          <w:hyperlink r:id="rId9" w:anchor="_Toc81825065" w:history="1">
            <w:r>
              <w:rPr>
                <w:rStyle w:val="Hyperlink"/>
                <w:rFonts w:ascii="Verdana" w:hAnsi="Verdana"/>
                <w:b/>
                <w:noProof/>
                <w:lang w:val="en-US"/>
              </w:rPr>
              <w:t>Executive Summary</w:t>
            </w:r>
            <w:r>
              <w:rPr>
                <w:rStyle w:val="Hyperlink"/>
                <w:noProof/>
                <w:webHidden/>
              </w:rPr>
              <w:tab/>
            </w:r>
            <w:r>
              <w:rPr>
                <w:rStyle w:val="Hyperlink"/>
                <w:noProof/>
                <w:webHidden/>
              </w:rPr>
              <w:fldChar w:fldCharType="begin"/>
            </w:r>
            <w:r>
              <w:rPr>
                <w:rStyle w:val="Hyperlink"/>
                <w:noProof/>
                <w:webHidden/>
              </w:rPr>
              <w:instrText xml:space="preserve"> PAGEREF _Toc81825065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14:paraId="71A2A323" w14:textId="77777777" w:rsidR="00E731A1" w:rsidRDefault="00E731A1" w:rsidP="00E731A1"/>
        <w:p w14:paraId="07596D14" w14:textId="77777777" w:rsidR="00E731A1" w:rsidRDefault="00F41310" w:rsidP="00E731A1">
          <w:pPr>
            <w:pStyle w:val="TOC1"/>
            <w:tabs>
              <w:tab w:val="right" w:leader="dot" w:pos="9010"/>
            </w:tabs>
            <w:rPr>
              <w:rStyle w:val="Hyperlink"/>
              <w:noProof/>
            </w:rPr>
          </w:pPr>
          <w:hyperlink r:id="rId10" w:anchor="_Toc81825066" w:history="1">
            <w:r w:rsidR="00E731A1">
              <w:rPr>
                <w:rStyle w:val="Hyperlink"/>
                <w:rFonts w:ascii="Verdana" w:hAnsi="Verdana"/>
                <w:b/>
                <w:noProof/>
                <w:lang w:val="en" w:eastAsia="en-GB"/>
              </w:rPr>
              <w:t>Introduction</w:t>
            </w:r>
            <w:r w:rsidR="00E731A1">
              <w:rPr>
                <w:rStyle w:val="Hyperlink"/>
                <w:noProof/>
                <w:webHidden/>
              </w:rPr>
              <w:tab/>
            </w:r>
            <w:r w:rsidR="00E731A1">
              <w:rPr>
                <w:rStyle w:val="Hyperlink"/>
                <w:noProof/>
                <w:webHidden/>
              </w:rPr>
              <w:fldChar w:fldCharType="begin"/>
            </w:r>
            <w:r w:rsidR="00E731A1">
              <w:rPr>
                <w:rStyle w:val="Hyperlink"/>
                <w:noProof/>
                <w:webHidden/>
              </w:rPr>
              <w:instrText xml:space="preserve"> PAGEREF _Toc81825066 \h </w:instrText>
            </w:r>
            <w:r w:rsidR="00E731A1">
              <w:rPr>
                <w:rStyle w:val="Hyperlink"/>
                <w:noProof/>
                <w:webHidden/>
              </w:rPr>
            </w:r>
            <w:r w:rsidR="00E731A1">
              <w:rPr>
                <w:rStyle w:val="Hyperlink"/>
                <w:noProof/>
                <w:webHidden/>
              </w:rPr>
              <w:fldChar w:fldCharType="separate"/>
            </w:r>
            <w:r w:rsidR="00E731A1">
              <w:rPr>
                <w:rStyle w:val="Hyperlink"/>
                <w:noProof/>
                <w:webHidden/>
              </w:rPr>
              <w:t>4</w:t>
            </w:r>
            <w:r w:rsidR="00E731A1">
              <w:rPr>
                <w:rStyle w:val="Hyperlink"/>
                <w:noProof/>
                <w:webHidden/>
              </w:rPr>
              <w:fldChar w:fldCharType="end"/>
            </w:r>
          </w:hyperlink>
        </w:p>
        <w:p w14:paraId="0CBA5962" w14:textId="77777777" w:rsidR="00E731A1" w:rsidRDefault="00E731A1" w:rsidP="00E731A1"/>
        <w:p w14:paraId="6403B228" w14:textId="77777777" w:rsidR="00E731A1" w:rsidRDefault="00F41310" w:rsidP="00E731A1">
          <w:pPr>
            <w:pStyle w:val="TOC1"/>
            <w:tabs>
              <w:tab w:val="right" w:leader="dot" w:pos="9010"/>
            </w:tabs>
            <w:rPr>
              <w:rStyle w:val="Hyperlink"/>
              <w:noProof/>
            </w:rPr>
          </w:pPr>
          <w:hyperlink r:id="rId11" w:anchor="_Toc81825067" w:history="1">
            <w:r w:rsidR="00E731A1">
              <w:rPr>
                <w:rStyle w:val="Hyperlink"/>
                <w:rFonts w:ascii="Verdana" w:hAnsi="Verdana"/>
                <w:b/>
                <w:noProof/>
                <w:lang w:eastAsia="en-GB"/>
              </w:rPr>
              <w:t>Does the proposed Remedial Order meet the procedural conditions for making a Remedial Order?</w:t>
            </w:r>
            <w:r w:rsidR="00E731A1">
              <w:rPr>
                <w:rStyle w:val="Hyperlink"/>
                <w:noProof/>
                <w:webHidden/>
              </w:rPr>
              <w:tab/>
            </w:r>
            <w:r w:rsidR="00E731A1">
              <w:rPr>
                <w:rStyle w:val="Hyperlink"/>
                <w:noProof/>
                <w:webHidden/>
              </w:rPr>
              <w:fldChar w:fldCharType="begin"/>
            </w:r>
            <w:r w:rsidR="00E731A1">
              <w:rPr>
                <w:rStyle w:val="Hyperlink"/>
                <w:noProof/>
                <w:webHidden/>
              </w:rPr>
              <w:instrText xml:space="preserve"> PAGEREF _Toc81825067 \h </w:instrText>
            </w:r>
            <w:r w:rsidR="00E731A1">
              <w:rPr>
                <w:rStyle w:val="Hyperlink"/>
                <w:noProof/>
                <w:webHidden/>
              </w:rPr>
            </w:r>
            <w:r w:rsidR="00E731A1">
              <w:rPr>
                <w:rStyle w:val="Hyperlink"/>
                <w:noProof/>
                <w:webHidden/>
              </w:rPr>
              <w:fldChar w:fldCharType="separate"/>
            </w:r>
            <w:r w:rsidR="00E731A1">
              <w:rPr>
                <w:rStyle w:val="Hyperlink"/>
                <w:noProof/>
                <w:webHidden/>
              </w:rPr>
              <w:t>4</w:t>
            </w:r>
            <w:r w:rsidR="00E731A1">
              <w:rPr>
                <w:rStyle w:val="Hyperlink"/>
                <w:noProof/>
                <w:webHidden/>
              </w:rPr>
              <w:fldChar w:fldCharType="end"/>
            </w:r>
          </w:hyperlink>
        </w:p>
        <w:p w14:paraId="7CD69327" w14:textId="77777777" w:rsidR="00E731A1" w:rsidRDefault="00E731A1" w:rsidP="00E731A1"/>
        <w:p w14:paraId="4ED82B37" w14:textId="77777777" w:rsidR="00E731A1" w:rsidRDefault="00F41310" w:rsidP="00E731A1">
          <w:pPr>
            <w:pStyle w:val="TOC1"/>
            <w:tabs>
              <w:tab w:val="right" w:leader="dot" w:pos="9010"/>
            </w:tabs>
            <w:rPr>
              <w:rStyle w:val="Hyperlink"/>
              <w:noProof/>
            </w:rPr>
          </w:pPr>
          <w:hyperlink r:id="rId12" w:anchor="_Toc81825068" w:history="1">
            <w:r w:rsidR="00E731A1">
              <w:rPr>
                <w:rStyle w:val="Hyperlink"/>
                <w:rFonts w:ascii="Verdana" w:hAnsi="Verdana"/>
                <w:b/>
                <w:noProof/>
                <w:lang w:eastAsia="en-GB"/>
              </w:rPr>
              <w:t>Does the proposed Remedial Order address the legislative incompatibility with Article 14 ECHR?</w:t>
            </w:r>
            <w:r w:rsidR="00E731A1">
              <w:rPr>
                <w:rStyle w:val="Hyperlink"/>
                <w:noProof/>
                <w:webHidden/>
              </w:rPr>
              <w:tab/>
            </w:r>
            <w:r w:rsidR="00E731A1">
              <w:rPr>
                <w:rStyle w:val="Hyperlink"/>
                <w:noProof/>
                <w:webHidden/>
              </w:rPr>
              <w:fldChar w:fldCharType="begin"/>
            </w:r>
            <w:r w:rsidR="00E731A1">
              <w:rPr>
                <w:rStyle w:val="Hyperlink"/>
                <w:noProof/>
                <w:webHidden/>
              </w:rPr>
              <w:instrText xml:space="preserve"> PAGEREF _Toc81825068 \h </w:instrText>
            </w:r>
            <w:r w:rsidR="00E731A1">
              <w:rPr>
                <w:rStyle w:val="Hyperlink"/>
                <w:noProof/>
                <w:webHidden/>
              </w:rPr>
            </w:r>
            <w:r w:rsidR="00E731A1">
              <w:rPr>
                <w:rStyle w:val="Hyperlink"/>
                <w:noProof/>
                <w:webHidden/>
              </w:rPr>
              <w:fldChar w:fldCharType="separate"/>
            </w:r>
            <w:r w:rsidR="00E731A1">
              <w:rPr>
                <w:rStyle w:val="Hyperlink"/>
                <w:noProof/>
                <w:webHidden/>
              </w:rPr>
              <w:t>4</w:t>
            </w:r>
            <w:r w:rsidR="00E731A1">
              <w:rPr>
                <w:rStyle w:val="Hyperlink"/>
                <w:noProof/>
                <w:webHidden/>
              </w:rPr>
              <w:fldChar w:fldCharType="end"/>
            </w:r>
          </w:hyperlink>
        </w:p>
        <w:p w14:paraId="55FEB41F" w14:textId="77777777" w:rsidR="00E731A1" w:rsidRDefault="00E731A1" w:rsidP="00E731A1"/>
        <w:p w14:paraId="2750EC9E" w14:textId="77777777" w:rsidR="00E731A1" w:rsidRDefault="00F41310" w:rsidP="00E731A1">
          <w:pPr>
            <w:pStyle w:val="TOC1"/>
            <w:tabs>
              <w:tab w:val="right" w:leader="dot" w:pos="9010"/>
            </w:tabs>
            <w:rPr>
              <w:rStyle w:val="Hyperlink"/>
              <w:noProof/>
            </w:rPr>
          </w:pPr>
          <w:hyperlink r:id="rId13" w:anchor="_Toc81825069" w:history="1">
            <w:r w:rsidR="00E731A1">
              <w:rPr>
                <w:rStyle w:val="Hyperlink"/>
                <w:rFonts w:ascii="Verdana" w:hAnsi="Verdana"/>
                <w:b/>
                <w:noProof/>
                <w:lang w:eastAsia="en-GB"/>
              </w:rPr>
              <w:t>Would the legislation governing Widowed Parent’s Allowance and Bereavement Support Payment be compatible with Article 14 ECHR if the changes proposed in the Remedial Order were made?</w:t>
            </w:r>
            <w:r w:rsidR="00E731A1">
              <w:rPr>
                <w:rStyle w:val="Hyperlink"/>
                <w:noProof/>
                <w:webHidden/>
              </w:rPr>
              <w:tab/>
            </w:r>
            <w:r w:rsidR="00E731A1">
              <w:rPr>
                <w:rStyle w:val="Hyperlink"/>
                <w:noProof/>
                <w:webHidden/>
              </w:rPr>
              <w:fldChar w:fldCharType="begin"/>
            </w:r>
            <w:r w:rsidR="00E731A1">
              <w:rPr>
                <w:rStyle w:val="Hyperlink"/>
                <w:noProof/>
                <w:webHidden/>
              </w:rPr>
              <w:instrText xml:space="preserve"> PAGEREF _Toc81825069 \h </w:instrText>
            </w:r>
            <w:r w:rsidR="00E731A1">
              <w:rPr>
                <w:rStyle w:val="Hyperlink"/>
                <w:noProof/>
                <w:webHidden/>
              </w:rPr>
            </w:r>
            <w:r w:rsidR="00E731A1">
              <w:rPr>
                <w:rStyle w:val="Hyperlink"/>
                <w:noProof/>
                <w:webHidden/>
              </w:rPr>
              <w:fldChar w:fldCharType="separate"/>
            </w:r>
            <w:r w:rsidR="00E731A1">
              <w:rPr>
                <w:rStyle w:val="Hyperlink"/>
                <w:noProof/>
                <w:webHidden/>
              </w:rPr>
              <w:t>6</w:t>
            </w:r>
            <w:r w:rsidR="00E731A1">
              <w:rPr>
                <w:rStyle w:val="Hyperlink"/>
                <w:noProof/>
                <w:webHidden/>
              </w:rPr>
              <w:fldChar w:fldCharType="end"/>
            </w:r>
          </w:hyperlink>
        </w:p>
        <w:p w14:paraId="66923DB1" w14:textId="77777777" w:rsidR="00E731A1" w:rsidRDefault="00E731A1" w:rsidP="00E731A1"/>
        <w:p w14:paraId="13559668" w14:textId="77777777" w:rsidR="00E731A1" w:rsidRDefault="00E731A1" w:rsidP="00E731A1">
          <w:r>
            <w:rPr>
              <w:b/>
              <w:bCs/>
              <w:noProof/>
            </w:rPr>
            <w:fldChar w:fldCharType="end"/>
          </w:r>
        </w:p>
      </w:sdtContent>
    </w:sdt>
    <w:p w14:paraId="5577C4DC" w14:textId="77777777" w:rsidR="00E731A1" w:rsidRDefault="00E731A1" w:rsidP="00E731A1">
      <w:pPr>
        <w:pStyle w:val="Default"/>
        <w:spacing w:line="288" w:lineRule="auto"/>
        <w:rPr>
          <w:rFonts w:cs="Arial"/>
          <w:b/>
          <w:color w:val="232120"/>
        </w:rPr>
      </w:pPr>
    </w:p>
    <w:p w14:paraId="6EC804C9" w14:textId="77777777" w:rsidR="00E731A1" w:rsidRDefault="00E731A1" w:rsidP="00E731A1">
      <w:pPr>
        <w:pStyle w:val="Default"/>
        <w:spacing w:line="288" w:lineRule="auto"/>
        <w:rPr>
          <w:rFonts w:cs="Arial"/>
          <w:b/>
          <w:color w:val="232120"/>
        </w:rPr>
      </w:pPr>
    </w:p>
    <w:p w14:paraId="0A6C7D32" w14:textId="77777777" w:rsidR="00E731A1" w:rsidRDefault="00E731A1" w:rsidP="00E731A1">
      <w:pPr>
        <w:pStyle w:val="Default"/>
        <w:spacing w:line="288" w:lineRule="auto"/>
        <w:rPr>
          <w:rFonts w:cs="Arial"/>
          <w:b/>
          <w:color w:val="232120"/>
        </w:rPr>
      </w:pPr>
    </w:p>
    <w:p w14:paraId="7F0BA979" w14:textId="77777777" w:rsidR="00E731A1" w:rsidRDefault="00E731A1" w:rsidP="00E731A1">
      <w:pPr>
        <w:pStyle w:val="Default"/>
        <w:spacing w:line="288" w:lineRule="auto"/>
        <w:rPr>
          <w:rFonts w:cs="Arial"/>
          <w:b/>
          <w:color w:val="232120"/>
        </w:rPr>
      </w:pPr>
    </w:p>
    <w:p w14:paraId="7D717DA4" w14:textId="77777777" w:rsidR="00E731A1" w:rsidRDefault="00E731A1" w:rsidP="00E731A1">
      <w:pPr>
        <w:pStyle w:val="Default"/>
        <w:spacing w:line="288" w:lineRule="auto"/>
        <w:rPr>
          <w:rFonts w:cs="Arial"/>
          <w:b/>
          <w:color w:val="232120"/>
        </w:rPr>
      </w:pPr>
    </w:p>
    <w:p w14:paraId="05EDF1FF" w14:textId="77777777" w:rsidR="00E731A1" w:rsidRDefault="00E731A1" w:rsidP="00E731A1">
      <w:pPr>
        <w:pStyle w:val="Default"/>
        <w:spacing w:line="288" w:lineRule="auto"/>
        <w:rPr>
          <w:rFonts w:cs="Arial"/>
          <w:b/>
          <w:color w:val="232120"/>
        </w:rPr>
      </w:pPr>
    </w:p>
    <w:p w14:paraId="14696907" w14:textId="77777777" w:rsidR="00E731A1" w:rsidRDefault="00E731A1" w:rsidP="00E731A1">
      <w:pPr>
        <w:pStyle w:val="Default"/>
        <w:spacing w:line="288" w:lineRule="auto"/>
        <w:rPr>
          <w:rFonts w:cs="Arial"/>
          <w:b/>
          <w:color w:val="232120"/>
        </w:rPr>
      </w:pPr>
    </w:p>
    <w:p w14:paraId="2AEEFD86" w14:textId="77777777" w:rsidR="00E731A1" w:rsidRDefault="00E731A1" w:rsidP="00E731A1">
      <w:pPr>
        <w:pStyle w:val="Default"/>
        <w:spacing w:line="288" w:lineRule="auto"/>
        <w:rPr>
          <w:rFonts w:cs="Arial"/>
          <w:b/>
          <w:color w:val="232120"/>
        </w:rPr>
      </w:pPr>
    </w:p>
    <w:p w14:paraId="2D80B833" w14:textId="77777777" w:rsidR="00E731A1" w:rsidRDefault="00E731A1" w:rsidP="00E731A1">
      <w:pPr>
        <w:pStyle w:val="Default"/>
        <w:spacing w:line="288" w:lineRule="auto"/>
        <w:rPr>
          <w:rFonts w:cs="Arial"/>
          <w:b/>
          <w:color w:val="232120"/>
        </w:rPr>
      </w:pPr>
    </w:p>
    <w:p w14:paraId="3E27510C" w14:textId="77777777" w:rsidR="00E731A1" w:rsidRDefault="00E731A1" w:rsidP="00E731A1">
      <w:pPr>
        <w:pStyle w:val="Default"/>
        <w:spacing w:line="288" w:lineRule="auto"/>
        <w:rPr>
          <w:rFonts w:cs="Arial"/>
          <w:b/>
          <w:color w:val="232120"/>
        </w:rPr>
      </w:pPr>
    </w:p>
    <w:p w14:paraId="055D0F02" w14:textId="77777777" w:rsidR="00E731A1" w:rsidRDefault="00E731A1" w:rsidP="00E731A1">
      <w:pPr>
        <w:pStyle w:val="Default"/>
        <w:spacing w:line="288" w:lineRule="auto"/>
        <w:rPr>
          <w:rFonts w:cs="Arial"/>
          <w:b/>
          <w:color w:val="232120"/>
        </w:rPr>
      </w:pPr>
    </w:p>
    <w:p w14:paraId="5E156471" w14:textId="77777777" w:rsidR="00E731A1" w:rsidRDefault="00E731A1" w:rsidP="00E731A1">
      <w:pPr>
        <w:pStyle w:val="Default"/>
        <w:spacing w:line="288" w:lineRule="auto"/>
        <w:rPr>
          <w:rFonts w:cs="Arial"/>
          <w:b/>
          <w:color w:val="232120"/>
        </w:rPr>
      </w:pPr>
    </w:p>
    <w:p w14:paraId="75BB1D09" w14:textId="77777777" w:rsidR="00E731A1" w:rsidRDefault="00E731A1" w:rsidP="00E731A1">
      <w:pPr>
        <w:pStyle w:val="Default"/>
        <w:spacing w:line="288" w:lineRule="auto"/>
        <w:rPr>
          <w:rFonts w:cs="Arial"/>
          <w:b/>
          <w:color w:val="232120"/>
        </w:rPr>
      </w:pPr>
    </w:p>
    <w:p w14:paraId="2655E83E" w14:textId="77777777" w:rsidR="00E731A1" w:rsidRDefault="00E731A1" w:rsidP="00E731A1">
      <w:pPr>
        <w:pStyle w:val="Default"/>
        <w:spacing w:line="288" w:lineRule="auto"/>
        <w:rPr>
          <w:rFonts w:cs="Arial"/>
          <w:b/>
          <w:color w:val="232120"/>
        </w:rPr>
      </w:pPr>
    </w:p>
    <w:p w14:paraId="48BB63AC" w14:textId="77777777" w:rsidR="00E731A1" w:rsidRDefault="00E731A1" w:rsidP="00E731A1">
      <w:pPr>
        <w:pStyle w:val="Default"/>
        <w:spacing w:line="288" w:lineRule="auto"/>
        <w:rPr>
          <w:rFonts w:cs="Arial"/>
          <w:b/>
          <w:color w:val="232120"/>
        </w:rPr>
      </w:pPr>
    </w:p>
    <w:p w14:paraId="57EB8C75" w14:textId="77777777" w:rsidR="00E731A1" w:rsidRDefault="00E731A1" w:rsidP="00E731A1">
      <w:pPr>
        <w:pStyle w:val="Default"/>
        <w:spacing w:line="288" w:lineRule="auto"/>
        <w:rPr>
          <w:rFonts w:cs="Arial"/>
          <w:b/>
          <w:color w:val="232120"/>
        </w:rPr>
      </w:pPr>
    </w:p>
    <w:p w14:paraId="02784F95" w14:textId="77777777" w:rsidR="00E731A1" w:rsidRDefault="00E731A1" w:rsidP="00E731A1">
      <w:pPr>
        <w:pStyle w:val="Default"/>
        <w:spacing w:line="288" w:lineRule="auto"/>
        <w:rPr>
          <w:rFonts w:cs="Arial"/>
          <w:b/>
          <w:color w:val="232120"/>
        </w:rPr>
      </w:pPr>
    </w:p>
    <w:p w14:paraId="5C91A9E5" w14:textId="77777777" w:rsidR="00E731A1" w:rsidRDefault="00E731A1" w:rsidP="00E731A1">
      <w:pPr>
        <w:pStyle w:val="Default"/>
        <w:spacing w:line="288" w:lineRule="auto"/>
        <w:rPr>
          <w:rFonts w:cs="Arial"/>
          <w:b/>
          <w:color w:val="232120"/>
        </w:rPr>
      </w:pPr>
    </w:p>
    <w:p w14:paraId="5B2F9AD2" w14:textId="77777777" w:rsidR="00E731A1" w:rsidRDefault="00E731A1" w:rsidP="00E731A1">
      <w:pPr>
        <w:pStyle w:val="Default"/>
        <w:spacing w:line="288" w:lineRule="auto"/>
        <w:rPr>
          <w:rFonts w:cs="Arial"/>
          <w:b/>
          <w:color w:val="232120"/>
        </w:rPr>
      </w:pPr>
    </w:p>
    <w:p w14:paraId="4C5358F5" w14:textId="77777777" w:rsidR="00E731A1" w:rsidRDefault="00E731A1" w:rsidP="00E731A1">
      <w:pPr>
        <w:pStyle w:val="Default"/>
        <w:spacing w:line="288" w:lineRule="auto"/>
        <w:rPr>
          <w:rFonts w:cs="Arial"/>
          <w:b/>
          <w:color w:val="232120"/>
        </w:rPr>
      </w:pPr>
    </w:p>
    <w:p w14:paraId="348893B5" w14:textId="77777777" w:rsidR="00E731A1" w:rsidRDefault="00E731A1" w:rsidP="00E731A1">
      <w:pPr>
        <w:pStyle w:val="Default"/>
        <w:spacing w:line="288" w:lineRule="auto"/>
        <w:rPr>
          <w:rFonts w:cs="Arial"/>
          <w:b/>
          <w:color w:val="232120"/>
        </w:rPr>
      </w:pPr>
    </w:p>
    <w:p w14:paraId="76976563" w14:textId="77777777" w:rsidR="00E731A1" w:rsidRDefault="00E731A1" w:rsidP="00E731A1">
      <w:pPr>
        <w:textAlignment w:val="baseline"/>
        <w:rPr>
          <w:rFonts w:ascii="Verdana" w:hAnsi="Verdana" w:cs="Arial"/>
          <w:b/>
          <w:color w:val="232120"/>
          <w:lang w:val="en-US"/>
        </w:rPr>
      </w:pPr>
    </w:p>
    <w:p w14:paraId="2919709E" w14:textId="0B38D7B6" w:rsidR="00E731A1" w:rsidRDefault="00E731A1" w:rsidP="00E731A1">
      <w:pPr>
        <w:pStyle w:val="Heading1"/>
        <w:rPr>
          <w:rFonts w:ascii="Verdana" w:hAnsi="Verdana"/>
          <w:b/>
          <w:color w:val="7030A0"/>
          <w:sz w:val="30"/>
          <w:szCs w:val="30"/>
          <w:lang w:val="en-US"/>
        </w:rPr>
      </w:pPr>
      <w:bookmarkStart w:id="0" w:name="_Toc81825065"/>
      <w:r>
        <w:rPr>
          <w:rFonts w:ascii="Verdana" w:hAnsi="Verdana"/>
          <w:b/>
          <w:color w:val="7030A0"/>
          <w:sz w:val="30"/>
          <w:szCs w:val="30"/>
          <w:lang w:val="en-US"/>
        </w:rPr>
        <w:lastRenderedPageBreak/>
        <w:t>Executive Summary</w:t>
      </w:r>
      <w:bookmarkEnd w:id="0"/>
      <w:r>
        <w:rPr>
          <w:rFonts w:ascii="Verdana" w:hAnsi="Verdana"/>
          <w:b/>
          <w:color w:val="7030A0"/>
          <w:sz w:val="30"/>
          <w:szCs w:val="30"/>
          <w:lang w:val="en-US"/>
        </w:rPr>
        <w:t xml:space="preserve"> </w:t>
      </w:r>
    </w:p>
    <w:p w14:paraId="1EB80AC8" w14:textId="77777777" w:rsidR="00E731A1" w:rsidRPr="00E731A1" w:rsidRDefault="00E731A1" w:rsidP="00E731A1">
      <w:pPr>
        <w:rPr>
          <w:lang w:val="en-US"/>
        </w:rPr>
      </w:pPr>
    </w:p>
    <w:p w14:paraId="7EEA5EBC" w14:textId="00415773" w:rsidR="00E731A1" w:rsidRDefault="00E731A1" w:rsidP="00E731A1">
      <w:pPr>
        <w:rPr>
          <w:lang w:val="en-US"/>
        </w:rPr>
      </w:pPr>
    </w:p>
    <w:p w14:paraId="68C5E6EC" w14:textId="48FE984F" w:rsidR="00E731A1" w:rsidRDefault="00E731A1" w:rsidP="00E731A1">
      <w:pPr>
        <w:pStyle w:val="ListParagraph"/>
        <w:textAlignment w:val="baseline"/>
        <w:rPr>
          <w:rFonts w:ascii="Verdana" w:eastAsia="Times New Roman" w:hAnsi="Verdana" w:cs="Segoe UI"/>
          <w:b/>
          <w:lang w:val="en-US" w:eastAsia="en-GB"/>
        </w:rPr>
      </w:pPr>
      <w:r w:rsidRPr="00E731A1">
        <w:rPr>
          <w:rFonts w:ascii="Verdana" w:eastAsia="Times New Roman" w:hAnsi="Verdana" w:cs="Segoe UI"/>
          <w:b/>
          <w:lang w:val="en-US" w:eastAsia="en-GB"/>
        </w:rPr>
        <w:t xml:space="preserve">The Commission recommends that the DWP and </w:t>
      </w:r>
      <w:proofErr w:type="spellStart"/>
      <w:r w:rsidRPr="00E731A1">
        <w:rPr>
          <w:rFonts w:ascii="Verdana" w:eastAsia="Times New Roman" w:hAnsi="Verdana" w:cs="Segoe UI"/>
          <w:b/>
          <w:lang w:val="en-US" w:eastAsia="en-GB"/>
        </w:rPr>
        <w:t>DfC</w:t>
      </w:r>
      <w:proofErr w:type="spellEnd"/>
      <w:r w:rsidRPr="00E731A1">
        <w:rPr>
          <w:rFonts w:ascii="Verdana" w:eastAsia="Times New Roman" w:hAnsi="Verdana" w:cs="Segoe UI"/>
          <w:b/>
          <w:lang w:val="en-US" w:eastAsia="en-GB"/>
        </w:rPr>
        <w:t xml:space="preserve"> take steps to identify and notify eligible families and to ensure, by way of a public awareness campaign, that people are aware that the rules have changed and of how to apply. </w:t>
      </w:r>
    </w:p>
    <w:p w14:paraId="65785217" w14:textId="77777777" w:rsidR="00E731A1" w:rsidRDefault="00E731A1" w:rsidP="00E731A1">
      <w:pPr>
        <w:pStyle w:val="ListParagraph"/>
        <w:textAlignment w:val="baseline"/>
        <w:rPr>
          <w:rFonts w:ascii="Verdana" w:eastAsia="Times New Roman" w:hAnsi="Verdana" w:cs="Segoe UI"/>
          <w:b/>
          <w:lang w:val="en-US" w:eastAsia="en-GB"/>
        </w:rPr>
      </w:pPr>
    </w:p>
    <w:p w14:paraId="02CCB441" w14:textId="1BCB64D6" w:rsidR="00E731A1" w:rsidRDefault="00E731A1" w:rsidP="00E731A1">
      <w:pPr>
        <w:pStyle w:val="ListParagraph"/>
        <w:textAlignment w:val="baseline"/>
        <w:rPr>
          <w:rFonts w:ascii="Verdana" w:eastAsia="Times New Roman" w:hAnsi="Verdana" w:cs="Segoe UI"/>
          <w:b/>
          <w:lang w:val="en-US" w:eastAsia="en-GB"/>
        </w:rPr>
      </w:pPr>
      <w:r w:rsidRPr="0041616A">
        <w:rPr>
          <w:rFonts w:ascii="Verdana" w:eastAsia="Times New Roman" w:hAnsi="Verdana" w:cs="Segoe UI"/>
          <w:b/>
          <w:lang w:val="en-US" w:eastAsia="en-GB"/>
        </w:rPr>
        <w:t xml:space="preserve">The Commission recommends that for Siobhan McLaughlin, a full remedy is provided to </w:t>
      </w:r>
      <w:proofErr w:type="gramStart"/>
      <w:r w:rsidRPr="0041616A">
        <w:rPr>
          <w:rFonts w:ascii="Verdana" w:eastAsia="Times New Roman" w:hAnsi="Verdana" w:cs="Segoe UI"/>
          <w:b/>
          <w:lang w:val="en-US" w:eastAsia="en-GB"/>
        </w:rPr>
        <w:t>her</w:t>
      </w:r>
      <w:proofErr w:type="gramEnd"/>
      <w:r w:rsidRPr="0041616A">
        <w:rPr>
          <w:rFonts w:ascii="Verdana" w:eastAsia="Times New Roman" w:hAnsi="Verdana" w:cs="Segoe UI"/>
          <w:b/>
          <w:lang w:val="en-US" w:eastAsia="en-GB"/>
        </w:rPr>
        <w:t xml:space="preserve"> and the payment is retrospective from her partner’s death in January 2014. </w:t>
      </w:r>
    </w:p>
    <w:p w14:paraId="64E81FF6" w14:textId="381EFF61" w:rsidR="00E731A1" w:rsidRDefault="00E731A1" w:rsidP="00E731A1">
      <w:pPr>
        <w:pStyle w:val="ListParagraph"/>
        <w:textAlignment w:val="baseline"/>
        <w:rPr>
          <w:rFonts w:ascii="Verdana" w:eastAsia="Times New Roman" w:hAnsi="Verdana" w:cs="Segoe UI"/>
          <w:b/>
          <w:lang w:val="en-US" w:eastAsia="en-GB"/>
        </w:rPr>
      </w:pPr>
    </w:p>
    <w:p w14:paraId="3465ABF2" w14:textId="62ABC23C" w:rsidR="00E731A1" w:rsidRPr="00E731A1" w:rsidRDefault="00E731A1" w:rsidP="00E731A1">
      <w:pPr>
        <w:ind w:left="720"/>
        <w:textAlignment w:val="baseline"/>
        <w:rPr>
          <w:rFonts w:ascii="Verdana" w:eastAsia="Times New Roman" w:hAnsi="Verdana" w:cs="Segoe UI"/>
          <w:b/>
          <w:lang w:val="en-US" w:eastAsia="en-GB"/>
        </w:rPr>
      </w:pPr>
      <w:r w:rsidRPr="00E731A1">
        <w:rPr>
          <w:rFonts w:ascii="Verdana" w:eastAsia="Times New Roman" w:hAnsi="Verdana" w:cs="Segoe UI"/>
          <w:b/>
          <w:lang w:val="en-US" w:eastAsia="en-GB"/>
        </w:rPr>
        <w:t xml:space="preserve">Whilst the Commission welcomes the retrospective nature of the proposed Remedial Order, the JCHR should consider those families bereaved before 2018. In particular the JCHR might consider that retrospectivity from the date of the High Court judgment to be a </w:t>
      </w:r>
      <w:proofErr w:type="gramStart"/>
      <w:r w:rsidRPr="00E731A1">
        <w:rPr>
          <w:rFonts w:ascii="Verdana" w:eastAsia="Times New Roman" w:hAnsi="Verdana" w:cs="Segoe UI"/>
          <w:b/>
          <w:lang w:val="en-US" w:eastAsia="en-GB"/>
        </w:rPr>
        <w:t>more fair and just</w:t>
      </w:r>
      <w:proofErr w:type="gramEnd"/>
      <w:r w:rsidRPr="00E731A1">
        <w:rPr>
          <w:rFonts w:ascii="Verdana" w:eastAsia="Times New Roman" w:hAnsi="Verdana" w:cs="Segoe UI"/>
          <w:b/>
          <w:lang w:val="en-US" w:eastAsia="en-GB"/>
        </w:rPr>
        <w:t xml:space="preserve"> outcome for families who made their claims based on the judgment.  </w:t>
      </w:r>
    </w:p>
    <w:p w14:paraId="3B8224A0" w14:textId="488179CA" w:rsidR="00E731A1" w:rsidRDefault="00E731A1" w:rsidP="00E731A1">
      <w:pPr>
        <w:pStyle w:val="ListParagraph"/>
        <w:textAlignment w:val="baseline"/>
        <w:rPr>
          <w:rFonts w:ascii="Verdana" w:eastAsia="Times New Roman" w:hAnsi="Verdana" w:cs="Segoe UI"/>
          <w:b/>
          <w:lang w:val="en-US" w:eastAsia="en-GB"/>
        </w:rPr>
      </w:pPr>
    </w:p>
    <w:p w14:paraId="34E71614" w14:textId="57B723FD" w:rsidR="00E731A1" w:rsidRDefault="00E731A1" w:rsidP="00E731A1">
      <w:pPr>
        <w:pStyle w:val="ListParagraph"/>
        <w:textAlignment w:val="baseline"/>
        <w:rPr>
          <w:rFonts w:ascii="Verdana" w:eastAsia="Times New Roman" w:hAnsi="Verdana" w:cs="Segoe UI"/>
          <w:b/>
          <w:lang w:val="en-US" w:eastAsia="en-GB"/>
        </w:rPr>
      </w:pPr>
      <w:r w:rsidRPr="0041616A">
        <w:rPr>
          <w:rFonts w:ascii="Verdana" w:eastAsia="Times New Roman" w:hAnsi="Verdana" w:cs="Segoe UI"/>
          <w:b/>
          <w:lang w:val="en-US" w:eastAsia="en-GB"/>
        </w:rPr>
        <w:t xml:space="preserve">The JCHR may wish to recommend allowing early payments for families, particularly where there is a pressing financial need. </w:t>
      </w:r>
    </w:p>
    <w:p w14:paraId="27EC8FCE" w14:textId="3955A515" w:rsidR="00E731A1" w:rsidRDefault="00E731A1" w:rsidP="00E731A1">
      <w:pPr>
        <w:pStyle w:val="ListParagraph"/>
        <w:textAlignment w:val="baseline"/>
        <w:rPr>
          <w:rFonts w:ascii="Verdana" w:eastAsia="Times New Roman" w:hAnsi="Verdana" w:cs="Segoe UI"/>
          <w:b/>
          <w:lang w:val="en-US" w:eastAsia="en-GB"/>
        </w:rPr>
      </w:pPr>
    </w:p>
    <w:p w14:paraId="242E0977" w14:textId="36E01B13" w:rsidR="00E731A1" w:rsidRDefault="00E731A1" w:rsidP="00E731A1">
      <w:pPr>
        <w:pStyle w:val="ListParagraph"/>
        <w:textAlignment w:val="baseline"/>
        <w:rPr>
          <w:rFonts w:ascii="Verdana" w:eastAsia="Times New Roman" w:hAnsi="Verdana" w:cs="Segoe UI"/>
          <w:b/>
          <w:lang w:eastAsia="en-GB"/>
        </w:rPr>
      </w:pPr>
      <w:r w:rsidRPr="0041616A">
        <w:rPr>
          <w:rFonts w:ascii="Verdana" w:eastAsia="Times New Roman" w:hAnsi="Verdana" w:cs="Segoe UI"/>
          <w:b/>
          <w:lang w:eastAsia="en-GB"/>
        </w:rPr>
        <w:t xml:space="preserve">The Commission recommends that consideration is given to extending the benefit to co-habiting partners who do not have children, or to those whose children have reached majority. </w:t>
      </w:r>
    </w:p>
    <w:p w14:paraId="4E7B74B4" w14:textId="7138FE32" w:rsidR="00575C93" w:rsidRDefault="00575C93" w:rsidP="00E731A1">
      <w:pPr>
        <w:pStyle w:val="ListParagraph"/>
        <w:textAlignment w:val="baseline"/>
        <w:rPr>
          <w:rFonts w:ascii="Verdana" w:eastAsia="Times New Roman" w:hAnsi="Verdana" w:cs="Segoe UI"/>
          <w:b/>
          <w:lang w:eastAsia="en-GB"/>
        </w:rPr>
      </w:pPr>
    </w:p>
    <w:p w14:paraId="08F6586D" w14:textId="77777777" w:rsidR="00575C93" w:rsidRDefault="00575C93" w:rsidP="00575C93">
      <w:pPr>
        <w:pStyle w:val="ListParagraph"/>
        <w:textAlignment w:val="baseline"/>
        <w:rPr>
          <w:rFonts w:ascii="Verdana" w:eastAsia="Times New Roman" w:hAnsi="Verdana" w:cs="Segoe UI"/>
          <w:b/>
          <w:sz w:val="18"/>
          <w:szCs w:val="18"/>
          <w:lang w:eastAsia="en-GB"/>
        </w:rPr>
      </w:pPr>
      <w:r>
        <w:rPr>
          <w:rFonts w:ascii="Verdana" w:eastAsia="Times New Roman" w:hAnsi="Verdana" w:cs="Segoe UI"/>
          <w:b/>
          <w:lang w:eastAsia="en-GB"/>
        </w:rPr>
        <w:t xml:space="preserve">The Commission recommends that the JCHR consider extending the benefit to all children, including those parents might be divorced or live apart, to ensure that children are not discriminated against </w:t>
      </w:r>
      <w:proofErr w:type="gramStart"/>
      <w:r>
        <w:rPr>
          <w:rFonts w:ascii="Verdana" w:eastAsia="Times New Roman" w:hAnsi="Verdana" w:cs="Segoe UI"/>
          <w:b/>
          <w:lang w:eastAsia="en-GB"/>
        </w:rPr>
        <w:t>on the basis of</w:t>
      </w:r>
      <w:proofErr w:type="gramEnd"/>
      <w:r>
        <w:rPr>
          <w:rFonts w:ascii="Verdana" w:eastAsia="Times New Roman" w:hAnsi="Verdana" w:cs="Segoe UI"/>
          <w:b/>
          <w:lang w:eastAsia="en-GB"/>
        </w:rPr>
        <w:t xml:space="preserve"> parental marital status.  </w:t>
      </w:r>
    </w:p>
    <w:p w14:paraId="327CB814" w14:textId="77777777" w:rsidR="00575C93" w:rsidRPr="0041616A" w:rsidRDefault="00575C93" w:rsidP="00E731A1">
      <w:pPr>
        <w:pStyle w:val="ListParagraph"/>
        <w:textAlignment w:val="baseline"/>
        <w:rPr>
          <w:rFonts w:ascii="Verdana" w:eastAsia="Times New Roman" w:hAnsi="Verdana" w:cs="Segoe UI"/>
          <w:b/>
          <w:lang w:eastAsia="en-GB"/>
        </w:rPr>
      </w:pPr>
    </w:p>
    <w:p w14:paraId="25AAE8E7" w14:textId="77777777" w:rsidR="00E731A1" w:rsidRPr="0041616A" w:rsidRDefault="00E731A1" w:rsidP="00E731A1">
      <w:pPr>
        <w:pStyle w:val="ListParagraph"/>
        <w:textAlignment w:val="baseline"/>
        <w:rPr>
          <w:rFonts w:ascii="Verdana" w:eastAsia="Times New Roman" w:hAnsi="Verdana" w:cs="Segoe UI"/>
          <w:b/>
          <w:lang w:val="en-US" w:eastAsia="en-GB"/>
        </w:rPr>
      </w:pPr>
    </w:p>
    <w:p w14:paraId="2A2A1340" w14:textId="77777777" w:rsidR="00E731A1" w:rsidRDefault="00E731A1" w:rsidP="00E731A1">
      <w:pPr>
        <w:pStyle w:val="ListParagraph"/>
        <w:textAlignment w:val="baseline"/>
        <w:rPr>
          <w:rFonts w:ascii="Verdana" w:eastAsia="Times New Roman" w:hAnsi="Verdana" w:cs="Segoe UI"/>
          <w:b/>
          <w:lang w:val="en-US" w:eastAsia="en-GB"/>
        </w:rPr>
      </w:pPr>
    </w:p>
    <w:p w14:paraId="3D136059" w14:textId="2B641BA3" w:rsidR="00E731A1" w:rsidRDefault="00E731A1" w:rsidP="00E731A1">
      <w:pPr>
        <w:pStyle w:val="ListParagraph"/>
        <w:textAlignment w:val="baseline"/>
        <w:rPr>
          <w:rFonts w:ascii="Verdana" w:eastAsia="Times New Roman" w:hAnsi="Verdana" w:cs="Segoe UI"/>
          <w:b/>
          <w:lang w:val="en-US" w:eastAsia="en-GB"/>
        </w:rPr>
      </w:pPr>
    </w:p>
    <w:p w14:paraId="3A8505DF" w14:textId="77777777" w:rsidR="00E731A1" w:rsidRPr="0041616A" w:rsidRDefault="00E731A1" w:rsidP="00E731A1">
      <w:pPr>
        <w:pStyle w:val="ListParagraph"/>
        <w:textAlignment w:val="baseline"/>
        <w:rPr>
          <w:rFonts w:ascii="Verdana" w:eastAsia="Times New Roman" w:hAnsi="Verdana" w:cs="Segoe UI"/>
          <w:b/>
          <w:lang w:val="en-US" w:eastAsia="en-GB"/>
        </w:rPr>
      </w:pPr>
    </w:p>
    <w:p w14:paraId="1837EC01" w14:textId="77777777" w:rsidR="00E731A1" w:rsidRPr="0041616A" w:rsidRDefault="00E731A1" w:rsidP="00E731A1">
      <w:pPr>
        <w:pStyle w:val="ListParagraph"/>
        <w:textAlignment w:val="baseline"/>
        <w:rPr>
          <w:rFonts w:ascii="Verdana" w:eastAsia="Times New Roman" w:hAnsi="Verdana" w:cs="Segoe UI"/>
          <w:lang w:val="en-US" w:eastAsia="en-GB"/>
        </w:rPr>
      </w:pPr>
    </w:p>
    <w:p w14:paraId="6A25E1DE" w14:textId="77777777" w:rsidR="00E731A1" w:rsidRPr="00E731A1" w:rsidRDefault="00E731A1" w:rsidP="00E731A1">
      <w:pPr>
        <w:pStyle w:val="ListParagraph"/>
        <w:textAlignment w:val="baseline"/>
        <w:rPr>
          <w:rFonts w:ascii="Verdana" w:eastAsia="Times New Roman" w:hAnsi="Verdana" w:cs="Segoe UI"/>
          <w:b/>
          <w:lang w:val="en-US" w:eastAsia="en-GB"/>
        </w:rPr>
      </w:pPr>
    </w:p>
    <w:p w14:paraId="65C481B6" w14:textId="77777777" w:rsidR="00E731A1" w:rsidRPr="00E731A1" w:rsidRDefault="00E731A1" w:rsidP="00E731A1">
      <w:pPr>
        <w:rPr>
          <w:lang w:val="en-US"/>
        </w:rPr>
      </w:pPr>
    </w:p>
    <w:p w14:paraId="5002155F" w14:textId="77777777" w:rsidR="00E731A1" w:rsidRDefault="00E731A1" w:rsidP="00E731A1">
      <w:pPr>
        <w:rPr>
          <w:lang w:val="en-US"/>
        </w:rPr>
      </w:pPr>
    </w:p>
    <w:p w14:paraId="7AFAAB49" w14:textId="77777777" w:rsidR="00E731A1" w:rsidRDefault="00E731A1" w:rsidP="00E731A1">
      <w:pPr>
        <w:rPr>
          <w:lang w:val="en-US"/>
        </w:rPr>
      </w:pPr>
    </w:p>
    <w:p w14:paraId="02185C60" w14:textId="77777777" w:rsidR="00EA12CE" w:rsidRPr="0041616A" w:rsidRDefault="00EA12CE" w:rsidP="002374A8">
      <w:pPr>
        <w:pStyle w:val="Default"/>
        <w:spacing w:line="288" w:lineRule="auto"/>
        <w:rPr>
          <w:rFonts w:cs="Arial"/>
          <w:b/>
          <w:color w:val="232120"/>
        </w:rPr>
      </w:pPr>
    </w:p>
    <w:p w14:paraId="7B9C7F46" w14:textId="77777777" w:rsidR="00EA12CE" w:rsidRPr="0041616A" w:rsidRDefault="00EA12CE" w:rsidP="002374A8">
      <w:pPr>
        <w:pStyle w:val="Default"/>
        <w:spacing w:line="288" w:lineRule="auto"/>
        <w:rPr>
          <w:rFonts w:cs="Arial"/>
          <w:b/>
          <w:color w:val="232120"/>
        </w:rPr>
      </w:pPr>
    </w:p>
    <w:p w14:paraId="3DCBADAC" w14:textId="77777777" w:rsidR="00EA12CE" w:rsidRPr="0041616A" w:rsidRDefault="00EA12CE" w:rsidP="002374A8">
      <w:pPr>
        <w:pStyle w:val="Default"/>
        <w:spacing w:line="288" w:lineRule="auto"/>
        <w:rPr>
          <w:rFonts w:cs="Arial"/>
          <w:b/>
          <w:color w:val="232120"/>
        </w:rPr>
      </w:pPr>
    </w:p>
    <w:p w14:paraId="49D27906" w14:textId="77777777" w:rsidR="00EA12CE" w:rsidRPr="0041616A" w:rsidRDefault="00EA12CE" w:rsidP="002374A8">
      <w:pPr>
        <w:pStyle w:val="Default"/>
        <w:spacing w:line="288" w:lineRule="auto"/>
        <w:rPr>
          <w:rFonts w:cs="Arial"/>
          <w:b/>
          <w:color w:val="232120"/>
        </w:rPr>
      </w:pPr>
    </w:p>
    <w:p w14:paraId="6DDC288E" w14:textId="77777777" w:rsidR="00FA165E" w:rsidRPr="00FA165E" w:rsidRDefault="00FA165E" w:rsidP="00FA165E">
      <w:pPr>
        <w:rPr>
          <w:lang w:val="en-US"/>
        </w:rPr>
      </w:pPr>
    </w:p>
    <w:p w14:paraId="320CCE71" w14:textId="77777777" w:rsidR="0041616A" w:rsidRPr="0041616A" w:rsidRDefault="0041616A" w:rsidP="002374A8">
      <w:pPr>
        <w:pStyle w:val="Heading1"/>
        <w:rPr>
          <w:rFonts w:ascii="Verdana" w:hAnsi="Verdana"/>
          <w:b/>
          <w:color w:val="7030A0"/>
          <w:sz w:val="30"/>
          <w:szCs w:val="30"/>
          <w:lang w:val="en-US" w:eastAsia="en-GB"/>
        </w:rPr>
      </w:pPr>
      <w:bookmarkStart w:id="1" w:name="_Toc81825066"/>
      <w:r w:rsidRPr="0041616A">
        <w:rPr>
          <w:rFonts w:ascii="Verdana" w:hAnsi="Verdana"/>
          <w:b/>
          <w:color w:val="7030A0"/>
          <w:sz w:val="30"/>
          <w:szCs w:val="30"/>
          <w:lang w:val="en" w:eastAsia="en-GB"/>
        </w:rPr>
        <w:t>Introduction</w:t>
      </w:r>
      <w:bookmarkEnd w:id="1"/>
      <w:r w:rsidRPr="0041616A">
        <w:rPr>
          <w:rFonts w:ascii="Verdana" w:hAnsi="Verdana"/>
          <w:b/>
          <w:color w:val="7030A0"/>
          <w:sz w:val="30"/>
          <w:szCs w:val="30"/>
          <w:lang w:val="en-US" w:eastAsia="en-GB"/>
        </w:rPr>
        <w:t> </w:t>
      </w:r>
    </w:p>
    <w:p w14:paraId="30588C75" w14:textId="77777777" w:rsidR="0041616A" w:rsidRPr="0041616A" w:rsidRDefault="0041616A" w:rsidP="002374A8">
      <w:pPr>
        <w:textAlignment w:val="baseline"/>
        <w:rPr>
          <w:rFonts w:ascii="Verdana" w:eastAsia="Times New Roman" w:hAnsi="Verdana" w:cs="Segoe UI"/>
          <w:sz w:val="18"/>
          <w:szCs w:val="18"/>
          <w:lang w:val="en-US" w:eastAsia="en-GB"/>
        </w:rPr>
      </w:pPr>
      <w:r w:rsidRPr="0041616A">
        <w:rPr>
          <w:rFonts w:ascii="Verdana" w:eastAsia="Times New Roman" w:hAnsi="Verdana" w:cs="Segoe UI"/>
          <w:lang w:val="en" w:eastAsia="en-GB"/>
        </w:rPr>
        <w:t> </w:t>
      </w:r>
      <w:r w:rsidRPr="0041616A">
        <w:rPr>
          <w:rFonts w:ascii="Verdana" w:eastAsia="Times New Roman" w:hAnsi="Verdana" w:cs="Segoe UI"/>
          <w:lang w:val="en-US" w:eastAsia="en-GB"/>
        </w:rPr>
        <w:t> </w:t>
      </w:r>
    </w:p>
    <w:p w14:paraId="50114250" w14:textId="77777777" w:rsidR="0041616A" w:rsidRPr="0041616A" w:rsidRDefault="0041616A" w:rsidP="002374A8">
      <w:pPr>
        <w:pStyle w:val="ListParagraph"/>
        <w:numPr>
          <w:ilvl w:val="0"/>
          <w:numId w:val="9"/>
        </w:numPr>
        <w:ind w:hanging="720"/>
        <w:textAlignment w:val="baseline"/>
        <w:rPr>
          <w:rFonts w:ascii="Verdana" w:eastAsia="Times New Roman" w:hAnsi="Verdana" w:cs="Segoe UI"/>
          <w:sz w:val="18"/>
          <w:szCs w:val="18"/>
          <w:lang w:val="en-US" w:eastAsia="en-GB"/>
        </w:rPr>
      </w:pPr>
      <w:r w:rsidRPr="0041616A">
        <w:rPr>
          <w:rFonts w:ascii="Verdana" w:eastAsia="Times New Roman" w:hAnsi="Verdana" w:cs="Segoe UI"/>
          <w:lang w:val="en" w:eastAsia="en-GB"/>
        </w:rPr>
        <w:t>The Northern Ireland Human Rights Commission (the Commission), pursuant to Section 69(1) of the Northern Ireland Act 1998, reviews the adequacy and effectiveness of law and practice relating to the protection of human rights. In accordance with this function the following statutory advice is submitted to the Joint Committee on Human Rights (Joint Committee) in response to its call to submissions for its Inquiry into the proposal for a draft Bereavement Benefits (Remedial) Order 2021.</w:t>
      </w:r>
      <w:r w:rsidRPr="0041616A">
        <w:rPr>
          <w:rFonts w:ascii="Verdana" w:eastAsia="Times New Roman" w:hAnsi="Verdana" w:cs="Arial"/>
          <w:color w:val="FFFFFF"/>
          <w:sz w:val="27"/>
          <w:szCs w:val="27"/>
          <w:shd w:val="clear" w:color="auto" w:fill="5F2DB4"/>
          <w:lang w:eastAsia="en-GB"/>
        </w:rPr>
        <w:t xml:space="preserve"> </w:t>
      </w:r>
    </w:p>
    <w:p w14:paraId="4129E0C9" w14:textId="77777777" w:rsidR="0041616A" w:rsidRPr="0041616A" w:rsidRDefault="0041616A" w:rsidP="002374A8">
      <w:pPr>
        <w:ind w:hanging="720"/>
        <w:textAlignment w:val="baseline"/>
        <w:rPr>
          <w:rFonts w:ascii="Verdana" w:eastAsia="Times New Roman" w:hAnsi="Verdana" w:cs="Segoe UI"/>
          <w:sz w:val="18"/>
          <w:szCs w:val="18"/>
          <w:lang w:val="en-US" w:eastAsia="en-GB"/>
        </w:rPr>
      </w:pPr>
    </w:p>
    <w:p w14:paraId="7EA1642B" w14:textId="77777777" w:rsidR="0041616A" w:rsidRPr="0041616A" w:rsidRDefault="0041616A" w:rsidP="002374A8">
      <w:pPr>
        <w:pStyle w:val="ListParagraph"/>
        <w:numPr>
          <w:ilvl w:val="0"/>
          <w:numId w:val="9"/>
        </w:numPr>
        <w:ind w:hanging="720"/>
        <w:textAlignment w:val="baseline"/>
        <w:rPr>
          <w:rFonts w:ascii="Verdana" w:eastAsia="Times New Roman" w:hAnsi="Verdana" w:cs="Segoe UI"/>
          <w:lang w:val="en" w:eastAsia="en-GB"/>
        </w:rPr>
      </w:pPr>
      <w:r w:rsidRPr="0041616A">
        <w:rPr>
          <w:rFonts w:ascii="Verdana" w:eastAsia="Times New Roman" w:hAnsi="Verdana" w:cs="Segoe UI"/>
          <w:lang w:val="en" w:eastAsia="en-GB"/>
        </w:rPr>
        <w:t>The Commission bases its advice on the full range of internationally accepted human rights standards, including the European Convention on Human Rights (ECHR), as incorporated by the HRA, and the treaty obligations of the Council of Europe (</w:t>
      </w:r>
      <w:proofErr w:type="spellStart"/>
      <w:r w:rsidRPr="0041616A">
        <w:rPr>
          <w:rFonts w:ascii="Verdana" w:eastAsia="Times New Roman" w:hAnsi="Verdana" w:cs="Segoe UI"/>
          <w:lang w:val="en" w:eastAsia="en-GB"/>
        </w:rPr>
        <w:t>CoE</w:t>
      </w:r>
      <w:proofErr w:type="spellEnd"/>
      <w:r w:rsidRPr="0041616A">
        <w:rPr>
          <w:rFonts w:ascii="Verdana" w:eastAsia="Times New Roman" w:hAnsi="Verdana" w:cs="Segoe UI"/>
          <w:lang w:val="en" w:eastAsia="en-GB"/>
        </w:rPr>
        <w:t>) and United Nations (UN) systems.</w:t>
      </w:r>
    </w:p>
    <w:p w14:paraId="108CCE12" w14:textId="77777777" w:rsidR="0041616A" w:rsidRPr="0041616A" w:rsidRDefault="0041616A" w:rsidP="002374A8">
      <w:pPr>
        <w:ind w:hanging="720"/>
        <w:textAlignment w:val="baseline"/>
        <w:rPr>
          <w:rFonts w:ascii="Verdana" w:eastAsia="Times New Roman" w:hAnsi="Verdana" w:cs="Segoe UI"/>
          <w:sz w:val="18"/>
          <w:szCs w:val="18"/>
          <w:lang w:val="en-US" w:eastAsia="en-GB"/>
        </w:rPr>
      </w:pPr>
    </w:p>
    <w:p w14:paraId="04CA332D" w14:textId="77777777" w:rsidR="0041616A" w:rsidRPr="0041616A" w:rsidRDefault="0041616A" w:rsidP="002374A8">
      <w:pPr>
        <w:pStyle w:val="ListParagraph"/>
        <w:numPr>
          <w:ilvl w:val="0"/>
          <w:numId w:val="9"/>
        </w:numPr>
        <w:ind w:hanging="720"/>
        <w:textAlignment w:val="baseline"/>
        <w:rPr>
          <w:rFonts w:ascii="Verdana" w:eastAsia="Times New Roman" w:hAnsi="Verdana" w:cs="Segoe UI"/>
          <w:lang w:val="en" w:eastAsia="en-GB"/>
        </w:rPr>
      </w:pPr>
      <w:r w:rsidRPr="0041616A">
        <w:rPr>
          <w:rFonts w:ascii="Verdana" w:eastAsia="Times New Roman" w:hAnsi="Verdana" w:cs="Segoe UI"/>
          <w:lang w:val="en" w:eastAsia="en-GB"/>
        </w:rPr>
        <w:t xml:space="preserve">This submission follows the format proposed by the Joint Committee, dealing with each posed question in turn. </w:t>
      </w:r>
      <w:r w:rsidRPr="0041616A">
        <w:rPr>
          <w:rFonts w:ascii="Verdana" w:eastAsia="Times New Roman" w:hAnsi="Verdana" w:cs="Segoe UI"/>
          <w:lang w:val="en-US" w:eastAsia="en-GB"/>
        </w:rPr>
        <w:br/>
      </w:r>
    </w:p>
    <w:p w14:paraId="5C1A0662" w14:textId="77777777" w:rsidR="0041616A" w:rsidRPr="00FA165E" w:rsidRDefault="0041616A" w:rsidP="00FA165E">
      <w:pPr>
        <w:pStyle w:val="Heading1"/>
        <w:rPr>
          <w:rFonts w:ascii="Verdana" w:hAnsi="Verdana"/>
          <w:b/>
          <w:color w:val="7030A0"/>
          <w:sz w:val="30"/>
          <w:szCs w:val="30"/>
          <w:lang w:val="en-US" w:eastAsia="en-GB"/>
        </w:rPr>
      </w:pPr>
      <w:bookmarkStart w:id="2" w:name="_Toc81825067"/>
      <w:r w:rsidRPr="00FA165E">
        <w:rPr>
          <w:rFonts w:ascii="Verdana" w:hAnsi="Verdana"/>
          <w:b/>
          <w:color w:val="7030A0"/>
          <w:sz w:val="30"/>
          <w:szCs w:val="30"/>
          <w:lang w:eastAsia="en-GB"/>
        </w:rPr>
        <w:t>Does the proposed Remedial Order meet the procedural conditions for making a Remedial Order?</w:t>
      </w:r>
      <w:bookmarkEnd w:id="2"/>
      <w:r w:rsidRPr="00FA165E">
        <w:rPr>
          <w:rFonts w:ascii="Verdana" w:hAnsi="Verdana"/>
          <w:b/>
          <w:color w:val="7030A0"/>
          <w:sz w:val="30"/>
          <w:szCs w:val="30"/>
          <w:lang w:eastAsia="en-GB"/>
        </w:rPr>
        <w:t> </w:t>
      </w:r>
    </w:p>
    <w:p w14:paraId="6D73D0EA" w14:textId="77777777" w:rsidR="0041616A" w:rsidRPr="0041616A" w:rsidRDefault="0041616A" w:rsidP="002374A8">
      <w:pPr>
        <w:ind w:hanging="720"/>
        <w:textAlignment w:val="baseline"/>
        <w:rPr>
          <w:rFonts w:ascii="Verdana" w:eastAsia="Times New Roman" w:hAnsi="Verdana" w:cs="Segoe UI"/>
          <w:color w:val="000000"/>
          <w:lang w:eastAsia="en-GB"/>
        </w:rPr>
      </w:pPr>
    </w:p>
    <w:p w14:paraId="0F228FC1" w14:textId="77777777" w:rsidR="0041616A" w:rsidRPr="0041616A" w:rsidRDefault="0041616A" w:rsidP="002374A8">
      <w:pPr>
        <w:pStyle w:val="ListParagraph"/>
        <w:numPr>
          <w:ilvl w:val="0"/>
          <w:numId w:val="9"/>
        </w:numPr>
        <w:ind w:hanging="720"/>
        <w:textAlignment w:val="baseline"/>
        <w:rPr>
          <w:rFonts w:ascii="Verdana" w:eastAsia="Times New Roman" w:hAnsi="Verdana" w:cs="Segoe UI"/>
          <w:sz w:val="22"/>
          <w:szCs w:val="22"/>
          <w:lang w:eastAsia="en-GB"/>
        </w:rPr>
      </w:pPr>
      <w:r w:rsidRPr="0041616A">
        <w:rPr>
          <w:rFonts w:ascii="Verdana" w:eastAsia="Times New Roman" w:hAnsi="Verdana" w:cs="Segoe UI"/>
          <w:color w:val="000000"/>
          <w:lang w:eastAsia="en-GB"/>
        </w:rPr>
        <w:t xml:space="preserve">The Commission submits that the procedural conditions for making a remedial order are met. The Supreme Court in </w:t>
      </w:r>
      <w:r w:rsidRPr="0041616A">
        <w:rPr>
          <w:rFonts w:ascii="Verdana" w:eastAsia="Times New Roman" w:hAnsi="Verdana" w:cs="Segoe UI"/>
          <w:i/>
          <w:color w:val="000000"/>
          <w:lang w:eastAsia="en-GB"/>
        </w:rPr>
        <w:t>McLaughlin</w:t>
      </w:r>
      <w:r w:rsidRPr="0041616A">
        <w:rPr>
          <w:rFonts w:ascii="Verdana" w:eastAsia="Times New Roman" w:hAnsi="Verdana" w:cs="Segoe UI"/>
          <w:color w:val="000000"/>
          <w:lang w:eastAsia="en-GB"/>
        </w:rPr>
        <w:t xml:space="preserve"> made a declaration of incompatibility under Section 4(2) of the Human Rights Act 1998. It is right that this incompatibility with Article 14 ECHR should be rectified by way of a remedial order. </w:t>
      </w:r>
    </w:p>
    <w:p w14:paraId="3BF1A493" w14:textId="77777777" w:rsidR="0041616A" w:rsidRPr="0041616A" w:rsidRDefault="0041616A" w:rsidP="002374A8">
      <w:pPr>
        <w:ind w:hanging="720"/>
        <w:textAlignment w:val="baseline"/>
        <w:rPr>
          <w:rFonts w:ascii="Verdana" w:eastAsia="Times New Roman" w:hAnsi="Verdana" w:cs="Segoe UI"/>
          <w:sz w:val="18"/>
          <w:szCs w:val="18"/>
          <w:lang w:eastAsia="en-GB"/>
        </w:rPr>
      </w:pPr>
    </w:p>
    <w:p w14:paraId="40435D7D" w14:textId="77777777" w:rsidR="0041616A" w:rsidRPr="00FA165E" w:rsidRDefault="0041616A" w:rsidP="00FA165E">
      <w:pPr>
        <w:pStyle w:val="Heading1"/>
        <w:rPr>
          <w:rFonts w:ascii="Verdana" w:hAnsi="Verdana"/>
          <w:b/>
          <w:color w:val="7030A0"/>
          <w:sz w:val="30"/>
          <w:szCs w:val="30"/>
          <w:lang w:eastAsia="en-GB"/>
        </w:rPr>
      </w:pPr>
      <w:bookmarkStart w:id="3" w:name="_Toc81825068"/>
      <w:r w:rsidRPr="00FA165E">
        <w:rPr>
          <w:rFonts w:ascii="Verdana" w:hAnsi="Verdana"/>
          <w:b/>
          <w:color w:val="7030A0"/>
          <w:sz w:val="30"/>
          <w:szCs w:val="30"/>
          <w:lang w:eastAsia="en-GB"/>
        </w:rPr>
        <w:t>Does the proposed Remedial Order address the legislative incompatibility with Article 14 ECHR?</w:t>
      </w:r>
      <w:bookmarkEnd w:id="3"/>
      <w:r w:rsidRPr="00FA165E">
        <w:rPr>
          <w:rFonts w:ascii="Verdana" w:hAnsi="Verdana"/>
          <w:b/>
          <w:color w:val="7030A0"/>
          <w:sz w:val="30"/>
          <w:szCs w:val="30"/>
          <w:lang w:eastAsia="en-GB"/>
        </w:rPr>
        <w:t> </w:t>
      </w:r>
    </w:p>
    <w:p w14:paraId="73666630" w14:textId="77777777" w:rsidR="0041616A" w:rsidRPr="0041616A" w:rsidRDefault="0041616A" w:rsidP="002374A8">
      <w:pPr>
        <w:ind w:hanging="720"/>
        <w:textAlignment w:val="baseline"/>
        <w:rPr>
          <w:rFonts w:ascii="Verdana" w:eastAsia="Times New Roman" w:hAnsi="Verdana" w:cs="Segoe UI"/>
          <w:sz w:val="18"/>
          <w:szCs w:val="18"/>
          <w:lang w:val="en-US" w:eastAsia="en-GB"/>
        </w:rPr>
      </w:pPr>
    </w:p>
    <w:p w14:paraId="3A6B4137" w14:textId="77777777" w:rsidR="0041616A" w:rsidRPr="0041616A" w:rsidRDefault="0041616A" w:rsidP="002374A8">
      <w:pPr>
        <w:pStyle w:val="ListParagraph"/>
        <w:numPr>
          <w:ilvl w:val="0"/>
          <w:numId w:val="9"/>
        </w:numPr>
        <w:ind w:hanging="720"/>
        <w:textAlignment w:val="baseline"/>
        <w:rPr>
          <w:rFonts w:ascii="Verdana" w:eastAsia="Times New Roman" w:hAnsi="Verdana" w:cs="Segoe UI"/>
          <w:color w:val="000000"/>
          <w:lang w:val="en-US" w:eastAsia="en-GB"/>
        </w:rPr>
      </w:pPr>
      <w:r w:rsidRPr="0041616A">
        <w:rPr>
          <w:rFonts w:ascii="Verdana" w:eastAsia="Times New Roman" w:hAnsi="Verdana" w:cs="Segoe UI"/>
          <w:color w:val="000000"/>
          <w:lang w:val="en-US" w:eastAsia="en-GB"/>
        </w:rPr>
        <w:t xml:space="preserve">The proposed Remedial Order addresses the legislative incompatibility identified by the cases of </w:t>
      </w:r>
      <w:r w:rsidRPr="0041616A">
        <w:rPr>
          <w:rFonts w:ascii="Verdana" w:eastAsia="Times New Roman" w:hAnsi="Verdana" w:cs="Segoe UI"/>
          <w:i/>
          <w:color w:val="000000"/>
          <w:lang w:val="en-US" w:eastAsia="en-GB"/>
        </w:rPr>
        <w:t>McLaughlin</w:t>
      </w:r>
      <w:r w:rsidRPr="0041616A">
        <w:rPr>
          <w:rFonts w:ascii="Verdana" w:eastAsia="Times New Roman" w:hAnsi="Verdana" w:cs="Segoe UI"/>
          <w:color w:val="000000"/>
          <w:lang w:val="en-US" w:eastAsia="en-GB"/>
        </w:rPr>
        <w:t xml:space="preserve"> and </w:t>
      </w:r>
      <w:r w:rsidRPr="0041616A">
        <w:rPr>
          <w:rFonts w:ascii="Verdana" w:eastAsia="Times New Roman" w:hAnsi="Verdana" w:cs="Segoe UI"/>
          <w:i/>
          <w:color w:val="000000"/>
          <w:lang w:val="en-US" w:eastAsia="en-GB"/>
        </w:rPr>
        <w:t>Jackson</w:t>
      </w:r>
      <w:r w:rsidRPr="0041616A">
        <w:rPr>
          <w:rFonts w:ascii="Verdana" w:eastAsia="Times New Roman" w:hAnsi="Verdana" w:cs="Segoe UI"/>
          <w:color w:val="000000"/>
          <w:lang w:val="en-US" w:eastAsia="en-GB"/>
        </w:rPr>
        <w:t xml:space="preserve"> in part. A number of concerns remain which are addressed below.</w:t>
      </w:r>
    </w:p>
    <w:p w14:paraId="3FB1A589" w14:textId="77777777" w:rsidR="0041616A" w:rsidRPr="0041616A" w:rsidRDefault="0041616A" w:rsidP="002374A8">
      <w:pPr>
        <w:ind w:hanging="720"/>
        <w:textAlignment w:val="baseline"/>
        <w:rPr>
          <w:rFonts w:ascii="Verdana" w:eastAsia="Times New Roman" w:hAnsi="Verdana" w:cs="Segoe UI"/>
          <w:color w:val="000000"/>
          <w:lang w:val="en-US" w:eastAsia="en-GB"/>
        </w:rPr>
      </w:pPr>
    </w:p>
    <w:p w14:paraId="1D284859" w14:textId="77777777" w:rsidR="0041616A" w:rsidRPr="0041616A" w:rsidRDefault="0041616A" w:rsidP="002374A8">
      <w:pPr>
        <w:textAlignment w:val="baseline"/>
        <w:rPr>
          <w:rFonts w:ascii="Verdana" w:eastAsia="Times New Roman" w:hAnsi="Verdana" w:cs="Segoe UI"/>
          <w:b/>
          <w:color w:val="000000"/>
          <w:lang w:val="en-US" w:eastAsia="en-GB"/>
        </w:rPr>
      </w:pPr>
      <w:r w:rsidRPr="0041616A">
        <w:rPr>
          <w:rFonts w:ascii="Verdana" w:eastAsia="Times New Roman" w:hAnsi="Verdana" w:cs="Segoe UI"/>
          <w:b/>
          <w:color w:val="000000"/>
          <w:lang w:val="en-US" w:eastAsia="en-GB"/>
        </w:rPr>
        <w:t>Transitional provisions</w:t>
      </w:r>
    </w:p>
    <w:p w14:paraId="2D6C2E10" w14:textId="77777777" w:rsidR="0041616A" w:rsidRPr="0041616A" w:rsidRDefault="0041616A" w:rsidP="002374A8">
      <w:pPr>
        <w:ind w:hanging="720"/>
        <w:textAlignment w:val="baseline"/>
        <w:rPr>
          <w:rFonts w:ascii="Verdana" w:eastAsia="Times New Roman" w:hAnsi="Verdana" w:cs="Segoe UI"/>
          <w:color w:val="000000"/>
          <w:lang w:val="en-US" w:eastAsia="en-GB"/>
        </w:rPr>
      </w:pPr>
    </w:p>
    <w:p w14:paraId="2A2FEA57" w14:textId="77777777" w:rsidR="0041616A" w:rsidRPr="0041616A" w:rsidRDefault="0041616A" w:rsidP="002374A8">
      <w:pPr>
        <w:pStyle w:val="ListParagraph"/>
        <w:numPr>
          <w:ilvl w:val="0"/>
          <w:numId w:val="9"/>
        </w:numPr>
        <w:ind w:hanging="720"/>
        <w:textAlignment w:val="baseline"/>
        <w:rPr>
          <w:rFonts w:ascii="Verdana" w:eastAsia="Times New Roman" w:hAnsi="Verdana" w:cs="Segoe UI"/>
          <w:color w:val="000000"/>
          <w:lang w:val="en-US" w:eastAsia="en-GB"/>
        </w:rPr>
      </w:pPr>
      <w:r w:rsidRPr="0041616A">
        <w:rPr>
          <w:rFonts w:ascii="Verdana" w:eastAsia="Times New Roman" w:hAnsi="Verdana" w:cs="Segoe UI"/>
          <w:color w:val="000000"/>
          <w:lang w:val="en-US" w:eastAsia="en-GB"/>
        </w:rPr>
        <w:t xml:space="preserve">The Commission welcomes the 12-month window for claiming after the remedial order comes into force, but it is crucial that </w:t>
      </w:r>
      <w:r w:rsidR="002374A8">
        <w:rPr>
          <w:rFonts w:ascii="Verdana" w:eastAsia="Times New Roman" w:hAnsi="Verdana" w:cs="Segoe UI"/>
          <w:color w:val="000000"/>
          <w:lang w:val="en-US" w:eastAsia="en-GB"/>
        </w:rPr>
        <w:t xml:space="preserve">steps are taken by the Department to ensure that </w:t>
      </w:r>
      <w:r w:rsidRPr="0041616A">
        <w:rPr>
          <w:rFonts w:ascii="Verdana" w:eastAsia="Times New Roman" w:hAnsi="Verdana" w:cs="Segoe UI"/>
          <w:color w:val="000000"/>
          <w:lang w:val="en-US" w:eastAsia="en-GB"/>
        </w:rPr>
        <w:t xml:space="preserve">prospective claimants are made aware of the changes. </w:t>
      </w:r>
    </w:p>
    <w:p w14:paraId="0B3DCCDF" w14:textId="77777777" w:rsidR="0041616A" w:rsidRPr="0041616A" w:rsidRDefault="0041616A" w:rsidP="002374A8">
      <w:pPr>
        <w:ind w:hanging="720"/>
        <w:textAlignment w:val="baseline"/>
        <w:rPr>
          <w:rFonts w:ascii="Verdana" w:eastAsia="Times New Roman" w:hAnsi="Verdana" w:cs="Segoe UI"/>
          <w:color w:val="000000"/>
          <w:lang w:val="en-US" w:eastAsia="en-GB"/>
        </w:rPr>
      </w:pPr>
    </w:p>
    <w:p w14:paraId="5CE94281" w14:textId="77777777" w:rsidR="0041616A" w:rsidRPr="002374A8" w:rsidRDefault="0041616A" w:rsidP="002374A8">
      <w:pPr>
        <w:pStyle w:val="ListParagraph"/>
        <w:numPr>
          <w:ilvl w:val="0"/>
          <w:numId w:val="9"/>
        </w:numPr>
        <w:ind w:hanging="720"/>
        <w:textAlignment w:val="baseline"/>
        <w:rPr>
          <w:rFonts w:ascii="Verdana" w:eastAsia="Times New Roman" w:hAnsi="Verdana" w:cs="Segoe UI"/>
          <w:b/>
          <w:lang w:val="en-US" w:eastAsia="en-GB"/>
        </w:rPr>
      </w:pPr>
      <w:bookmarkStart w:id="4" w:name="_Hlk85212683"/>
      <w:r w:rsidRPr="0041616A">
        <w:rPr>
          <w:rFonts w:ascii="Verdana" w:eastAsia="Times New Roman" w:hAnsi="Verdana" w:cs="Segoe UI"/>
          <w:b/>
          <w:lang w:val="en-US" w:eastAsia="en-GB"/>
        </w:rPr>
        <w:lastRenderedPageBreak/>
        <w:t xml:space="preserve">The Commission recommends that the DWP and </w:t>
      </w:r>
      <w:proofErr w:type="spellStart"/>
      <w:r w:rsidRPr="0041616A">
        <w:rPr>
          <w:rFonts w:ascii="Verdana" w:eastAsia="Times New Roman" w:hAnsi="Verdana" w:cs="Segoe UI"/>
          <w:b/>
          <w:lang w:val="en-US" w:eastAsia="en-GB"/>
        </w:rPr>
        <w:t>DfC</w:t>
      </w:r>
      <w:proofErr w:type="spellEnd"/>
      <w:r w:rsidRPr="0041616A">
        <w:rPr>
          <w:rFonts w:ascii="Verdana" w:eastAsia="Times New Roman" w:hAnsi="Verdana" w:cs="Segoe UI"/>
          <w:b/>
          <w:lang w:val="en-US" w:eastAsia="en-GB"/>
        </w:rPr>
        <w:t xml:space="preserve"> take steps to identify and notify eligible families and to ensure, by way of a public awareness campaign, that people are aware that the rules have changed and of how to apply. </w:t>
      </w:r>
    </w:p>
    <w:bookmarkEnd w:id="4"/>
    <w:p w14:paraId="7BA9313E" w14:textId="77777777" w:rsidR="00FA165E" w:rsidRDefault="00FA165E" w:rsidP="002374A8">
      <w:pPr>
        <w:textAlignment w:val="baseline"/>
        <w:rPr>
          <w:rFonts w:ascii="Verdana" w:eastAsia="Times New Roman" w:hAnsi="Verdana" w:cs="Segoe UI"/>
          <w:b/>
          <w:color w:val="000000"/>
          <w:lang w:val="en-US" w:eastAsia="en-GB"/>
        </w:rPr>
      </w:pPr>
    </w:p>
    <w:p w14:paraId="24D30452" w14:textId="77777777" w:rsidR="0041616A" w:rsidRPr="0041616A" w:rsidRDefault="0041616A" w:rsidP="002374A8">
      <w:pPr>
        <w:textAlignment w:val="baseline"/>
        <w:rPr>
          <w:rFonts w:ascii="Verdana" w:eastAsia="Times New Roman" w:hAnsi="Verdana" w:cs="Segoe UI"/>
          <w:b/>
          <w:color w:val="000000"/>
          <w:lang w:val="en-US" w:eastAsia="en-GB"/>
        </w:rPr>
      </w:pPr>
      <w:r w:rsidRPr="0041616A">
        <w:rPr>
          <w:rFonts w:ascii="Verdana" w:eastAsia="Times New Roman" w:hAnsi="Verdana" w:cs="Segoe UI"/>
          <w:b/>
          <w:color w:val="000000"/>
          <w:lang w:val="en-US" w:eastAsia="en-GB"/>
        </w:rPr>
        <w:t>Retrospectivity</w:t>
      </w:r>
    </w:p>
    <w:p w14:paraId="4E598DBD" w14:textId="77777777" w:rsidR="0041616A" w:rsidRPr="0041616A" w:rsidRDefault="0041616A" w:rsidP="002374A8">
      <w:pPr>
        <w:ind w:hanging="720"/>
        <w:textAlignment w:val="baseline"/>
        <w:rPr>
          <w:rFonts w:ascii="Verdana" w:eastAsia="Times New Roman" w:hAnsi="Verdana" w:cs="Segoe UI"/>
          <w:color w:val="000000"/>
          <w:lang w:val="en-US" w:eastAsia="en-GB"/>
        </w:rPr>
      </w:pPr>
    </w:p>
    <w:p w14:paraId="5C9F5E3B" w14:textId="77777777" w:rsidR="0041616A" w:rsidRPr="008D0E66" w:rsidRDefault="0041616A" w:rsidP="008D0E66">
      <w:pPr>
        <w:pStyle w:val="ListParagraph"/>
        <w:numPr>
          <w:ilvl w:val="0"/>
          <w:numId w:val="9"/>
        </w:numPr>
        <w:ind w:hanging="720"/>
        <w:textAlignment w:val="baseline"/>
        <w:rPr>
          <w:rFonts w:ascii="Verdana" w:eastAsia="Times New Roman" w:hAnsi="Verdana" w:cs="Segoe UI"/>
          <w:color w:val="000000"/>
          <w:lang w:val="en-US" w:eastAsia="en-GB"/>
        </w:rPr>
      </w:pPr>
      <w:r w:rsidRPr="0041616A">
        <w:rPr>
          <w:rFonts w:ascii="Verdana" w:eastAsia="Times New Roman" w:hAnsi="Verdana" w:cs="Segoe UI"/>
          <w:color w:val="000000"/>
          <w:lang w:val="en-US" w:eastAsia="en-GB"/>
        </w:rPr>
        <w:t>While the Commission welcomes that the proposed Remedial Order is retrospective, and therefore provides some families with a remedy, it is concerned that this is not sufficient to provide full remedy for those families bereaved before 30 August 2018. The most notable example being Siobhan McLaughlin, who endured the time and burden of challenging the discriminatory provisions and yet, unlike those bereaved after her, will not receive a full remedy</w:t>
      </w:r>
      <w:r w:rsidR="008D0E66">
        <w:rPr>
          <w:rFonts w:ascii="Verdana" w:eastAsia="Times New Roman" w:hAnsi="Verdana" w:cs="Segoe UI"/>
          <w:color w:val="000000"/>
          <w:lang w:val="en-US" w:eastAsia="en-GB"/>
        </w:rPr>
        <w:t>.</w:t>
      </w:r>
    </w:p>
    <w:p w14:paraId="68EEDDB7" w14:textId="77777777" w:rsidR="0041616A" w:rsidRPr="0041616A" w:rsidRDefault="0041616A" w:rsidP="002374A8">
      <w:pPr>
        <w:ind w:hanging="720"/>
        <w:textAlignment w:val="baseline"/>
        <w:rPr>
          <w:rFonts w:ascii="Verdana" w:eastAsia="Times New Roman" w:hAnsi="Verdana" w:cs="Segoe UI"/>
          <w:color w:val="000000"/>
          <w:lang w:val="en-US" w:eastAsia="en-GB"/>
        </w:rPr>
      </w:pPr>
    </w:p>
    <w:p w14:paraId="2EBC9EFB" w14:textId="77777777" w:rsidR="0041616A" w:rsidRPr="008D0E66" w:rsidRDefault="0041616A" w:rsidP="008D0E66">
      <w:pPr>
        <w:pStyle w:val="ListParagraph"/>
        <w:numPr>
          <w:ilvl w:val="0"/>
          <w:numId w:val="9"/>
        </w:numPr>
        <w:ind w:hanging="720"/>
        <w:textAlignment w:val="baseline"/>
        <w:rPr>
          <w:rFonts w:ascii="Verdana" w:eastAsia="Times New Roman" w:hAnsi="Verdana" w:cs="Segoe UI"/>
          <w:color w:val="000000"/>
          <w:lang w:val="en-US" w:eastAsia="en-GB"/>
        </w:rPr>
      </w:pPr>
      <w:r w:rsidRPr="0041616A">
        <w:rPr>
          <w:rFonts w:ascii="Verdana" w:eastAsia="Times New Roman" w:hAnsi="Verdana" w:cs="Segoe UI"/>
          <w:color w:val="000000"/>
          <w:lang w:val="en-US" w:eastAsia="en-GB"/>
        </w:rPr>
        <w:t>Siobhan McLaughlin’s partner died in January 2014</w:t>
      </w:r>
      <w:r w:rsidR="00BB4306">
        <w:rPr>
          <w:rFonts w:ascii="Verdana" w:eastAsia="Times New Roman" w:hAnsi="Verdana" w:cs="Segoe UI"/>
          <w:color w:val="000000"/>
          <w:lang w:val="en-US" w:eastAsia="en-GB"/>
        </w:rPr>
        <w:t xml:space="preserve">. Her </w:t>
      </w:r>
      <w:r w:rsidRPr="0041616A">
        <w:rPr>
          <w:rFonts w:ascii="Verdana" w:eastAsia="Times New Roman" w:hAnsi="Verdana" w:cs="Segoe UI"/>
          <w:color w:val="000000"/>
          <w:lang w:val="en-US" w:eastAsia="en-GB"/>
        </w:rPr>
        <w:t xml:space="preserve">claim for widowed parents allowance was refused, </w:t>
      </w:r>
      <w:r w:rsidR="00BB4306">
        <w:rPr>
          <w:rFonts w:ascii="Verdana" w:eastAsia="Times New Roman" w:hAnsi="Verdana" w:cs="Segoe UI"/>
          <w:color w:val="000000"/>
          <w:lang w:val="en-US" w:eastAsia="en-GB"/>
        </w:rPr>
        <w:t>which she challenged by way of</w:t>
      </w:r>
      <w:r w:rsidRPr="0041616A">
        <w:rPr>
          <w:rFonts w:ascii="Verdana" w:eastAsia="Times New Roman" w:hAnsi="Verdana" w:cs="Segoe UI"/>
          <w:color w:val="000000"/>
          <w:lang w:val="en-US" w:eastAsia="en-GB"/>
        </w:rPr>
        <w:t xml:space="preserve"> judicial review. </w:t>
      </w:r>
      <w:r w:rsidR="008D0E66">
        <w:rPr>
          <w:rFonts w:ascii="Verdana" w:eastAsia="Times New Roman" w:hAnsi="Verdana" w:cs="Segoe UI"/>
          <w:color w:val="000000"/>
          <w:lang w:val="en-US" w:eastAsia="en-GB"/>
        </w:rPr>
        <w:t xml:space="preserve">If the Order only applies back to August 2018, it will be some four years of payments short of a full remedy. </w:t>
      </w:r>
      <w:r w:rsidRPr="008D0E66">
        <w:rPr>
          <w:rFonts w:ascii="Verdana" w:eastAsia="Times New Roman" w:hAnsi="Verdana" w:cs="Segoe UI"/>
          <w:color w:val="000000"/>
          <w:lang w:val="en-US" w:eastAsia="en-GB"/>
        </w:rPr>
        <w:t xml:space="preserve">The Commission submits that </w:t>
      </w:r>
      <w:r w:rsidR="008D0E66" w:rsidRPr="008D0E66">
        <w:rPr>
          <w:rFonts w:ascii="Verdana" w:eastAsia="Times New Roman" w:hAnsi="Verdana" w:cs="Segoe UI"/>
          <w:color w:val="000000"/>
          <w:lang w:val="en-US" w:eastAsia="en-GB"/>
        </w:rPr>
        <w:t>in her case</w:t>
      </w:r>
      <w:r w:rsidRPr="008D0E66">
        <w:rPr>
          <w:rFonts w:ascii="Verdana" w:eastAsia="Times New Roman" w:hAnsi="Verdana" w:cs="Segoe UI"/>
          <w:color w:val="000000"/>
          <w:lang w:val="en-US" w:eastAsia="en-GB"/>
        </w:rPr>
        <w:t xml:space="preserve">, retrospectivity should be to the date of her partner’s death in January 2014. </w:t>
      </w:r>
    </w:p>
    <w:p w14:paraId="152BD36F" w14:textId="77777777" w:rsidR="008D0E66" w:rsidRDefault="008D0E66" w:rsidP="008D0E66">
      <w:pPr>
        <w:pStyle w:val="ListParagraph"/>
        <w:rPr>
          <w:rFonts w:ascii="Verdana" w:eastAsia="Times New Roman" w:hAnsi="Verdana" w:cs="Segoe UI"/>
          <w:color w:val="000000"/>
          <w:lang w:val="en-US" w:eastAsia="en-GB"/>
        </w:rPr>
      </w:pPr>
    </w:p>
    <w:p w14:paraId="4D5B1168" w14:textId="77777777" w:rsidR="008D0E66" w:rsidRPr="008D0E66" w:rsidRDefault="008D0E66" w:rsidP="008D0E66">
      <w:pPr>
        <w:pStyle w:val="ListParagraph"/>
        <w:numPr>
          <w:ilvl w:val="0"/>
          <w:numId w:val="9"/>
        </w:numPr>
        <w:ind w:hanging="720"/>
        <w:rPr>
          <w:rFonts w:ascii="Verdana" w:eastAsia="Times New Roman" w:hAnsi="Verdana" w:cs="Segoe UI"/>
          <w:color w:val="000000"/>
          <w:lang w:val="en-US" w:eastAsia="en-GB"/>
        </w:rPr>
      </w:pPr>
      <w:r w:rsidRPr="008D0E66">
        <w:rPr>
          <w:rFonts w:ascii="Verdana" w:eastAsia="Times New Roman" w:hAnsi="Verdana" w:cs="Segoe UI"/>
          <w:color w:val="000000"/>
          <w:lang w:val="en-US" w:eastAsia="en-GB"/>
        </w:rPr>
        <w:t xml:space="preserve">Under Schedule 2, para 1(1)(d) of the Human Rights Act 1998, a remedial order may “make different provision for different cases”. The Commission considers that there are good reasons for providing different dates of retrospectivity in order to ensure that those, such as </w:t>
      </w:r>
      <w:proofErr w:type="spellStart"/>
      <w:r w:rsidRPr="008D0E66">
        <w:rPr>
          <w:rFonts w:ascii="Verdana" w:eastAsia="Times New Roman" w:hAnsi="Verdana" w:cs="Segoe UI"/>
          <w:color w:val="000000"/>
          <w:lang w:val="en-US" w:eastAsia="en-GB"/>
        </w:rPr>
        <w:t>Ms</w:t>
      </w:r>
      <w:proofErr w:type="spellEnd"/>
      <w:r w:rsidRPr="008D0E66">
        <w:rPr>
          <w:rFonts w:ascii="Verdana" w:eastAsia="Times New Roman" w:hAnsi="Verdana" w:cs="Segoe UI"/>
          <w:color w:val="000000"/>
          <w:lang w:val="en-US" w:eastAsia="en-GB"/>
        </w:rPr>
        <w:t xml:space="preserve"> McLaughlin are able to access a full remedy.  </w:t>
      </w:r>
    </w:p>
    <w:p w14:paraId="39B79295" w14:textId="77777777" w:rsidR="0041616A" w:rsidRPr="0041616A" w:rsidRDefault="0041616A" w:rsidP="002374A8">
      <w:pPr>
        <w:ind w:hanging="720"/>
        <w:textAlignment w:val="baseline"/>
        <w:rPr>
          <w:rFonts w:ascii="Verdana" w:eastAsia="Times New Roman" w:hAnsi="Verdana" w:cs="Segoe UI"/>
          <w:color w:val="000000"/>
          <w:lang w:val="en-US" w:eastAsia="en-GB"/>
        </w:rPr>
      </w:pPr>
    </w:p>
    <w:p w14:paraId="527F22C3" w14:textId="77777777" w:rsidR="0041616A" w:rsidRPr="0041616A" w:rsidRDefault="0041616A" w:rsidP="002374A8">
      <w:pPr>
        <w:pStyle w:val="ListParagraph"/>
        <w:numPr>
          <w:ilvl w:val="0"/>
          <w:numId w:val="9"/>
        </w:numPr>
        <w:ind w:hanging="720"/>
        <w:textAlignment w:val="baseline"/>
        <w:rPr>
          <w:rFonts w:ascii="Verdana" w:eastAsia="Times New Roman" w:hAnsi="Verdana" w:cs="Segoe UI"/>
          <w:lang w:val="en-US" w:eastAsia="en-GB"/>
        </w:rPr>
      </w:pPr>
      <w:bookmarkStart w:id="5" w:name="_Hlk85212724"/>
      <w:r w:rsidRPr="0041616A">
        <w:rPr>
          <w:rFonts w:ascii="Verdana" w:eastAsia="Times New Roman" w:hAnsi="Verdana" w:cs="Segoe UI"/>
          <w:b/>
          <w:lang w:val="en-US" w:eastAsia="en-GB"/>
        </w:rPr>
        <w:t xml:space="preserve">The Commission recommends that for Siobhan McLaughlin, a full remedy is provided to her and the payment is retrospective from her </w:t>
      </w:r>
      <w:r w:rsidR="00BB4306" w:rsidRPr="0041616A">
        <w:rPr>
          <w:rFonts w:ascii="Verdana" w:eastAsia="Times New Roman" w:hAnsi="Verdana" w:cs="Segoe UI"/>
          <w:b/>
          <w:lang w:val="en-US" w:eastAsia="en-GB"/>
        </w:rPr>
        <w:t>partner’s</w:t>
      </w:r>
      <w:r w:rsidRPr="0041616A">
        <w:rPr>
          <w:rFonts w:ascii="Verdana" w:eastAsia="Times New Roman" w:hAnsi="Verdana" w:cs="Segoe UI"/>
          <w:b/>
          <w:lang w:val="en-US" w:eastAsia="en-GB"/>
        </w:rPr>
        <w:t xml:space="preserve"> death in January 2014. </w:t>
      </w:r>
    </w:p>
    <w:bookmarkEnd w:id="5"/>
    <w:p w14:paraId="72657B5D" w14:textId="77777777" w:rsidR="0041616A" w:rsidRPr="0041616A" w:rsidRDefault="0041616A" w:rsidP="002374A8">
      <w:pPr>
        <w:ind w:hanging="720"/>
        <w:textAlignment w:val="baseline"/>
        <w:rPr>
          <w:rFonts w:ascii="Verdana" w:eastAsia="Times New Roman" w:hAnsi="Verdana" w:cs="Segoe UI"/>
          <w:color w:val="000000"/>
          <w:lang w:val="en-US" w:eastAsia="en-GB"/>
        </w:rPr>
      </w:pPr>
    </w:p>
    <w:p w14:paraId="3A3A8789" w14:textId="77777777" w:rsidR="0041616A" w:rsidRPr="0041616A" w:rsidRDefault="00BB4306" w:rsidP="002374A8">
      <w:pPr>
        <w:pStyle w:val="ListParagraph"/>
        <w:numPr>
          <w:ilvl w:val="0"/>
          <w:numId w:val="9"/>
        </w:numPr>
        <w:ind w:hanging="720"/>
        <w:textAlignment w:val="baseline"/>
        <w:rPr>
          <w:rFonts w:ascii="Verdana" w:eastAsia="Times New Roman" w:hAnsi="Verdana" w:cs="Segoe UI"/>
          <w:color w:val="000000"/>
          <w:lang w:val="en-US" w:eastAsia="en-GB"/>
        </w:rPr>
      </w:pPr>
      <w:r>
        <w:rPr>
          <w:rFonts w:ascii="Verdana" w:eastAsia="Times New Roman" w:hAnsi="Verdana" w:cs="Segoe UI"/>
          <w:color w:val="000000"/>
          <w:lang w:val="en-US" w:eastAsia="en-GB"/>
        </w:rPr>
        <w:t xml:space="preserve">The </w:t>
      </w:r>
      <w:r w:rsidR="0041616A" w:rsidRPr="0041616A">
        <w:rPr>
          <w:rFonts w:ascii="Verdana" w:eastAsia="Times New Roman" w:hAnsi="Verdana" w:cs="Segoe UI"/>
          <w:color w:val="000000"/>
          <w:lang w:val="en-US" w:eastAsia="en-GB"/>
        </w:rPr>
        <w:t xml:space="preserve">Commission is aware that there may be other families who were bereaved before August 2018. Such families might have claimed this benefit, following the High Court judgment in 2016 and might therefore have expected to have been eligible for the benefit from that date. </w:t>
      </w:r>
    </w:p>
    <w:p w14:paraId="726E6A35" w14:textId="77777777" w:rsidR="0041616A" w:rsidRPr="0041616A" w:rsidRDefault="0041616A" w:rsidP="002374A8">
      <w:pPr>
        <w:ind w:hanging="720"/>
        <w:textAlignment w:val="baseline"/>
        <w:rPr>
          <w:rFonts w:ascii="Verdana" w:eastAsia="Times New Roman" w:hAnsi="Verdana" w:cs="Segoe UI"/>
          <w:color w:val="000000"/>
          <w:lang w:val="en-US" w:eastAsia="en-GB"/>
        </w:rPr>
      </w:pPr>
    </w:p>
    <w:p w14:paraId="10ED727C" w14:textId="60FD511A" w:rsidR="0041616A" w:rsidRDefault="0041616A" w:rsidP="00BB4306">
      <w:pPr>
        <w:pStyle w:val="ListParagraph"/>
        <w:numPr>
          <w:ilvl w:val="0"/>
          <w:numId w:val="9"/>
        </w:numPr>
        <w:ind w:hanging="720"/>
        <w:textAlignment w:val="baseline"/>
        <w:rPr>
          <w:rFonts w:ascii="Verdana" w:eastAsia="Times New Roman" w:hAnsi="Verdana" w:cs="Segoe UI"/>
          <w:b/>
          <w:lang w:val="en-US" w:eastAsia="en-GB"/>
        </w:rPr>
      </w:pPr>
      <w:r w:rsidRPr="0041616A">
        <w:rPr>
          <w:rFonts w:ascii="Verdana" w:eastAsia="Times New Roman" w:hAnsi="Verdana" w:cs="Segoe UI"/>
          <w:b/>
          <w:lang w:val="en-US" w:eastAsia="en-GB"/>
        </w:rPr>
        <w:t xml:space="preserve">Whilst the Commission welcomes the retrospective nature of the proposed Remedial Order, the JCHR should consider those families bereaved before 2018. In particular the JCHR might consider that retrospectivity from the date of the High Court judgment to be a </w:t>
      </w:r>
      <w:proofErr w:type="gramStart"/>
      <w:r w:rsidRPr="0041616A">
        <w:rPr>
          <w:rFonts w:ascii="Verdana" w:eastAsia="Times New Roman" w:hAnsi="Verdana" w:cs="Segoe UI"/>
          <w:b/>
          <w:lang w:val="en-US" w:eastAsia="en-GB"/>
        </w:rPr>
        <w:t>more fair and just</w:t>
      </w:r>
      <w:proofErr w:type="gramEnd"/>
      <w:r w:rsidRPr="0041616A">
        <w:rPr>
          <w:rFonts w:ascii="Verdana" w:eastAsia="Times New Roman" w:hAnsi="Verdana" w:cs="Segoe UI"/>
          <w:b/>
          <w:lang w:val="en-US" w:eastAsia="en-GB"/>
        </w:rPr>
        <w:t xml:space="preserve"> outcome for families who made their claims </w:t>
      </w:r>
      <w:r w:rsidR="00BB4306">
        <w:rPr>
          <w:rFonts w:ascii="Verdana" w:eastAsia="Times New Roman" w:hAnsi="Verdana" w:cs="Segoe UI"/>
          <w:b/>
          <w:lang w:val="en-US" w:eastAsia="en-GB"/>
        </w:rPr>
        <w:t>based on the judgment</w:t>
      </w:r>
      <w:r w:rsidRPr="0041616A">
        <w:rPr>
          <w:rFonts w:ascii="Verdana" w:eastAsia="Times New Roman" w:hAnsi="Verdana" w:cs="Segoe UI"/>
          <w:b/>
          <w:lang w:val="en-US" w:eastAsia="en-GB"/>
        </w:rPr>
        <w:t xml:space="preserve">.  </w:t>
      </w:r>
    </w:p>
    <w:p w14:paraId="06EB21B0" w14:textId="77777777" w:rsidR="00575C93" w:rsidRPr="00575C93" w:rsidRDefault="00575C93" w:rsidP="00575C93">
      <w:pPr>
        <w:pStyle w:val="ListParagraph"/>
        <w:rPr>
          <w:rFonts w:ascii="Verdana" w:eastAsia="Times New Roman" w:hAnsi="Verdana" w:cs="Segoe UI"/>
          <w:b/>
          <w:lang w:val="en-US" w:eastAsia="en-GB"/>
        </w:rPr>
      </w:pPr>
    </w:p>
    <w:p w14:paraId="711D2A42" w14:textId="553E5C60" w:rsidR="00575C93" w:rsidRDefault="00575C93" w:rsidP="00575C93">
      <w:pPr>
        <w:pStyle w:val="ListParagraph"/>
        <w:textAlignment w:val="baseline"/>
        <w:rPr>
          <w:rFonts w:ascii="Verdana" w:eastAsia="Times New Roman" w:hAnsi="Verdana" w:cs="Segoe UI"/>
          <w:b/>
          <w:lang w:val="en-US" w:eastAsia="en-GB"/>
        </w:rPr>
      </w:pPr>
    </w:p>
    <w:p w14:paraId="546AB9F2" w14:textId="77777777" w:rsidR="00575C93" w:rsidRPr="00BB4306" w:rsidRDefault="00575C93" w:rsidP="00575C93">
      <w:pPr>
        <w:pStyle w:val="ListParagraph"/>
        <w:textAlignment w:val="baseline"/>
        <w:rPr>
          <w:rFonts w:ascii="Verdana" w:eastAsia="Times New Roman" w:hAnsi="Verdana" w:cs="Segoe UI"/>
          <w:b/>
          <w:lang w:val="en-US" w:eastAsia="en-GB"/>
        </w:rPr>
      </w:pPr>
    </w:p>
    <w:p w14:paraId="004DC303" w14:textId="77777777" w:rsidR="0041616A" w:rsidRPr="0041616A" w:rsidRDefault="0041616A" w:rsidP="002374A8">
      <w:pPr>
        <w:pStyle w:val="ListParagraph"/>
        <w:textAlignment w:val="baseline"/>
        <w:rPr>
          <w:rFonts w:ascii="Verdana" w:eastAsia="Times New Roman" w:hAnsi="Verdana" w:cs="Segoe UI"/>
          <w:b/>
          <w:lang w:val="en-US" w:eastAsia="en-GB"/>
        </w:rPr>
      </w:pPr>
      <w:r w:rsidRPr="0041616A">
        <w:rPr>
          <w:rFonts w:ascii="Verdana" w:eastAsia="Times New Roman" w:hAnsi="Verdana" w:cs="Segoe UI"/>
          <w:b/>
          <w:lang w:val="en-US" w:eastAsia="en-GB"/>
        </w:rPr>
        <w:lastRenderedPageBreak/>
        <w:t>Delay</w:t>
      </w:r>
    </w:p>
    <w:p w14:paraId="423EF3E6" w14:textId="77777777" w:rsidR="0041616A" w:rsidRPr="0041616A" w:rsidRDefault="0041616A" w:rsidP="002374A8">
      <w:pPr>
        <w:ind w:hanging="720"/>
        <w:textAlignment w:val="baseline"/>
        <w:rPr>
          <w:rFonts w:ascii="Verdana" w:eastAsia="Times New Roman" w:hAnsi="Verdana" w:cs="Segoe UI"/>
          <w:b/>
          <w:lang w:val="en-US" w:eastAsia="en-GB"/>
        </w:rPr>
      </w:pPr>
    </w:p>
    <w:p w14:paraId="041FA609" w14:textId="05064BF5" w:rsidR="0041616A" w:rsidRPr="0041616A" w:rsidRDefault="0041616A" w:rsidP="002374A8">
      <w:pPr>
        <w:pStyle w:val="ListParagraph"/>
        <w:numPr>
          <w:ilvl w:val="0"/>
          <w:numId w:val="9"/>
        </w:numPr>
        <w:ind w:hanging="720"/>
        <w:textAlignment w:val="baseline"/>
        <w:rPr>
          <w:rFonts w:ascii="Verdana" w:eastAsia="Times New Roman" w:hAnsi="Verdana" w:cs="Book Antiqua"/>
          <w:color w:val="000000"/>
          <w:lang w:eastAsia="en-GB"/>
        </w:rPr>
      </w:pPr>
      <w:r w:rsidRPr="0041616A">
        <w:rPr>
          <w:rFonts w:ascii="Verdana" w:eastAsia="Times New Roman" w:hAnsi="Verdana" w:cs="Segoe UI"/>
          <w:lang w:val="en-US" w:eastAsia="en-GB"/>
        </w:rPr>
        <w:t xml:space="preserve">The Commission is concerned at the continuing implications of delay in rectifying the incompatibility; </w:t>
      </w:r>
      <w:r w:rsidR="00B614F2">
        <w:rPr>
          <w:rFonts w:ascii="Verdana" w:eastAsia="Times New Roman" w:hAnsi="Verdana" w:cs="Segoe UI"/>
          <w:lang w:val="en-US" w:eastAsia="en-GB"/>
        </w:rPr>
        <w:t>also</w:t>
      </w:r>
      <w:r w:rsidRPr="0041616A">
        <w:rPr>
          <w:rFonts w:ascii="Verdana" w:eastAsia="Times New Roman" w:hAnsi="Verdana" w:cs="Segoe UI"/>
          <w:lang w:val="en-US" w:eastAsia="en-GB"/>
        </w:rPr>
        <w:t xml:space="preserve"> shared by the Work and Pension Committee</w:t>
      </w:r>
      <w:r w:rsidR="00BB4306">
        <w:rPr>
          <w:rFonts w:ascii="Verdana" w:eastAsia="Times New Roman" w:hAnsi="Verdana" w:cs="Segoe UI"/>
          <w:lang w:val="en-US" w:eastAsia="en-GB"/>
        </w:rPr>
        <w:t>.</w:t>
      </w:r>
      <w:r w:rsidRPr="0041616A">
        <w:rPr>
          <w:vertAlign w:val="superscript"/>
          <w:lang w:val="en-US" w:eastAsia="en-GB"/>
        </w:rPr>
        <w:footnoteReference w:id="2"/>
      </w:r>
      <w:r w:rsidRPr="0041616A">
        <w:rPr>
          <w:rFonts w:ascii="Verdana" w:eastAsia="Times New Roman" w:hAnsi="Verdana" w:cs="Segoe UI"/>
          <w:lang w:val="en-US" w:eastAsia="en-GB"/>
        </w:rPr>
        <w:t xml:space="preserve"> </w:t>
      </w:r>
      <w:r w:rsidRPr="00B614F2">
        <w:rPr>
          <w:rFonts w:ascii="Verdana" w:eastAsia="Times New Roman" w:hAnsi="Verdana" w:cs="Book Antiqua"/>
          <w:color w:val="000000"/>
          <w:lang w:eastAsia="en-GB"/>
        </w:rPr>
        <w:t xml:space="preserve">The purpose of the benefit is to alleviate the financial </w:t>
      </w:r>
      <w:r w:rsidR="00BB4306" w:rsidRPr="00B614F2">
        <w:rPr>
          <w:rFonts w:ascii="Verdana" w:eastAsia="Times New Roman" w:hAnsi="Verdana" w:cs="Book Antiqua"/>
          <w:color w:val="000000"/>
          <w:lang w:eastAsia="en-GB"/>
        </w:rPr>
        <w:t xml:space="preserve">burden </w:t>
      </w:r>
      <w:r w:rsidRPr="00B614F2">
        <w:rPr>
          <w:rFonts w:ascii="Verdana" w:eastAsia="Times New Roman" w:hAnsi="Verdana" w:cs="Book Antiqua"/>
          <w:color w:val="000000"/>
          <w:lang w:eastAsia="en-GB"/>
        </w:rPr>
        <w:t xml:space="preserve">on a family with children following the death of a parent. </w:t>
      </w:r>
      <w:bookmarkStart w:id="6" w:name="_Hlk82694763"/>
      <w:r w:rsidRPr="00B614F2">
        <w:rPr>
          <w:rFonts w:ascii="Verdana" w:eastAsia="Times New Roman" w:hAnsi="Verdana" w:cs="Book Antiqua"/>
          <w:color w:val="000000"/>
          <w:lang w:eastAsia="en-GB"/>
        </w:rPr>
        <w:t>The</w:t>
      </w:r>
      <w:r w:rsidR="00B614F2" w:rsidRPr="00B614F2">
        <w:rPr>
          <w:rFonts w:ascii="Verdana" w:eastAsia="Times New Roman" w:hAnsi="Verdana" w:cs="Book Antiqua"/>
          <w:color w:val="000000"/>
          <w:lang w:eastAsia="en-GB"/>
        </w:rPr>
        <w:t xml:space="preserve"> inability of families to access this benefit,</w:t>
      </w:r>
      <w:r w:rsidRPr="00B614F2">
        <w:rPr>
          <w:rFonts w:ascii="Verdana" w:eastAsia="Times New Roman" w:hAnsi="Verdana" w:cs="Book Antiqua"/>
          <w:color w:val="000000"/>
          <w:lang w:eastAsia="en-GB"/>
        </w:rPr>
        <w:t xml:space="preserve"> </w:t>
      </w:r>
      <w:r w:rsidR="00D63D42">
        <w:rPr>
          <w:rFonts w:ascii="Verdana" w:eastAsia="Times New Roman" w:hAnsi="Verdana" w:cs="Book Antiqua"/>
          <w:color w:val="000000"/>
          <w:lang w:eastAsia="en-GB"/>
        </w:rPr>
        <w:t xml:space="preserve">in a timely manner, </w:t>
      </w:r>
      <w:r w:rsidRPr="00B614F2">
        <w:rPr>
          <w:rFonts w:ascii="Verdana" w:eastAsia="Times New Roman" w:hAnsi="Verdana" w:cs="Book Antiqua"/>
          <w:color w:val="000000"/>
          <w:lang w:eastAsia="en-GB"/>
        </w:rPr>
        <w:t>continues to have a detrimental impact upon bereaved children.</w:t>
      </w:r>
      <w:r w:rsidRPr="0041616A">
        <w:rPr>
          <w:rFonts w:ascii="Verdana" w:eastAsia="Times New Roman" w:hAnsi="Verdana" w:cs="Book Antiqua"/>
          <w:color w:val="000000"/>
          <w:lang w:eastAsia="en-GB"/>
        </w:rPr>
        <w:t xml:space="preserve"> </w:t>
      </w:r>
      <w:bookmarkEnd w:id="6"/>
    </w:p>
    <w:p w14:paraId="4D316336" w14:textId="77777777" w:rsidR="0041616A" w:rsidRPr="0041616A" w:rsidRDefault="0041616A" w:rsidP="002374A8">
      <w:pPr>
        <w:ind w:hanging="720"/>
        <w:textAlignment w:val="baseline"/>
        <w:rPr>
          <w:rFonts w:ascii="Verdana" w:eastAsia="Times New Roman" w:hAnsi="Verdana" w:cs="Segoe UI"/>
          <w:b/>
          <w:sz w:val="18"/>
          <w:szCs w:val="18"/>
          <w:lang w:val="en-US" w:eastAsia="en-GB"/>
        </w:rPr>
      </w:pPr>
    </w:p>
    <w:p w14:paraId="7AB7F471" w14:textId="77777777" w:rsidR="0041616A" w:rsidRPr="0041616A" w:rsidRDefault="0041616A" w:rsidP="002374A8">
      <w:pPr>
        <w:pStyle w:val="ListParagraph"/>
        <w:numPr>
          <w:ilvl w:val="0"/>
          <w:numId w:val="9"/>
        </w:numPr>
        <w:ind w:hanging="720"/>
        <w:textAlignment w:val="baseline"/>
        <w:rPr>
          <w:rFonts w:ascii="Verdana" w:eastAsia="Times New Roman" w:hAnsi="Verdana" w:cs="Segoe UI"/>
          <w:b/>
          <w:lang w:val="en-US" w:eastAsia="en-GB"/>
        </w:rPr>
      </w:pPr>
      <w:bookmarkStart w:id="7" w:name="_Hlk85212800"/>
      <w:r w:rsidRPr="0041616A">
        <w:rPr>
          <w:rFonts w:ascii="Verdana" w:eastAsia="Times New Roman" w:hAnsi="Verdana" w:cs="Segoe UI"/>
          <w:b/>
          <w:lang w:val="en-US" w:eastAsia="en-GB"/>
        </w:rPr>
        <w:t xml:space="preserve">The JCHR may wish to recommend allowing early payments for families, particularly where there is a pressing financial need. </w:t>
      </w:r>
    </w:p>
    <w:bookmarkEnd w:id="7"/>
    <w:p w14:paraId="7E298D7B" w14:textId="77777777" w:rsidR="00BB4306" w:rsidRDefault="00BB4306" w:rsidP="002374A8">
      <w:pPr>
        <w:pStyle w:val="Heading2"/>
        <w:rPr>
          <w:rFonts w:ascii="Verdana" w:hAnsi="Verdana"/>
          <w:b/>
          <w:color w:val="7030A0"/>
          <w:sz w:val="30"/>
          <w:szCs w:val="30"/>
          <w:lang w:eastAsia="en-GB"/>
        </w:rPr>
      </w:pPr>
    </w:p>
    <w:p w14:paraId="1B25A065" w14:textId="77777777" w:rsidR="0041616A" w:rsidRPr="00FA165E" w:rsidRDefault="0041616A" w:rsidP="00FA165E">
      <w:pPr>
        <w:pStyle w:val="Heading1"/>
        <w:rPr>
          <w:rFonts w:ascii="Verdana" w:hAnsi="Verdana"/>
          <w:b/>
          <w:color w:val="7030A0"/>
          <w:sz w:val="30"/>
          <w:szCs w:val="30"/>
          <w:lang w:eastAsia="en-GB"/>
        </w:rPr>
      </w:pPr>
      <w:bookmarkStart w:id="8" w:name="_Toc81825069"/>
      <w:r w:rsidRPr="00FA165E">
        <w:rPr>
          <w:rFonts w:ascii="Verdana" w:hAnsi="Verdana"/>
          <w:b/>
          <w:color w:val="7030A0"/>
          <w:sz w:val="30"/>
          <w:szCs w:val="30"/>
          <w:lang w:eastAsia="en-GB"/>
        </w:rPr>
        <w:t>Would the legislation governing Widowed Parent’s Allowance and Bereavement Support Payment be compatible with Article 14 ECHR if the changes proposed in the Remedial Order were made?</w:t>
      </w:r>
      <w:bookmarkEnd w:id="8"/>
      <w:r w:rsidRPr="00FA165E">
        <w:rPr>
          <w:rFonts w:ascii="Verdana" w:hAnsi="Verdana"/>
          <w:b/>
          <w:color w:val="7030A0"/>
          <w:sz w:val="30"/>
          <w:szCs w:val="30"/>
          <w:lang w:eastAsia="en-GB"/>
        </w:rPr>
        <w:t> </w:t>
      </w:r>
    </w:p>
    <w:p w14:paraId="0D870E26" w14:textId="77777777" w:rsidR="0041616A" w:rsidRPr="0041616A" w:rsidRDefault="0041616A" w:rsidP="002374A8">
      <w:pPr>
        <w:ind w:hanging="720"/>
        <w:textAlignment w:val="baseline"/>
        <w:rPr>
          <w:rFonts w:ascii="Verdana" w:eastAsia="Times New Roman" w:hAnsi="Verdana" w:cs="Segoe UI"/>
          <w:color w:val="000000"/>
          <w:lang w:eastAsia="en-GB"/>
        </w:rPr>
      </w:pPr>
    </w:p>
    <w:p w14:paraId="113677E9" w14:textId="77777777" w:rsidR="0041616A" w:rsidRPr="0041616A" w:rsidRDefault="0041616A" w:rsidP="002374A8">
      <w:pPr>
        <w:pStyle w:val="ListParagraph"/>
        <w:numPr>
          <w:ilvl w:val="0"/>
          <w:numId w:val="9"/>
        </w:numPr>
        <w:ind w:hanging="720"/>
        <w:textAlignment w:val="baseline"/>
        <w:rPr>
          <w:rFonts w:ascii="Verdana" w:eastAsia="Times New Roman" w:hAnsi="Verdana" w:cs="Segoe UI"/>
          <w:color w:val="000000"/>
          <w:lang w:eastAsia="en-GB"/>
        </w:rPr>
      </w:pPr>
      <w:r w:rsidRPr="0041616A">
        <w:rPr>
          <w:rFonts w:ascii="Verdana" w:eastAsia="Times New Roman" w:hAnsi="Verdana" w:cs="Segoe UI"/>
          <w:color w:val="000000"/>
          <w:lang w:eastAsia="en-GB"/>
        </w:rPr>
        <w:t xml:space="preserve">The Commission considers that the legislation governing </w:t>
      </w:r>
      <w:r w:rsidR="00BB4306">
        <w:rPr>
          <w:rFonts w:ascii="Verdana" w:eastAsia="Times New Roman" w:hAnsi="Verdana" w:cs="Segoe UI"/>
          <w:color w:val="000000"/>
          <w:lang w:eastAsia="en-GB"/>
        </w:rPr>
        <w:t>these payments will be</w:t>
      </w:r>
      <w:r w:rsidRPr="0041616A">
        <w:rPr>
          <w:rFonts w:ascii="Verdana" w:eastAsia="Times New Roman" w:hAnsi="Verdana" w:cs="Segoe UI"/>
          <w:color w:val="000000"/>
          <w:lang w:eastAsia="en-GB"/>
        </w:rPr>
        <w:t xml:space="preserve"> compatible with Article 14 ECHR as, once enacted, </w:t>
      </w:r>
      <w:r w:rsidR="00C337D3">
        <w:rPr>
          <w:rFonts w:ascii="Verdana" w:eastAsia="Times New Roman" w:hAnsi="Verdana" w:cs="Segoe UI"/>
          <w:color w:val="000000"/>
          <w:lang w:eastAsia="en-GB"/>
        </w:rPr>
        <w:t>it</w:t>
      </w:r>
      <w:r w:rsidRPr="0041616A">
        <w:rPr>
          <w:rFonts w:ascii="Verdana" w:eastAsia="Times New Roman" w:hAnsi="Verdana" w:cs="Segoe UI"/>
          <w:color w:val="000000"/>
          <w:lang w:eastAsia="en-GB"/>
        </w:rPr>
        <w:t xml:space="preserve"> will no longer discriminate against the children of unmarried, cohabiting parents. We are aware that the legislation may be open to further challenge </w:t>
      </w:r>
      <w:r w:rsidR="00C337D3">
        <w:rPr>
          <w:rFonts w:ascii="Verdana" w:eastAsia="Times New Roman" w:hAnsi="Verdana" w:cs="Segoe UI"/>
          <w:color w:val="000000"/>
          <w:lang w:eastAsia="en-GB"/>
        </w:rPr>
        <w:t xml:space="preserve">in respect of </w:t>
      </w:r>
      <w:r w:rsidRPr="0041616A">
        <w:rPr>
          <w:rFonts w:ascii="Verdana" w:eastAsia="Times New Roman" w:hAnsi="Verdana" w:cs="Segoe UI"/>
          <w:color w:val="000000"/>
          <w:lang w:eastAsia="en-GB"/>
        </w:rPr>
        <w:t xml:space="preserve">unmarried cohabiting partners without children, and children of parents who are neither married, civil partnered nor cohabiting. </w:t>
      </w:r>
    </w:p>
    <w:p w14:paraId="71A2F0A5" w14:textId="77777777" w:rsidR="0041616A" w:rsidRPr="0041616A" w:rsidRDefault="0041616A" w:rsidP="002374A8">
      <w:pPr>
        <w:ind w:hanging="720"/>
        <w:textAlignment w:val="baseline"/>
        <w:rPr>
          <w:rFonts w:ascii="Verdana" w:eastAsia="Times New Roman" w:hAnsi="Verdana" w:cs="Segoe UI"/>
          <w:color w:val="000000"/>
          <w:lang w:eastAsia="en-GB"/>
        </w:rPr>
      </w:pPr>
    </w:p>
    <w:p w14:paraId="12F6E354" w14:textId="77777777" w:rsidR="0041616A" w:rsidRPr="008D0E66" w:rsidRDefault="0041616A" w:rsidP="008D0E66">
      <w:pPr>
        <w:textAlignment w:val="baseline"/>
        <w:rPr>
          <w:rFonts w:ascii="Verdana" w:eastAsia="Times New Roman" w:hAnsi="Verdana" w:cs="Segoe UI"/>
          <w:b/>
          <w:color w:val="000000"/>
          <w:lang w:eastAsia="en-GB"/>
        </w:rPr>
      </w:pPr>
      <w:r w:rsidRPr="008D0E66">
        <w:rPr>
          <w:rFonts w:ascii="Verdana" w:eastAsia="Times New Roman" w:hAnsi="Verdana" w:cs="Segoe UI"/>
          <w:b/>
          <w:color w:val="000000"/>
          <w:lang w:eastAsia="en-GB"/>
        </w:rPr>
        <w:t>Unmarried, cohabiting partners without children</w:t>
      </w:r>
    </w:p>
    <w:p w14:paraId="247BCAE2" w14:textId="77777777" w:rsidR="0041616A" w:rsidRPr="0041616A" w:rsidRDefault="0041616A" w:rsidP="002374A8">
      <w:pPr>
        <w:ind w:hanging="720"/>
        <w:textAlignment w:val="baseline"/>
        <w:rPr>
          <w:rFonts w:ascii="Verdana" w:eastAsia="Times New Roman" w:hAnsi="Verdana" w:cs="Segoe UI"/>
          <w:color w:val="000000"/>
          <w:lang w:eastAsia="en-GB"/>
        </w:rPr>
      </w:pPr>
    </w:p>
    <w:p w14:paraId="3C2310E0" w14:textId="77777777" w:rsidR="0041616A" w:rsidRPr="0041616A" w:rsidRDefault="0041616A" w:rsidP="002374A8">
      <w:pPr>
        <w:pStyle w:val="ListParagraph"/>
        <w:numPr>
          <w:ilvl w:val="0"/>
          <w:numId w:val="9"/>
        </w:numPr>
        <w:ind w:hanging="720"/>
        <w:textAlignment w:val="baseline"/>
        <w:rPr>
          <w:rFonts w:ascii="Verdana" w:eastAsia="Times New Roman" w:hAnsi="Verdana" w:cs="Segoe UI"/>
          <w:color w:val="000000"/>
          <w:lang w:eastAsia="en-GB"/>
        </w:rPr>
      </w:pPr>
      <w:r w:rsidRPr="0041616A">
        <w:rPr>
          <w:rFonts w:ascii="Verdana" w:eastAsia="Times New Roman" w:hAnsi="Verdana" w:cs="Segoe UI"/>
          <w:color w:val="000000"/>
          <w:lang w:eastAsia="en-GB"/>
        </w:rPr>
        <w:t xml:space="preserve">The case of unmarried cohabiting partners may also give rise to a challenge under Article 14 ECHR. This is especially notable in the context of the Covid-19 pandemic, during which marriage ceremonies were restricted and in some cases prohibited, and a couple who wished to marry were legally precluded from doing so. Where one of the couple is now deceased, the surviving partner may be financially disadvantaged in not being eligible to claim bereavement support payment. Such a couple will suffer the same consequences as a couple who had been married or civil partnered. Although the incompatibility in </w:t>
      </w:r>
      <w:r w:rsidRPr="0041616A">
        <w:rPr>
          <w:rFonts w:ascii="Verdana" w:eastAsia="Times New Roman" w:hAnsi="Verdana" w:cs="Segoe UI"/>
          <w:i/>
          <w:color w:val="000000"/>
          <w:lang w:eastAsia="en-GB"/>
        </w:rPr>
        <w:t>McLaughlin</w:t>
      </w:r>
      <w:r w:rsidRPr="0041616A">
        <w:rPr>
          <w:rFonts w:ascii="Verdana" w:eastAsia="Times New Roman" w:hAnsi="Verdana" w:cs="Segoe UI"/>
          <w:color w:val="000000"/>
          <w:lang w:eastAsia="en-GB"/>
        </w:rPr>
        <w:t xml:space="preserve"> and subsequently </w:t>
      </w:r>
      <w:r w:rsidRPr="0041616A">
        <w:rPr>
          <w:rFonts w:ascii="Verdana" w:eastAsia="Times New Roman" w:hAnsi="Verdana" w:cs="Segoe UI"/>
          <w:i/>
          <w:color w:val="000000"/>
          <w:lang w:eastAsia="en-GB"/>
        </w:rPr>
        <w:t>Jackson</w:t>
      </w:r>
      <w:r w:rsidRPr="0041616A">
        <w:rPr>
          <w:rFonts w:ascii="Verdana" w:eastAsia="Times New Roman" w:hAnsi="Verdana" w:cs="Segoe UI"/>
          <w:color w:val="000000"/>
          <w:lang w:eastAsia="en-GB"/>
        </w:rPr>
        <w:t xml:space="preserve"> were identified in relation to the rights of children, the Commission considers that in certain circumstances a court may </w:t>
      </w:r>
      <w:r w:rsidRPr="0041616A">
        <w:rPr>
          <w:rFonts w:ascii="Verdana" w:eastAsia="Times New Roman" w:hAnsi="Verdana" w:cs="Segoe UI"/>
          <w:color w:val="000000"/>
          <w:lang w:eastAsia="en-GB"/>
        </w:rPr>
        <w:lastRenderedPageBreak/>
        <w:t xml:space="preserve">find a violation of Article 14 in relation to unmarried, cohabiting partners without children.  </w:t>
      </w:r>
    </w:p>
    <w:p w14:paraId="284B33DF" w14:textId="77777777" w:rsidR="0041616A" w:rsidRPr="0041616A" w:rsidRDefault="0041616A" w:rsidP="002374A8">
      <w:pPr>
        <w:ind w:hanging="720"/>
        <w:textAlignment w:val="baseline"/>
        <w:rPr>
          <w:rFonts w:ascii="Verdana" w:eastAsia="Times New Roman" w:hAnsi="Verdana" w:cs="Segoe UI"/>
          <w:color w:val="000000"/>
          <w:lang w:eastAsia="en-GB"/>
        </w:rPr>
      </w:pPr>
    </w:p>
    <w:p w14:paraId="6811CB53" w14:textId="77777777" w:rsidR="0041616A" w:rsidRPr="0041616A" w:rsidRDefault="0041616A" w:rsidP="002374A8">
      <w:pPr>
        <w:pStyle w:val="ListParagraph"/>
        <w:numPr>
          <w:ilvl w:val="0"/>
          <w:numId w:val="9"/>
        </w:numPr>
        <w:ind w:hanging="720"/>
        <w:textAlignment w:val="baseline"/>
        <w:rPr>
          <w:rFonts w:ascii="Verdana" w:eastAsia="Times New Roman" w:hAnsi="Verdana" w:cs="Segoe UI"/>
          <w:b/>
          <w:lang w:eastAsia="en-GB"/>
        </w:rPr>
      </w:pPr>
      <w:bookmarkStart w:id="9" w:name="_Hlk85212882"/>
      <w:r w:rsidRPr="0041616A">
        <w:rPr>
          <w:rFonts w:ascii="Verdana" w:eastAsia="Times New Roman" w:hAnsi="Verdana" w:cs="Segoe UI"/>
          <w:b/>
          <w:lang w:eastAsia="en-GB"/>
        </w:rPr>
        <w:t xml:space="preserve">The Commission recommends that consideration is given to extending the benefit to co-habiting partners who do not have children, or to those whose children have reached majority. </w:t>
      </w:r>
    </w:p>
    <w:bookmarkEnd w:id="9"/>
    <w:p w14:paraId="0DB21CC7" w14:textId="77777777" w:rsidR="0041616A" w:rsidRDefault="0041616A" w:rsidP="002374A8">
      <w:pPr>
        <w:textAlignment w:val="baseline"/>
        <w:rPr>
          <w:rFonts w:ascii="Verdana" w:eastAsia="Times New Roman" w:hAnsi="Verdana" w:cs="Segoe UI"/>
          <w:color w:val="000000"/>
          <w:lang w:eastAsia="en-GB"/>
        </w:rPr>
      </w:pPr>
    </w:p>
    <w:p w14:paraId="0506A7CF" w14:textId="77777777" w:rsidR="0041616A" w:rsidRDefault="0041616A" w:rsidP="002374A8">
      <w:pPr>
        <w:textAlignment w:val="baseline"/>
        <w:rPr>
          <w:rFonts w:ascii="Verdana" w:eastAsia="Times New Roman" w:hAnsi="Verdana" w:cs="Segoe UI"/>
          <w:color w:val="000000"/>
          <w:lang w:eastAsia="en-GB"/>
        </w:rPr>
      </w:pPr>
    </w:p>
    <w:p w14:paraId="6B605570" w14:textId="77777777" w:rsidR="0041616A" w:rsidRPr="0041616A" w:rsidRDefault="0041616A" w:rsidP="008D0E66">
      <w:pPr>
        <w:textAlignment w:val="baseline"/>
        <w:rPr>
          <w:rFonts w:ascii="Verdana" w:eastAsia="Times New Roman" w:hAnsi="Verdana" w:cs="Segoe UI"/>
          <w:b/>
          <w:lang w:eastAsia="en-GB"/>
        </w:rPr>
      </w:pPr>
      <w:r w:rsidRPr="0041616A">
        <w:rPr>
          <w:rFonts w:ascii="Verdana" w:eastAsia="Times New Roman" w:hAnsi="Verdana" w:cs="Segoe UI"/>
          <w:b/>
          <w:lang w:eastAsia="en-GB"/>
        </w:rPr>
        <w:t>Children of parents who were neither married, civil partnered nor cohabiting</w:t>
      </w:r>
    </w:p>
    <w:p w14:paraId="69BA8E17" w14:textId="77777777" w:rsidR="0041616A" w:rsidRPr="0041616A" w:rsidRDefault="0041616A" w:rsidP="002374A8">
      <w:pPr>
        <w:ind w:hanging="720"/>
        <w:textAlignment w:val="baseline"/>
        <w:rPr>
          <w:rFonts w:ascii="Verdana" w:eastAsia="Times New Roman" w:hAnsi="Verdana" w:cs="Segoe UI"/>
          <w:color w:val="000000"/>
          <w:lang w:eastAsia="en-GB"/>
        </w:rPr>
      </w:pPr>
    </w:p>
    <w:p w14:paraId="34E9F17B" w14:textId="77777777" w:rsidR="0041616A" w:rsidRPr="0041616A" w:rsidRDefault="0041616A" w:rsidP="002374A8">
      <w:pPr>
        <w:pStyle w:val="ListParagraph"/>
        <w:numPr>
          <w:ilvl w:val="0"/>
          <w:numId w:val="9"/>
        </w:numPr>
        <w:ind w:hanging="720"/>
        <w:textAlignment w:val="baseline"/>
        <w:rPr>
          <w:rFonts w:ascii="Verdana" w:eastAsia="Times New Roman" w:hAnsi="Verdana" w:cs="Segoe UI"/>
          <w:i/>
          <w:color w:val="000000"/>
          <w:lang w:eastAsia="en-GB"/>
        </w:rPr>
      </w:pPr>
      <w:r w:rsidRPr="0041616A">
        <w:rPr>
          <w:rFonts w:ascii="Verdana" w:eastAsia="Times New Roman" w:hAnsi="Verdana" w:cs="Segoe UI"/>
          <w:color w:val="000000"/>
          <w:lang w:eastAsia="en-GB"/>
        </w:rPr>
        <w:t xml:space="preserve">It is also possible that a claim may succeed on behalf of a child of parents who were not cohabiting, married or in a civil partnership at the date of a parent’s death. For example, a child whose parents may be divorced, in circumstances where the deceased parent made some contribution to their upkeep, for example by way of child maintenance payments. This was hinted at by the High Court in </w:t>
      </w:r>
      <w:r w:rsidRPr="0041616A">
        <w:rPr>
          <w:rFonts w:ascii="Verdana" w:eastAsia="Times New Roman" w:hAnsi="Verdana" w:cs="Segoe UI"/>
          <w:i/>
          <w:color w:val="000000"/>
          <w:lang w:eastAsia="en-GB"/>
        </w:rPr>
        <w:t>McLaughlin:</w:t>
      </w:r>
    </w:p>
    <w:p w14:paraId="0DE1CF75" w14:textId="77777777" w:rsidR="0041616A" w:rsidRPr="0041616A" w:rsidRDefault="0041616A" w:rsidP="002374A8">
      <w:pPr>
        <w:ind w:hanging="720"/>
        <w:textAlignment w:val="baseline"/>
        <w:rPr>
          <w:rFonts w:ascii="Verdana" w:eastAsia="Times New Roman" w:hAnsi="Verdana" w:cs="Segoe UI"/>
          <w:i/>
          <w:color w:val="000000"/>
          <w:lang w:eastAsia="en-GB"/>
        </w:rPr>
      </w:pPr>
    </w:p>
    <w:p w14:paraId="2AE071D4" w14:textId="77777777" w:rsidR="0041616A" w:rsidRPr="0041616A" w:rsidRDefault="0041616A" w:rsidP="00E43309">
      <w:pPr>
        <w:pStyle w:val="ListParagraph"/>
        <w:ind w:left="1134" w:right="798"/>
        <w:textAlignment w:val="baseline"/>
        <w:rPr>
          <w:rFonts w:ascii="Verdana" w:eastAsia="Times New Roman" w:hAnsi="Verdana" w:cs="Segoe UI"/>
          <w:i/>
          <w:color w:val="000000"/>
          <w:lang w:eastAsia="en-GB"/>
        </w:rPr>
      </w:pPr>
      <w:r w:rsidRPr="0041616A">
        <w:rPr>
          <w:rFonts w:ascii="Verdana" w:eastAsia="Times New Roman" w:hAnsi="Verdana" w:cs="Times New Roman"/>
          <w:lang w:eastAsia="en-GB"/>
        </w:rPr>
        <w:t>“</w:t>
      </w:r>
      <w:r w:rsidR="00E43309" w:rsidRPr="00E43309">
        <w:rPr>
          <w:rFonts w:ascii="Verdana" w:eastAsia="Times New Roman" w:hAnsi="Verdana" w:cs="Times New Roman"/>
          <w:lang w:eastAsia="en-GB"/>
        </w:rPr>
        <w:t xml:space="preserve">Parents are under the same or similar financial obligations regarding the maintenance of their children irrespective of whether they are married, in a civil partnership or cohabiting. The complete exclusion of the applicant on the grounds of her marital status from a benefit whose purpose is to alleviate the financial burden on a family resulting from the death of a parent cannot be justified. The rationale for the benefit applied equally to persons in the applicant’s position as it does to married widows with children. </w:t>
      </w:r>
      <w:r w:rsidRPr="0041616A">
        <w:rPr>
          <w:rFonts w:ascii="Verdana" w:eastAsia="Times New Roman" w:hAnsi="Verdana" w:cs="Times New Roman"/>
          <w:lang w:eastAsia="en-GB"/>
        </w:rPr>
        <w:t>The purpose of the benefit was to diminish the financial hardship on families consequent upon the death of one of the parents. Even allowing for the State’s margin of appreciation I do not consider that the exclusion of the applicant from Widowed Parent’s Allowance on the grounds of her marital status can be justified. Indeed, it may seem somewhat strange to rely, as a justification for the restriction, on the contention that it promotes the institution of marriage and civil partnership when parents, whatever the status of the relationship, owe the same or similar financial or legal duties towards their children. The restriction appears to be inimical to the interests of children.”</w:t>
      </w:r>
      <w:r w:rsidRPr="0041616A">
        <w:rPr>
          <w:vertAlign w:val="superscript"/>
          <w:lang w:eastAsia="en-GB"/>
        </w:rPr>
        <w:footnoteReference w:id="3"/>
      </w:r>
    </w:p>
    <w:p w14:paraId="7F7B9FF0" w14:textId="77777777" w:rsidR="0041616A" w:rsidRPr="0041616A" w:rsidRDefault="0041616A" w:rsidP="002374A8">
      <w:pPr>
        <w:ind w:hanging="720"/>
        <w:textAlignment w:val="baseline"/>
        <w:rPr>
          <w:rFonts w:ascii="Verdana" w:eastAsia="Times New Roman" w:hAnsi="Verdana" w:cs="Segoe UI"/>
          <w:i/>
          <w:color w:val="000000"/>
          <w:lang w:eastAsia="en-GB"/>
        </w:rPr>
      </w:pPr>
    </w:p>
    <w:p w14:paraId="44B3B6CB" w14:textId="77777777" w:rsidR="0041616A" w:rsidRPr="0041616A" w:rsidRDefault="0041616A" w:rsidP="002374A8">
      <w:pPr>
        <w:pStyle w:val="ListParagraph"/>
        <w:numPr>
          <w:ilvl w:val="0"/>
          <w:numId w:val="9"/>
        </w:numPr>
        <w:ind w:hanging="720"/>
        <w:textAlignment w:val="baseline"/>
        <w:rPr>
          <w:rFonts w:ascii="Verdana" w:eastAsia="Times New Roman" w:hAnsi="Verdana" w:cs="Segoe UI"/>
          <w:i/>
          <w:color w:val="000000"/>
          <w:lang w:eastAsia="en-GB"/>
        </w:rPr>
      </w:pPr>
      <w:r w:rsidRPr="0041616A">
        <w:rPr>
          <w:rFonts w:ascii="Verdana" w:eastAsia="Times New Roman" w:hAnsi="Verdana" w:cs="Segoe UI"/>
          <w:color w:val="000000"/>
          <w:lang w:eastAsia="en-GB"/>
        </w:rPr>
        <w:t xml:space="preserve">As Lady Hale pointed out in </w:t>
      </w:r>
      <w:r w:rsidRPr="0041616A">
        <w:rPr>
          <w:rFonts w:ascii="Verdana" w:eastAsia="Times New Roman" w:hAnsi="Verdana" w:cs="Segoe UI"/>
          <w:i/>
          <w:color w:val="000000"/>
          <w:lang w:eastAsia="en-GB"/>
        </w:rPr>
        <w:t xml:space="preserve">McLaughlin: </w:t>
      </w:r>
    </w:p>
    <w:p w14:paraId="3D786648" w14:textId="77777777" w:rsidR="0041616A" w:rsidRPr="0041616A" w:rsidRDefault="0041616A" w:rsidP="002374A8">
      <w:pPr>
        <w:ind w:hanging="720"/>
        <w:textAlignment w:val="baseline"/>
        <w:rPr>
          <w:rFonts w:ascii="Verdana" w:eastAsia="Times New Roman" w:hAnsi="Verdana" w:cs="Segoe UI"/>
          <w:i/>
          <w:color w:val="000000"/>
          <w:lang w:eastAsia="en-GB"/>
        </w:rPr>
      </w:pPr>
    </w:p>
    <w:p w14:paraId="4EF8BE82" w14:textId="77777777" w:rsidR="0041616A" w:rsidRPr="0041616A" w:rsidRDefault="0041616A" w:rsidP="002374A8">
      <w:pPr>
        <w:pStyle w:val="ListParagraph"/>
        <w:ind w:left="1134" w:right="798"/>
        <w:textAlignment w:val="baseline"/>
        <w:rPr>
          <w:rFonts w:ascii="Verdana" w:eastAsia="Times New Roman" w:hAnsi="Verdana" w:cs="Times New Roman"/>
          <w:lang w:eastAsia="en-GB"/>
        </w:rPr>
      </w:pPr>
      <w:r w:rsidRPr="0041616A">
        <w:rPr>
          <w:rFonts w:ascii="Verdana" w:eastAsia="Times New Roman" w:hAnsi="Verdana" w:cs="Times New Roman"/>
          <w:lang w:eastAsia="en-GB"/>
        </w:rPr>
        <w:lastRenderedPageBreak/>
        <w:t>“</w:t>
      </w:r>
      <w:proofErr w:type="gramStart"/>
      <w:r w:rsidRPr="0041616A">
        <w:rPr>
          <w:rFonts w:ascii="Verdana" w:eastAsia="Times New Roman" w:hAnsi="Verdana" w:cs="Times New Roman"/>
          <w:lang w:eastAsia="en-GB"/>
        </w:rPr>
        <w:t>in</w:t>
      </w:r>
      <w:proofErr w:type="gramEnd"/>
      <w:r w:rsidRPr="0041616A">
        <w:rPr>
          <w:rFonts w:ascii="Verdana" w:eastAsia="Times New Roman" w:hAnsi="Verdana" w:cs="Times New Roman"/>
          <w:lang w:eastAsia="en-GB"/>
        </w:rPr>
        <w:t xml:space="preserve"> the great majority of Council of Europe states children of the deceased are directly eligible for bereavement benefits up to a certain age. The United Kingdom is unusual in channelling benefits for children through their parents.”</w:t>
      </w:r>
      <w:r w:rsidRPr="0041616A">
        <w:rPr>
          <w:vertAlign w:val="superscript"/>
          <w:lang w:eastAsia="en-GB"/>
        </w:rPr>
        <w:footnoteReference w:id="4"/>
      </w:r>
    </w:p>
    <w:p w14:paraId="37B15FB6" w14:textId="77777777" w:rsidR="0041616A" w:rsidRPr="0041616A" w:rsidRDefault="0041616A" w:rsidP="002374A8">
      <w:pPr>
        <w:ind w:hanging="720"/>
        <w:textAlignment w:val="baseline"/>
        <w:rPr>
          <w:rFonts w:ascii="Verdana" w:eastAsia="Times New Roman" w:hAnsi="Verdana" w:cs="Times New Roman"/>
          <w:lang w:eastAsia="en-GB"/>
        </w:rPr>
      </w:pPr>
    </w:p>
    <w:p w14:paraId="2AB1A4D5" w14:textId="77777777" w:rsidR="0041616A" w:rsidRPr="0041616A" w:rsidRDefault="0041616A" w:rsidP="002374A8">
      <w:pPr>
        <w:pStyle w:val="ListParagraph"/>
        <w:numPr>
          <w:ilvl w:val="0"/>
          <w:numId w:val="9"/>
        </w:numPr>
        <w:ind w:hanging="720"/>
        <w:textAlignment w:val="baseline"/>
        <w:rPr>
          <w:rFonts w:ascii="Verdana" w:eastAsia="Times New Roman" w:hAnsi="Verdana" w:cs="Segoe UI"/>
          <w:color w:val="000000"/>
          <w:lang w:eastAsia="en-GB"/>
        </w:rPr>
      </w:pPr>
      <w:r w:rsidRPr="0041616A">
        <w:rPr>
          <w:rFonts w:ascii="Verdana" w:eastAsia="Times New Roman" w:hAnsi="Verdana" w:cs="Times New Roman"/>
          <w:lang w:eastAsia="en-GB"/>
        </w:rPr>
        <w:t xml:space="preserve">This </w:t>
      </w:r>
      <w:r w:rsidR="00E43309">
        <w:rPr>
          <w:rFonts w:ascii="Verdana" w:eastAsia="Times New Roman" w:hAnsi="Verdana" w:cs="Times New Roman"/>
          <w:lang w:eastAsia="en-GB"/>
        </w:rPr>
        <w:t>has also been considered</w:t>
      </w:r>
      <w:r w:rsidRPr="0041616A">
        <w:rPr>
          <w:rFonts w:ascii="Verdana" w:eastAsia="Times New Roman" w:hAnsi="Verdana" w:cs="Times New Roman"/>
          <w:lang w:eastAsia="en-GB"/>
        </w:rPr>
        <w:t xml:space="preserve"> by</w:t>
      </w:r>
      <w:r w:rsidR="00E43309">
        <w:rPr>
          <w:rFonts w:ascii="Verdana" w:eastAsia="Times New Roman" w:hAnsi="Verdana" w:cs="Times New Roman"/>
          <w:lang w:eastAsia="en-GB"/>
        </w:rPr>
        <w:t xml:space="preserve"> the</w:t>
      </w:r>
      <w:r w:rsidRPr="0041616A">
        <w:rPr>
          <w:rFonts w:ascii="Verdana" w:eastAsia="Times New Roman" w:hAnsi="Verdana" w:cs="Times New Roman"/>
          <w:lang w:eastAsia="en-GB"/>
        </w:rPr>
        <w:t xml:space="preserve"> </w:t>
      </w:r>
      <w:r w:rsidRPr="0041616A">
        <w:rPr>
          <w:rFonts w:ascii="Verdana" w:eastAsia="Calibri" w:hAnsi="Verdana" w:cs="TimesNRMT"/>
          <w:lang w:eastAsia="en-GB"/>
        </w:rPr>
        <w:t>Work and Pensions Committee</w:t>
      </w:r>
      <w:r w:rsidR="00E43309">
        <w:rPr>
          <w:rFonts w:ascii="Verdana" w:eastAsia="Calibri" w:hAnsi="Verdana" w:cs="TimesNRMT"/>
          <w:lang w:eastAsia="en-GB"/>
        </w:rPr>
        <w:t>, in its suggestion to make children directly eligible and removed the issue of cohabitation</w:t>
      </w:r>
      <w:r w:rsidRPr="0041616A">
        <w:rPr>
          <w:rFonts w:ascii="Verdana" w:eastAsia="Calibri" w:hAnsi="Verdana" w:cs="TimesNRMT"/>
          <w:lang w:eastAsia="en-GB"/>
        </w:rPr>
        <w:t>.</w:t>
      </w:r>
      <w:r w:rsidRPr="0041616A">
        <w:rPr>
          <w:vertAlign w:val="superscript"/>
          <w:lang w:eastAsia="en-GB"/>
        </w:rPr>
        <w:footnoteReference w:id="5"/>
      </w:r>
    </w:p>
    <w:p w14:paraId="7C0D3F70" w14:textId="77777777" w:rsidR="0041616A" w:rsidRPr="0041616A" w:rsidRDefault="0041616A" w:rsidP="002374A8">
      <w:pPr>
        <w:ind w:hanging="720"/>
        <w:textAlignment w:val="baseline"/>
        <w:rPr>
          <w:rFonts w:ascii="Verdana" w:eastAsia="Times New Roman" w:hAnsi="Verdana" w:cs="Segoe UI"/>
          <w:color w:val="000000"/>
          <w:lang w:eastAsia="en-GB"/>
        </w:rPr>
      </w:pPr>
    </w:p>
    <w:p w14:paraId="2347B781" w14:textId="77777777" w:rsidR="0041616A" w:rsidRPr="0041616A" w:rsidRDefault="0041616A" w:rsidP="002374A8">
      <w:pPr>
        <w:pStyle w:val="ListParagraph"/>
        <w:numPr>
          <w:ilvl w:val="0"/>
          <w:numId w:val="9"/>
        </w:numPr>
        <w:ind w:hanging="720"/>
        <w:textAlignment w:val="baseline"/>
        <w:rPr>
          <w:rFonts w:ascii="Verdana" w:eastAsia="Times New Roman" w:hAnsi="Verdana" w:cs="Segoe UI"/>
          <w:b/>
          <w:sz w:val="18"/>
          <w:szCs w:val="18"/>
          <w:lang w:eastAsia="en-GB"/>
        </w:rPr>
      </w:pPr>
      <w:r w:rsidRPr="0041616A">
        <w:rPr>
          <w:rFonts w:ascii="Verdana" w:eastAsia="Times New Roman" w:hAnsi="Verdana" w:cs="Segoe UI"/>
          <w:b/>
          <w:lang w:eastAsia="en-GB"/>
        </w:rPr>
        <w:t>The Commission recommends that the JCHR consider extending the benefit</w:t>
      </w:r>
      <w:r w:rsidR="00E43309">
        <w:rPr>
          <w:rFonts w:ascii="Verdana" w:eastAsia="Times New Roman" w:hAnsi="Verdana" w:cs="Segoe UI"/>
          <w:b/>
          <w:lang w:eastAsia="en-GB"/>
        </w:rPr>
        <w:t xml:space="preserve"> to all children,</w:t>
      </w:r>
      <w:r w:rsidRPr="0041616A">
        <w:rPr>
          <w:rFonts w:ascii="Verdana" w:eastAsia="Times New Roman" w:hAnsi="Verdana" w:cs="Segoe UI"/>
          <w:b/>
          <w:lang w:eastAsia="en-GB"/>
        </w:rPr>
        <w:t xml:space="preserve"> including those parents might be divorced or live apart</w:t>
      </w:r>
      <w:r w:rsidR="00E43309">
        <w:rPr>
          <w:rFonts w:ascii="Verdana" w:eastAsia="Times New Roman" w:hAnsi="Verdana" w:cs="Segoe UI"/>
          <w:b/>
          <w:lang w:eastAsia="en-GB"/>
        </w:rPr>
        <w:t>,</w:t>
      </w:r>
      <w:r w:rsidRPr="0041616A">
        <w:rPr>
          <w:rFonts w:ascii="Verdana" w:eastAsia="Times New Roman" w:hAnsi="Verdana" w:cs="Segoe UI"/>
          <w:b/>
          <w:lang w:eastAsia="en-GB"/>
        </w:rPr>
        <w:t xml:space="preserve"> </w:t>
      </w:r>
      <w:r w:rsidR="00E43309">
        <w:rPr>
          <w:rFonts w:ascii="Verdana" w:eastAsia="Times New Roman" w:hAnsi="Verdana" w:cs="Segoe UI"/>
          <w:b/>
          <w:lang w:eastAsia="en-GB"/>
        </w:rPr>
        <w:t>to</w:t>
      </w:r>
      <w:r w:rsidRPr="0041616A">
        <w:rPr>
          <w:rFonts w:ascii="Verdana" w:eastAsia="Times New Roman" w:hAnsi="Verdana" w:cs="Segoe UI"/>
          <w:b/>
          <w:lang w:eastAsia="en-GB"/>
        </w:rPr>
        <w:t xml:space="preserve"> ensure that children are not discriminated against on the basis of parental marital status.  </w:t>
      </w:r>
    </w:p>
    <w:p w14:paraId="1157A79C" w14:textId="77777777" w:rsidR="004672AC" w:rsidRPr="0041616A" w:rsidRDefault="004672AC" w:rsidP="002374A8">
      <w:pPr>
        <w:pStyle w:val="BasicParagraph"/>
        <w:suppressAutoHyphens/>
        <w:spacing w:line="240" w:lineRule="auto"/>
        <w:ind w:hanging="720"/>
        <w:rPr>
          <w:rFonts w:ascii="Verdana" w:hAnsi="Verdana" w:cs="Arial"/>
          <w:color w:val="232120"/>
          <w:sz w:val="20"/>
          <w:szCs w:val="20"/>
        </w:rPr>
      </w:pPr>
    </w:p>
    <w:p w14:paraId="6AC5B3AE" w14:textId="77777777" w:rsidR="003B7D0E" w:rsidRPr="0041616A" w:rsidRDefault="003B7D0E" w:rsidP="002374A8">
      <w:pPr>
        <w:pStyle w:val="BasicParagraph"/>
        <w:suppressAutoHyphens/>
        <w:rPr>
          <w:rFonts w:ascii="Verdana" w:hAnsi="Verdana" w:cs="Arial"/>
          <w:color w:val="232120"/>
          <w:sz w:val="20"/>
          <w:szCs w:val="20"/>
        </w:rPr>
      </w:pPr>
    </w:p>
    <w:p w14:paraId="3D8B1A44" w14:textId="77777777" w:rsidR="003B7D0E" w:rsidRPr="0041616A" w:rsidRDefault="003B7D0E" w:rsidP="002374A8">
      <w:pPr>
        <w:pStyle w:val="BasicParagraph"/>
        <w:suppressAutoHyphens/>
        <w:rPr>
          <w:rFonts w:ascii="Verdana" w:hAnsi="Verdana" w:cs="Arial"/>
          <w:color w:val="232120"/>
          <w:sz w:val="20"/>
          <w:szCs w:val="20"/>
        </w:rPr>
      </w:pPr>
    </w:p>
    <w:p w14:paraId="1C7B6684" w14:textId="77777777" w:rsidR="003B7D0E" w:rsidRPr="0041616A" w:rsidRDefault="003B7D0E" w:rsidP="002374A8">
      <w:pPr>
        <w:pStyle w:val="BasicParagraph"/>
        <w:suppressAutoHyphens/>
        <w:rPr>
          <w:rFonts w:ascii="Verdana" w:hAnsi="Verdana" w:cs="Arial"/>
          <w:color w:val="3C3C3B"/>
          <w:sz w:val="20"/>
          <w:szCs w:val="20"/>
        </w:rPr>
      </w:pPr>
    </w:p>
    <w:p w14:paraId="45189831" w14:textId="77777777" w:rsidR="003B7D0E" w:rsidRPr="0041616A" w:rsidRDefault="003B7D0E" w:rsidP="002374A8">
      <w:pPr>
        <w:pStyle w:val="BasicParagraph"/>
        <w:suppressAutoHyphens/>
        <w:rPr>
          <w:rFonts w:ascii="Verdana" w:hAnsi="Verdana" w:cs="Arial"/>
          <w:color w:val="3C3C3B"/>
          <w:sz w:val="20"/>
          <w:szCs w:val="20"/>
        </w:rPr>
      </w:pPr>
    </w:p>
    <w:p w14:paraId="5B935927" w14:textId="77777777" w:rsidR="003B7D0E" w:rsidRPr="0041616A" w:rsidRDefault="003B7D0E" w:rsidP="002374A8">
      <w:pPr>
        <w:pStyle w:val="BasicParagraph"/>
        <w:suppressAutoHyphens/>
        <w:rPr>
          <w:rFonts w:ascii="Verdana" w:hAnsi="Verdana" w:cs="Arial"/>
          <w:color w:val="3C3C3B"/>
          <w:sz w:val="20"/>
          <w:szCs w:val="20"/>
        </w:rPr>
      </w:pPr>
    </w:p>
    <w:p w14:paraId="3ED026B4" w14:textId="77777777" w:rsidR="003B7D0E" w:rsidRPr="0041616A" w:rsidRDefault="003B7D0E" w:rsidP="002374A8">
      <w:pPr>
        <w:pStyle w:val="BasicParagraph"/>
        <w:suppressAutoHyphens/>
        <w:rPr>
          <w:rFonts w:ascii="Verdana" w:hAnsi="Verdana" w:cs="Arial"/>
          <w:color w:val="3C3C3B"/>
          <w:sz w:val="20"/>
          <w:szCs w:val="20"/>
        </w:rPr>
      </w:pPr>
    </w:p>
    <w:p w14:paraId="526992B1" w14:textId="77777777" w:rsidR="003B7D0E" w:rsidRPr="0041616A" w:rsidRDefault="003B7D0E" w:rsidP="002374A8">
      <w:pPr>
        <w:pStyle w:val="BasicParagraph"/>
        <w:suppressAutoHyphens/>
        <w:rPr>
          <w:rFonts w:ascii="Verdana" w:hAnsi="Verdana" w:cs="Arial"/>
          <w:color w:val="3C3C3B"/>
          <w:sz w:val="20"/>
          <w:szCs w:val="20"/>
        </w:rPr>
      </w:pPr>
    </w:p>
    <w:p w14:paraId="372D7F32" w14:textId="77777777" w:rsidR="003B7D0E" w:rsidRPr="0041616A" w:rsidRDefault="003B7D0E" w:rsidP="002374A8">
      <w:pPr>
        <w:pStyle w:val="BasicParagraph"/>
        <w:suppressAutoHyphens/>
        <w:rPr>
          <w:rFonts w:ascii="Verdana" w:hAnsi="Verdana" w:cs="Arial"/>
          <w:color w:val="3C3C3B"/>
          <w:sz w:val="20"/>
          <w:szCs w:val="20"/>
        </w:rPr>
      </w:pPr>
    </w:p>
    <w:p w14:paraId="67757468" w14:textId="77777777" w:rsidR="003B7D0E" w:rsidRDefault="003B7D0E" w:rsidP="002374A8">
      <w:pPr>
        <w:pStyle w:val="BasicParagraph"/>
        <w:suppressAutoHyphens/>
        <w:rPr>
          <w:rFonts w:ascii="Verdana" w:hAnsi="Verdana" w:cs="Arial"/>
          <w:color w:val="3C3C3B"/>
          <w:sz w:val="20"/>
          <w:szCs w:val="20"/>
        </w:rPr>
      </w:pPr>
    </w:p>
    <w:p w14:paraId="1FFFB26B" w14:textId="77777777" w:rsidR="0041616A" w:rsidRDefault="0041616A" w:rsidP="002374A8">
      <w:pPr>
        <w:pStyle w:val="BasicParagraph"/>
        <w:suppressAutoHyphens/>
        <w:rPr>
          <w:rFonts w:ascii="Verdana" w:hAnsi="Verdana" w:cs="Arial"/>
          <w:color w:val="3C3C3B"/>
          <w:sz w:val="20"/>
          <w:szCs w:val="20"/>
        </w:rPr>
      </w:pPr>
    </w:p>
    <w:p w14:paraId="2F6C7748" w14:textId="77777777" w:rsidR="0041616A" w:rsidRDefault="0041616A" w:rsidP="002374A8">
      <w:pPr>
        <w:pStyle w:val="BasicParagraph"/>
        <w:suppressAutoHyphens/>
        <w:rPr>
          <w:rFonts w:ascii="Verdana" w:hAnsi="Verdana" w:cs="Arial"/>
          <w:color w:val="3C3C3B"/>
          <w:sz w:val="20"/>
          <w:szCs w:val="20"/>
        </w:rPr>
      </w:pPr>
    </w:p>
    <w:p w14:paraId="6F28D8C6" w14:textId="77777777" w:rsidR="0041616A" w:rsidRDefault="0041616A" w:rsidP="002374A8">
      <w:pPr>
        <w:pStyle w:val="BasicParagraph"/>
        <w:suppressAutoHyphens/>
        <w:rPr>
          <w:rFonts w:ascii="Verdana" w:hAnsi="Verdana" w:cs="Arial"/>
          <w:color w:val="3C3C3B"/>
          <w:sz w:val="20"/>
          <w:szCs w:val="20"/>
        </w:rPr>
      </w:pPr>
    </w:p>
    <w:p w14:paraId="0D11190C" w14:textId="77777777" w:rsidR="0041616A" w:rsidRDefault="0041616A" w:rsidP="002374A8">
      <w:pPr>
        <w:pStyle w:val="BasicParagraph"/>
        <w:suppressAutoHyphens/>
        <w:rPr>
          <w:rFonts w:ascii="Verdana" w:hAnsi="Verdana" w:cs="Arial"/>
          <w:color w:val="3C3C3B"/>
          <w:sz w:val="20"/>
          <w:szCs w:val="20"/>
        </w:rPr>
      </w:pPr>
    </w:p>
    <w:p w14:paraId="63FA913D" w14:textId="77777777" w:rsidR="0041616A" w:rsidRDefault="0041616A" w:rsidP="002374A8">
      <w:pPr>
        <w:pStyle w:val="BasicParagraph"/>
        <w:suppressAutoHyphens/>
        <w:rPr>
          <w:rFonts w:ascii="Verdana" w:hAnsi="Verdana" w:cs="Arial"/>
          <w:color w:val="3C3C3B"/>
          <w:sz w:val="20"/>
          <w:szCs w:val="20"/>
        </w:rPr>
      </w:pPr>
    </w:p>
    <w:p w14:paraId="1EA2ADA0" w14:textId="77777777" w:rsidR="0041616A" w:rsidRDefault="0041616A" w:rsidP="002374A8">
      <w:pPr>
        <w:pStyle w:val="BasicParagraph"/>
        <w:suppressAutoHyphens/>
        <w:rPr>
          <w:rFonts w:ascii="Verdana" w:hAnsi="Verdana" w:cs="Arial"/>
          <w:color w:val="3C3C3B"/>
          <w:sz w:val="20"/>
          <w:szCs w:val="20"/>
        </w:rPr>
      </w:pPr>
    </w:p>
    <w:p w14:paraId="61EB8C25" w14:textId="77777777" w:rsidR="0041616A" w:rsidRDefault="0041616A" w:rsidP="002374A8">
      <w:pPr>
        <w:pStyle w:val="BasicParagraph"/>
        <w:suppressAutoHyphens/>
        <w:rPr>
          <w:rFonts w:ascii="Verdana" w:hAnsi="Verdana" w:cs="Arial"/>
          <w:color w:val="3C3C3B"/>
          <w:sz w:val="20"/>
          <w:szCs w:val="20"/>
        </w:rPr>
      </w:pPr>
    </w:p>
    <w:p w14:paraId="246C4A0D" w14:textId="77777777" w:rsidR="0041616A" w:rsidRDefault="0041616A" w:rsidP="002374A8">
      <w:pPr>
        <w:pStyle w:val="BasicParagraph"/>
        <w:suppressAutoHyphens/>
        <w:rPr>
          <w:rFonts w:ascii="Verdana" w:hAnsi="Verdana" w:cs="Arial"/>
          <w:color w:val="3C3C3B"/>
          <w:sz w:val="20"/>
          <w:szCs w:val="20"/>
        </w:rPr>
      </w:pPr>
    </w:p>
    <w:p w14:paraId="696189B2" w14:textId="77777777" w:rsidR="0041616A" w:rsidRDefault="0041616A" w:rsidP="002374A8">
      <w:pPr>
        <w:pStyle w:val="BasicParagraph"/>
        <w:suppressAutoHyphens/>
        <w:rPr>
          <w:rFonts w:ascii="Verdana" w:hAnsi="Verdana" w:cs="Arial"/>
          <w:color w:val="3C3C3B"/>
          <w:sz w:val="20"/>
          <w:szCs w:val="20"/>
        </w:rPr>
      </w:pPr>
    </w:p>
    <w:p w14:paraId="5DEC5B9C" w14:textId="77777777" w:rsidR="0041616A" w:rsidRDefault="0041616A" w:rsidP="002374A8">
      <w:pPr>
        <w:pStyle w:val="BasicParagraph"/>
        <w:suppressAutoHyphens/>
        <w:rPr>
          <w:rFonts w:ascii="Verdana" w:hAnsi="Verdana" w:cs="Arial"/>
          <w:color w:val="3C3C3B"/>
          <w:sz w:val="20"/>
          <w:szCs w:val="20"/>
        </w:rPr>
      </w:pPr>
    </w:p>
    <w:p w14:paraId="4F8369BB" w14:textId="77777777" w:rsidR="0041616A" w:rsidRDefault="0041616A" w:rsidP="002374A8">
      <w:pPr>
        <w:pStyle w:val="BasicParagraph"/>
        <w:suppressAutoHyphens/>
        <w:rPr>
          <w:rFonts w:ascii="Verdana" w:hAnsi="Verdana" w:cs="Arial"/>
          <w:color w:val="3C3C3B"/>
          <w:sz w:val="20"/>
          <w:szCs w:val="20"/>
        </w:rPr>
      </w:pPr>
    </w:p>
    <w:p w14:paraId="7F7C00A6" w14:textId="77777777" w:rsidR="0041616A" w:rsidRDefault="0041616A" w:rsidP="002374A8">
      <w:pPr>
        <w:pStyle w:val="BasicParagraph"/>
        <w:suppressAutoHyphens/>
        <w:rPr>
          <w:rFonts w:ascii="Verdana" w:hAnsi="Verdana" w:cs="Arial"/>
          <w:color w:val="3C3C3B"/>
          <w:sz w:val="20"/>
          <w:szCs w:val="20"/>
        </w:rPr>
      </w:pPr>
    </w:p>
    <w:p w14:paraId="5331D8B7" w14:textId="77777777" w:rsidR="0041616A" w:rsidRDefault="0041616A" w:rsidP="002374A8">
      <w:pPr>
        <w:pStyle w:val="BasicParagraph"/>
        <w:suppressAutoHyphens/>
        <w:rPr>
          <w:rFonts w:ascii="Verdana" w:hAnsi="Verdana" w:cs="Arial"/>
          <w:color w:val="3C3C3B"/>
          <w:sz w:val="20"/>
          <w:szCs w:val="20"/>
        </w:rPr>
      </w:pPr>
    </w:p>
    <w:p w14:paraId="3A53BA6D" w14:textId="77777777" w:rsidR="0041616A" w:rsidRDefault="0041616A" w:rsidP="002374A8">
      <w:pPr>
        <w:pStyle w:val="BasicParagraph"/>
        <w:suppressAutoHyphens/>
        <w:rPr>
          <w:rFonts w:ascii="Verdana" w:hAnsi="Verdana" w:cs="Arial"/>
          <w:color w:val="3C3C3B"/>
          <w:sz w:val="20"/>
          <w:szCs w:val="20"/>
        </w:rPr>
      </w:pPr>
    </w:p>
    <w:p w14:paraId="3923A830" w14:textId="77777777" w:rsidR="0041616A" w:rsidRPr="0041616A" w:rsidRDefault="0041616A" w:rsidP="002374A8">
      <w:pPr>
        <w:pStyle w:val="BasicParagraph"/>
        <w:suppressAutoHyphens/>
        <w:rPr>
          <w:rFonts w:ascii="Verdana" w:hAnsi="Verdana" w:cs="Arial"/>
          <w:color w:val="3C3C3B"/>
          <w:sz w:val="20"/>
          <w:szCs w:val="20"/>
        </w:rPr>
      </w:pPr>
    </w:p>
    <w:p w14:paraId="27F802F2" w14:textId="77777777" w:rsidR="003B7D0E" w:rsidRPr="0041616A" w:rsidRDefault="003B7D0E" w:rsidP="002374A8">
      <w:pPr>
        <w:pStyle w:val="BasicParagraph"/>
        <w:suppressAutoHyphens/>
        <w:rPr>
          <w:rFonts w:ascii="Verdana" w:hAnsi="Verdana" w:cs="Arial"/>
          <w:color w:val="3C3C3B"/>
          <w:sz w:val="20"/>
          <w:szCs w:val="20"/>
        </w:rPr>
      </w:pPr>
    </w:p>
    <w:p w14:paraId="7095B8A8" w14:textId="77777777" w:rsidR="0041616A" w:rsidRDefault="0041616A" w:rsidP="002374A8">
      <w:pPr>
        <w:pStyle w:val="BasicParagraph"/>
        <w:suppressAutoHyphens/>
        <w:rPr>
          <w:rFonts w:ascii="Verdana" w:hAnsi="Verdana" w:cs="Arial"/>
          <w:b/>
          <w:bCs/>
          <w:color w:val="77328A"/>
          <w:sz w:val="36"/>
          <w:szCs w:val="36"/>
        </w:rPr>
      </w:pPr>
    </w:p>
    <w:p w14:paraId="3AD9EE75" w14:textId="77777777" w:rsidR="0041616A" w:rsidRDefault="0041616A" w:rsidP="002374A8">
      <w:pPr>
        <w:pStyle w:val="BasicParagraph"/>
        <w:suppressAutoHyphens/>
        <w:rPr>
          <w:rFonts w:ascii="Verdana" w:hAnsi="Verdana" w:cs="Arial"/>
          <w:b/>
          <w:bCs/>
          <w:color w:val="77328A"/>
          <w:sz w:val="36"/>
          <w:szCs w:val="36"/>
        </w:rPr>
      </w:pPr>
    </w:p>
    <w:p w14:paraId="559DC7DC" w14:textId="77777777" w:rsidR="00705833" w:rsidRPr="0041616A" w:rsidRDefault="00705833" w:rsidP="00E43309">
      <w:pPr>
        <w:pStyle w:val="BasicParagraph"/>
        <w:suppressAutoHyphens/>
        <w:jc w:val="center"/>
        <w:rPr>
          <w:rFonts w:ascii="Verdana" w:hAnsi="Verdana" w:cs="Arial"/>
          <w:b/>
          <w:bCs/>
          <w:color w:val="77328A"/>
          <w:sz w:val="36"/>
          <w:szCs w:val="36"/>
        </w:rPr>
      </w:pPr>
      <w:r w:rsidRPr="0041616A">
        <w:rPr>
          <w:rFonts w:ascii="Verdana" w:hAnsi="Verdana" w:cs="Arial"/>
          <w:b/>
          <w:bCs/>
          <w:color w:val="77328A"/>
          <w:sz w:val="36"/>
          <w:szCs w:val="36"/>
        </w:rPr>
        <w:t>Co</w:t>
      </w:r>
      <w:r w:rsidR="0096459E" w:rsidRPr="0041616A">
        <w:rPr>
          <w:rFonts w:ascii="Verdana" w:hAnsi="Verdana" w:cs="Arial"/>
          <w:b/>
          <w:bCs/>
          <w:color w:val="77328A"/>
          <w:sz w:val="36"/>
          <w:szCs w:val="36"/>
        </w:rPr>
        <w:t>ntact us</w:t>
      </w:r>
    </w:p>
    <w:p w14:paraId="21091618" w14:textId="77777777" w:rsidR="00331C61" w:rsidRPr="0041616A" w:rsidRDefault="00331C61" w:rsidP="002374A8">
      <w:pPr>
        <w:spacing w:line="288" w:lineRule="auto"/>
        <w:rPr>
          <w:rFonts w:ascii="Verdana" w:hAnsi="Verdana" w:cs="Arial"/>
          <w:b/>
          <w:color w:val="232120"/>
          <w:sz w:val="30"/>
          <w:szCs w:val="30"/>
        </w:rPr>
      </w:pPr>
    </w:p>
    <w:p w14:paraId="74A16205" w14:textId="77777777" w:rsidR="00331C61" w:rsidRPr="0041616A" w:rsidRDefault="00331C61" w:rsidP="002374A8">
      <w:pPr>
        <w:spacing w:line="288" w:lineRule="auto"/>
        <w:rPr>
          <w:rFonts w:ascii="Verdana" w:hAnsi="Verdana" w:cs="Arial"/>
          <w:b/>
          <w:color w:val="232120"/>
          <w:sz w:val="30"/>
          <w:szCs w:val="30"/>
        </w:rPr>
      </w:pPr>
    </w:p>
    <w:p w14:paraId="6E3A48B5" w14:textId="77777777" w:rsidR="00331C61" w:rsidRPr="0041616A" w:rsidRDefault="00F41310" w:rsidP="002374A8">
      <w:pPr>
        <w:spacing w:line="288" w:lineRule="auto"/>
        <w:rPr>
          <w:rFonts w:ascii="Verdana" w:hAnsi="Verdana" w:cs="Arial"/>
          <w:color w:val="232120"/>
          <w:sz w:val="28"/>
          <w:szCs w:val="28"/>
        </w:rPr>
      </w:pPr>
      <w:hyperlink r:id="rId14" w:history="1">
        <w:r w:rsidR="00331C61" w:rsidRPr="0041616A">
          <w:rPr>
            <w:rStyle w:val="Hyperlink"/>
            <w:rFonts w:ascii="Verdana" w:hAnsi="Verdana" w:cs="Arial"/>
            <w:color w:val="232120"/>
            <w:sz w:val="28"/>
            <w:szCs w:val="28"/>
            <w:u w:val="none"/>
            <w:lang w:val="en-US"/>
          </w:rPr>
          <w:t>www.nihrc.org</w:t>
        </w:r>
      </w:hyperlink>
      <w:r w:rsidR="00331C61" w:rsidRPr="0041616A">
        <w:rPr>
          <w:rFonts w:ascii="Verdana" w:hAnsi="Verdana" w:cs="Arial"/>
          <w:color w:val="232120"/>
          <w:sz w:val="28"/>
          <w:szCs w:val="28"/>
          <w:lang w:val="en-US"/>
        </w:rPr>
        <w:t xml:space="preserve">  |  </w:t>
      </w:r>
      <w:hyperlink r:id="rId15" w:history="1">
        <w:r w:rsidR="00331C61" w:rsidRPr="0041616A">
          <w:rPr>
            <w:rStyle w:val="Hyperlink"/>
            <w:rFonts w:ascii="Verdana" w:hAnsi="Verdana" w:cs="Arial"/>
            <w:color w:val="232120"/>
            <w:sz w:val="28"/>
            <w:szCs w:val="28"/>
            <w:u w:val="none"/>
            <w:lang w:val="en-US"/>
          </w:rPr>
          <w:t>info@nihrc.org</w:t>
        </w:r>
      </w:hyperlink>
      <w:r w:rsidR="00331C61" w:rsidRPr="0041616A">
        <w:rPr>
          <w:rFonts w:ascii="Verdana" w:hAnsi="Verdana" w:cs="Arial"/>
          <w:color w:val="232120"/>
          <w:sz w:val="28"/>
          <w:szCs w:val="28"/>
          <w:lang w:val="en-US"/>
        </w:rPr>
        <w:t xml:space="preserve">  |  +44 (0)28 9024 3987</w:t>
      </w:r>
    </w:p>
    <w:p w14:paraId="4D04415D" w14:textId="77777777" w:rsidR="00F56C78" w:rsidRPr="0041616A" w:rsidRDefault="00D16532" w:rsidP="002374A8">
      <w:pPr>
        <w:spacing w:line="288" w:lineRule="auto"/>
        <w:rPr>
          <w:rFonts w:ascii="Verdana" w:hAnsi="Verdana" w:cs="Arial"/>
          <w:color w:val="232120"/>
          <w:sz w:val="28"/>
          <w:szCs w:val="28"/>
        </w:rPr>
      </w:pPr>
      <w:r w:rsidRPr="0041616A">
        <w:rPr>
          <w:rFonts w:ascii="Verdana" w:hAnsi="Verdana" w:cs="Arial"/>
          <w:color w:val="232120"/>
          <w:sz w:val="28"/>
          <w:szCs w:val="28"/>
          <w:lang w:val="en-US"/>
        </w:rPr>
        <w:t>4</w:t>
      </w:r>
      <w:r w:rsidRPr="0041616A">
        <w:rPr>
          <w:rFonts w:ascii="Verdana" w:hAnsi="Verdana" w:cs="Arial"/>
          <w:color w:val="232120"/>
          <w:sz w:val="28"/>
          <w:szCs w:val="28"/>
          <w:vertAlign w:val="superscript"/>
          <w:lang w:val="en-US"/>
        </w:rPr>
        <w:t>th</w:t>
      </w:r>
      <w:r w:rsidRPr="0041616A">
        <w:rPr>
          <w:rFonts w:ascii="Verdana" w:hAnsi="Verdana" w:cs="Arial"/>
          <w:color w:val="232120"/>
          <w:sz w:val="28"/>
          <w:szCs w:val="28"/>
          <w:lang w:val="en-US"/>
        </w:rPr>
        <w:t xml:space="preserve"> Floor, Alfred House, 19-21 Alfred Street, Belfast, BT2 8ED</w:t>
      </w:r>
    </w:p>
    <w:p w14:paraId="374C5F22" w14:textId="77777777" w:rsidR="00F56C78" w:rsidRPr="0041616A" w:rsidRDefault="00F56C78" w:rsidP="002374A8">
      <w:pPr>
        <w:spacing w:line="288" w:lineRule="auto"/>
        <w:rPr>
          <w:rFonts w:ascii="Verdana" w:hAnsi="Verdana" w:cs="Arial"/>
          <w:b/>
          <w:color w:val="232120"/>
          <w:sz w:val="28"/>
          <w:szCs w:val="28"/>
        </w:rPr>
      </w:pPr>
    </w:p>
    <w:p w14:paraId="07EA66BC" w14:textId="77777777" w:rsidR="00F56C78" w:rsidRPr="0041616A" w:rsidRDefault="00F56C78" w:rsidP="002374A8">
      <w:pPr>
        <w:spacing w:line="288" w:lineRule="auto"/>
        <w:rPr>
          <w:rFonts w:ascii="Verdana" w:hAnsi="Verdana" w:cs="Arial"/>
          <w:color w:val="232120"/>
          <w:sz w:val="20"/>
          <w:szCs w:val="20"/>
        </w:rPr>
      </w:pPr>
    </w:p>
    <w:p w14:paraId="4673E36F" w14:textId="77777777" w:rsidR="00705833" w:rsidRPr="0041616A" w:rsidRDefault="00F56C78" w:rsidP="00E43309">
      <w:pPr>
        <w:pStyle w:val="BasicParagraph"/>
        <w:suppressAutoHyphens/>
        <w:spacing w:line="240" w:lineRule="auto"/>
        <w:jc w:val="center"/>
        <w:rPr>
          <w:rFonts w:ascii="Verdana" w:hAnsi="Verdana" w:cs="Arial"/>
          <w:color w:val="232120"/>
          <w:sz w:val="28"/>
          <w:szCs w:val="28"/>
        </w:rPr>
      </w:pPr>
      <w:r w:rsidRPr="0041616A">
        <w:rPr>
          <w:rFonts w:ascii="Verdana" w:hAnsi="Verdana" w:cs="Arial"/>
          <w:noProof/>
          <w:color w:val="232120"/>
          <w:sz w:val="28"/>
          <w:szCs w:val="28"/>
          <w:lang w:eastAsia="en-GB"/>
        </w:rPr>
        <w:drawing>
          <wp:inline distT="0" distB="0" distL="0" distR="0" wp14:anchorId="4342547C" wp14:editId="62AFFE6C">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41616A" w:rsidSect="0041616A">
      <w:footerReference w:type="default" r:id="rId17"/>
      <w:footerReference w:type="first" r:id="rId18"/>
      <w:pgSz w:w="11900" w:h="16820"/>
      <w:pgMar w:top="1440" w:right="1440" w:bottom="1440" w:left="1440"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F4A0E" w14:textId="77777777" w:rsidR="002458D8" w:rsidRDefault="002458D8" w:rsidP="00962B2B">
      <w:r>
        <w:separator/>
      </w:r>
    </w:p>
  </w:endnote>
  <w:endnote w:type="continuationSeparator" w:id="0">
    <w:p w14:paraId="6B06EDE3" w14:textId="77777777" w:rsidR="002458D8" w:rsidRDefault="002458D8"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R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4AA9" w14:textId="77777777" w:rsidR="00D2770F" w:rsidRDefault="00D2770F" w:rsidP="00656ECD">
    <w:pPr>
      <w:pStyle w:val="Footer"/>
      <w:jc w:val="right"/>
      <w:rPr>
        <w:rStyle w:val="PageNumber"/>
        <w:rFonts w:ascii="Arial" w:hAnsi="Arial" w:cs="Arial"/>
        <w:b/>
        <w:sz w:val="16"/>
        <w:szCs w:val="16"/>
      </w:rPr>
    </w:pPr>
  </w:p>
  <w:p w14:paraId="1A98353A" w14:textId="77777777" w:rsidR="00D2770F" w:rsidRPr="007569C1" w:rsidRDefault="00D2770F"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2016F0">
      <w:rPr>
        <w:rStyle w:val="PageNumber"/>
        <w:rFonts w:ascii="Arial" w:hAnsi="Arial" w:cs="Arial"/>
        <w:b/>
        <w:noProof/>
        <w:color w:val="77328A"/>
        <w:sz w:val="16"/>
        <w:szCs w:val="16"/>
      </w:rPr>
      <w:t>2</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602319"/>
      <w:docPartObj>
        <w:docPartGallery w:val="Page Numbers (Bottom of Page)"/>
        <w:docPartUnique/>
      </w:docPartObj>
    </w:sdtPr>
    <w:sdtEndPr>
      <w:rPr>
        <w:noProof/>
      </w:rPr>
    </w:sdtEndPr>
    <w:sdtContent>
      <w:p w14:paraId="7861D593" w14:textId="516F3148" w:rsidR="00E731A1" w:rsidRDefault="00E731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A33E94"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06C39" w14:textId="77777777" w:rsidR="002458D8" w:rsidRDefault="002458D8" w:rsidP="00B96D34">
      <w:r>
        <w:continuationSeparator/>
      </w:r>
    </w:p>
    <w:p w14:paraId="35048B44" w14:textId="77777777" w:rsidR="002458D8" w:rsidRPr="00B96D34" w:rsidRDefault="002458D8" w:rsidP="00B96D34">
      <w:pPr>
        <w:pStyle w:val="Footer"/>
      </w:pPr>
    </w:p>
  </w:footnote>
  <w:footnote w:type="continuationSeparator" w:id="0">
    <w:p w14:paraId="0F547DDA" w14:textId="77777777" w:rsidR="002458D8" w:rsidRDefault="002458D8" w:rsidP="00962B2B">
      <w:r>
        <w:continuationSeparator/>
      </w:r>
    </w:p>
  </w:footnote>
  <w:footnote w:type="continuationNotice" w:id="1">
    <w:p w14:paraId="62C4C833" w14:textId="77777777" w:rsidR="002458D8" w:rsidRDefault="002458D8"/>
  </w:footnote>
  <w:footnote w:id="2">
    <w:p w14:paraId="4D51D36A" w14:textId="77777777" w:rsidR="0041616A" w:rsidRPr="0041616A" w:rsidRDefault="0041616A" w:rsidP="002374A8">
      <w:pPr>
        <w:pStyle w:val="FootnoteText"/>
        <w:jc w:val="both"/>
        <w:rPr>
          <w:rFonts w:ascii="Verdana" w:hAnsi="Verdana"/>
          <w:color w:val="7030A0"/>
          <w:sz w:val="16"/>
          <w:szCs w:val="16"/>
        </w:rPr>
      </w:pPr>
      <w:r w:rsidRPr="0041616A">
        <w:rPr>
          <w:rStyle w:val="FootnoteReference"/>
          <w:rFonts w:ascii="Verdana" w:hAnsi="Verdana"/>
          <w:color w:val="7030A0"/>
          <w:sz w:val="16"/>
          <w:szCs w:val="16"/>
        </w:rPr>
        <w:footnoteRef/>
      </w:r>
      <w:r w:rsidRPr="0041616A">
        <w:rPr>
          <w:rFonts w:ascii="Verdana" w:hAnsi="Verdana"/>
          <w:color w:val="7030A0"/>
          <w:sz w:val="16"/>
          <w:szCs w:val="16"/>
        </w:rPr>
        <w:t xml:space="preserve">  </w:t>
      </w:r>
      <w:r w:rsidR="002374A8">
        <w:rPr>
          <w:rFonts w:ascii="Verdana" w:hAnsi="Verdana"/>
          <w:color w:val="7030A0"/>
          <w:sz w:val="16"/>
          <w:szCs w:val="16"/>
        </w:rPr>
        <w:t>UK Parliament, ‘</w:t>
      </w:r>
      <w:r w:rsidR="002374A8" w:rsidRPr="0041616A">
        <w:rPr>
          <w:rFonts w:ascii="Verdana" w:hAnsi="Verdana"/>
          <w:color w:val="7030A0"/>
          <w:sz w:val="16"/>
          <w:szCs w:val="16"/>
        </w:rPr>
        <w:t>Work and Pensions Committee</w:t>
      </w:r>
      <w:r w:rsidR="002374A8">
        <w:rPr>
          <w:rFonts w:ascii="Verdana" w:hAnsi="Verdana"/>
          <w:color w:val="7030A0"/>
          <w:sz w:val="16"/>
          <w:szCs w:val="16"/>
        </w:rPr>
        <w:t xml:space="preserve">: </w:t>
      </w:r>
      <w:hyperlink r:id="rId1" w:history="1">
        <w:r w:rsidR="002374A8" w:rsidRPr="002374A8">
          <w:rPr>
            <w:rStyle w:val="Hyperlink"/>
            <w:rFonts w:ascii="Verdana" w:hAnsi="Verdana"/>
            <w:sz w:val="16"/>
            <w:szCs w:val="16"/>
          </w:rPr>
          <w:t>Report into Bereavement Support Payment’</w:t>
        </w:r>
      </w:hyperlink>
      <w:r w:rsidR="002374A8">
        <w:rPr>
          <w:rFonts w:ascii="Verdana" w:hAnsi="Verdana"/>
          <w:color w:val="7030A0"/>
          <w:sz w:val="16"/>
          <w:szCs w:val="16"/>
        </w:rPr>
        <w:t>,</w:t>
      </w:r>
      <w:r w:rsidR="002374A8" w:rsidRPr="0041616A">
        <w:rPr>
          <w:rFonts w:ascii="Verdana" w:hAnsi="Verdana"/>
          <w:color w:val="7030A0"/>
          <w:sz w:val="16"/>
          <w:szCs w:val="16"/>
        </w:rPr>
        <w:t xml:space="preserve"> 22 October 2019, </w:t>
      </w:r>
      <w:r w:rsidR="002374A8">
        <w:rPr>
          <w:rFonts w:ascii="Verdana" w:hAnsi="Verdana"/>
          <w:color w:val="7030A0"/>
          <w:sz w:val="16"/>
          <w:szCs w:val="16"/>
        </w:rPr>
        <w:t>at para 64.</w:t>
      </w:r>
    </w:p>
  </w:footnote>
  <w:footnote w:id="3">
    <w:p w14:paraId="57286957" w14:textId="77777777" w:rsidR="0041616A" w:rsidRPr="000E3789" w:rsidRDefault="0041616A" w:rsidP="002374A8">
      <w:pPr>
        <w:pStyle w:val="FootnoteText"/>
        <w:jc w:val="both"/>
        <w:rPr>
          <w:rFonts w:ascii="Verdana" w:hAnsi="Verdana"/>
          <w:color w:val="7030A0"/>
        </w:rPr>
      </w:pPr>
      <w:r w:rsidRPr="0041616A">
        <w:rPr>
          <w:rStyle w:val="FootnoteReference"/>
          <w:rFonts w:ascii="Verdana" w:hAnsi="Verdana"/>
          <w:color w:val="7030A0"/>
          <w:sz w:val="16"/>
          <w:szCs w:val="16"/>
        </w:rPr>
        <w:footnoteRef/>
      </w:r>
      <w:r w:rsidRPr="0041616A">
        <w:rPr>
          <w:rFonts w:ascii="Verdana" w:hAnsi="Verdana"/>
          <w:color w:val="7030A0"/>
          <w:sz w:val="16"/>
          <w:szCs w:val="16"/>
        </w:rPr>
        <w:t xml:space="preserve"> Re </w:t>
      </w:r>
      <w:r w:rsidR="002374A8">
        <w:rPr>
          <w:rFonts w:ascii="Verdana" w:hAnsi="Verdana"/>
          <w:color w:val="7030A0"/>
          <w:sz w:val="16"/>
          <w:szCs w:val="16"/>
        </w:rPr>
        <w:t xml:space="preserve">Siobhan McLaughlin (2016) NIQB 11, at </w:t>
      </w:r>
      <w:r w:rsidRPr="0041616A">
        <w:rPr>
          <w:rFonts w:ascii="Verdana" w:hAnsi="Verdana"/>
          <w:color w:val="7030A0"/>
          <w:sz w:val="16"/>
          <w:szCs w:val="16"/>
        </w:rPr>
        <w:t>paras 69- 72</w:t>
      </w:r>
      <w:r w:rsidR="002374A8">
        <w:rPr>
          <w:rFonts w:ascii="Verdana" w:hAnsi="Verdana"/>
          <w:color w:val="7030A0"/>
          <w:sz w:val="16"/>
          <w:szCs w:val="16"/>
        </w:rPr>
        <w:t>.</w:t>
      </w:r>
    </w:p>
  </w:footnote>
  <w:footnote w:id="4">
    <w:p w14:paraId="445E14A8" w14:textId="77777777" w:rsidR="0041616A" w:rsidRPr="0041616A" w:rsidRDefault="0041616A" w:rsidP="002374A8">
      <w:pPr>
        <w:pStyle w:val="FootnoteText"/>
        <w:jc w:val="both"/>
        <w:rPr>
          <w:rFonts w:ascii="Verdana" w:hAnsi="Verdana"/>
          <w:sz w:val="16"/>
          <w:szCs w:val="16"/>
        </w:rPr>
      </w:pPr>
      <w:r w:rsidRPr="0041616A">
        <w:rPr>
          <w:rStyle w:val="FootnoteReference"/>
          <w:rFonts w:ascii="Verdana" w:hAnsi="Verdana"/>
          <w:color w:val="7030A0"/>
          <w:sz w:val="16"/>
          <w:szCs w:val="16"/>
        </w:rPr>
        <w:footnoteRef/>
      </w:r>
      <w:r w:rsidRPr="0041616A">
        <w:rPr>
          <w:rFonts w:ascii="Verdana" w:hAnsi="Verdana"/>
          <w:color w:val="7030A0"/>
          <w:sz w:val="16"/>
          <w:szCs w:val="16"/>
        </w:rPr>
        <w:t xml:space="preserve"> In the matter of an application by Siobhan McLaughlin for Judicial Review (Northern Ireland) [2018] UKSC 48 </w:t>
      </w:r>
      <w:r w:rsidR="002374A8">
        <w:rPr>
          <w:rFonts w:ascii="Verdana" w:hAnsi="Verdana"/>
          <w:color w:val="7030A0"/>
          <w:sz w:val="16"/>
          <w:szCs w:val="16"/>
        </w:rPr>
        <w:t xml:space="preserve">at </w:t>
      </w:r>
      <w:r w:rsidRPr="0041616A">
        <w:rPr>
          <w:rFonts w:ascii="Verdana" w:hAnsi="Verdana"/>
          <w:color w:val="7030A0"/>
          <w:sz w:val="16"/>
          <w:szCs w:val="16"/>
        </w:rPr>
        <w:t>para 30</w:t>
      </w:r>
      <w:r w:rsidR="002374A8">
        <w:rPr>
          <w:rFonts w:ascii="Verdana" w:hAnsi="Verdana"/>
          <w:color w:val="7030A0"/>
          <w:sz w:val="16"/>
          <w:szCs w:val="16"/>
        </w:rPr>
        <w:t>.</w:t>
      </w:r>
    </w:p>
  </w:footnote>
  <w:footnote w:id="5">
    <w:p w14:paraId="684B5A01" w14:textId="77777777" w:rsidR="0041616A" w:rsidRPr="00CD0FF2" w:rsidRDefault="0041616A" w:rsidP="002374A8">
      <w:pPr>
        <w:pStyle w:val="FootnoteText"/>
        <w:jc w:val="both"/>
        <w:rPr>
          <w:rFonts w:ascii="Verdana" w:hAnsi="Verdana"/>
        </w:rPr>
      </w:pPr>
      <w:r w:rsidRPr="0041616A">
        <w:rPr>
          <w:rStyle w:val="FootnoteReference"/>
          <w:rFonts w:ascii="Verdana" w:hAnsi="Verdana"/>
          <w:color w:val="7030A0"/>
          <w:sz w:val="16"/>
          <w:szCs w:val="16"/>
        </w:rPr>
        <w:footnoteRef/>
      </w:r>
      <w:r w:rsidRPr="0041616A">
        <w:rPr>
          <w:rFonts w:ascii="Verdana" w:hAnsi="Verdana"/>
          <w:color w:val="7030A0"/>
          <w:sz w:val="16"/>
          <w:szCs w:val="16"/>
        </w:rPr>
        <w:t xml:space="preserve"> </w:t>
      </w:r>
      <w:r w:rsidR="002374A8">
        <w:rPr>
          <w:rFonts w:ascii="Verdana" w:hAnsi="Verdana"/>
          <w:color w:val="7030A0"/>
          <w:sz w:val="16"/>
          <w:szCs w:val="16"/>
        </w:rPr>
        <w:t>UK Parliament, ‘</w:t>
      </w:r>
      <w:r w:rsidRPr="0041616A">
        <w:rPr>
          <w:rFonts w:ascii="Verdana" w:hAnsi="Verdana"/>
          <w:color w:val="7030A0"/>
          <w:sz w:val="16"/>
          <w:szCs w:val="16"/>
        </w:rPr>
        <w:t>Work and Pensions Committee</w:t>
      </w:r>
      <w:r w:rsidR="002374A8">
        <w:rPr>
          <w:rFonts w:ascii="Verdana" w:hAnsi="Verdana"/>
          <w:color w:val="7030A0"/>
          <w:sz w:val="16"/>
          <w:szCs w:val="16"/>
        </w:rPr>
        <w:t xml:space="preserve">: </w:t>
      </w:r>
      <w:hyperlink r:id="rId2" w:history="1">
        <w:r w:rsidR="002374A8" w:rsidRPr="002374A8">
          <w:rPr>
            <w:rStyle w:val="Hyperlink"/>
            <w:rFonts w:ascii="Verdana" w:hAnsi="Verdana"/>
            <w:sz w:val="16"/>
            <w:szCs w:val="16"/>
          </w:rPr>
          <w:t>Report into Bereavement Support Payment’</w:t>
        </w:r>
      </w:hyperlink>
      <w:r w:rsidR="002374A8">
        <w:rPr>
          <w:rFonts w:ascii="Verdana" w:hAnsi="Verdana"/>
          <w:color w:val="7030A0"/>
          <w:sz w:val="16"/>
          <w:szCs w:val="16"/>
        </w:rPr>
        <w:t>,</w:t>
      </w:r>
      <w:r w:rsidRPr="0041616A">
        <w:rPr>
          <w:rFonts w:ascii="Verdana" w:hAnsi="Verdana"/>
          <w:color w:val="7030A0"/>
          <w:sz w:val="16"/>
          <w:szCs w:val="16"/>
        </w:rPr>
        <w:t xml:space="preserve"> 22 October 2019, at para 66</w:t>
      </w:r>
      <w:r w:rsidR="002374A8">
        <w:rPr>
          <w:rFonts w:ascii="Verdana" w:hAnsi="Verdana"/>
          <w:color w:val="7030A0"/>
          <w:sz w:val="16"/>
          <w:szCs w:val="16"/>
        </w:rPr>
        <w:t>.</w:t>
      </w:r>
      <w:r w:rsidRPr="0041616A">
        <w:rPr>
          <w:rFonts w:ascii="Verdana" w:hAnsi="Verdana"/>
          <w:color w:val="7030A0"/>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3D08"/>
    <w:multiLevelType w:val="hybridMultilevel"/>
    <w:tmpl w:val="60CCD01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1910BB"/>
    <w:multiLevelType w:val="multilevel"/>
    <w:tmpl w:val="F6442996"/>
    <w:lvl w:ilvl="0">
      <w:start w:val="2"/>
      <w:numFmt w:val="decimal"/>
      <w:lvlText w:val="%1.0"/>
      <w:lvlJc w:val="left"/>
      <w:pPr>
        <w:ind w:left="1080" w:hanging="720"/>
      </w:pPr>
      <w:rPr>
        <w:rFonts w:hint="default"/>
        <w:b/>
        <w:color w:val="000000"/>
        <w:sz w:val="24"/>
      </w:rPr>
    </w:lvl>
    <w:lvl w:ilvl="1">
      <w:start w:val="1"/>
      <w:numFmt w:val="decimal"/>
      <w:lvlText w:val="%1.%2"/>
      <w:lvlJc w:val="left"/>
      <w:pPr>
        <w:ind w:left="1800" w:hanging="720"/>
      </w:pPr>
      <w:rPr>
        <w:rFonts w:hint="default"/>
        <w:b/>
        <w:color w:val="000000"/>
        <w:sz w:val="24"/>
      </w:rPr>
    </w:lvl>
    <w:lvl w:ilvl="2">
      <w:start w:val="1"/>
      <w:numFmt w:val="decimal"/>
      <w:lvlText w:val="%1.%2.%3"/>
      <w:lvlJc w:val="left"/>
      <w:pPr>
        <w:ind w:left="2520" w:hanging="720"/>
      </w:pPr>
      <w:rPr>
        <w:rFonts w:hint="default"/>
        <w:b/>
        <w:color w:val="000000"/>
        <w:sz w:val="24"/>
      </w:rPr>
    </w:lvl>
    <w:lvl w:ilvl="3">
      <w:start w:val="1"/>
      <w:numFmt w:val="decimal"/>
      <w:lvlText w:val="%1.%2.%3.%4"/>
      <w:lvlJc w:val="left"/>
      <w:pPr>
        <w:ind w:left="3600" w:hanging="1080"/>
      </w:pPr>
      <w:rPr>
        <w:rFonts w:hint="default"/>
        <w:b/>
        <w:color w:val="000000"/>
        <w:sz w:val="24"/>
      </w:rPr>
    </w:lvl>
    <w:lvl w:ilvl="4">
      <w:start w:val="1"/>
      <w:numFmt w:val="decimal"/>
      <w:lvlText w:val="%1.%2.%3.%4.%5"/>
      <w:lvlJc w:val="left"/>
      <w:pPr>
        <w:ind w:left="4680" w:hanging="1440"/>
      </w:pPr>
      <w:rPr>
        <w:rFonts w:hint="default"/>
        <w:b/>
        <w:color w:val="000000"/>
        <w:sz w:val="24"/>
      </w:rPr>
    </w:lvl>
    <w:lvl w:ilvl="5">
      <w:start w:val="1"/>
      <w:numFmt w:val="decimal"/>
      <w:lvlText w:val="%1.%2.%3.%4.%5.%6"/>
      <w:lvlJc w:val="left"/>
      <w:pPr>
        <w:ind w:left="5760" w:hanging="1800"/>
      </w:pPr>
      <w:rPr>
        <w:rFonts w:hint="default"/>
        <w:b/>
        <w:color w:val="000000"/>
        <w:sz w:val="24"/>
      </w:rPr>
    </w:lvl>
    <w:lvl w:ilvl="6">
      <w:start w:val="1"/>
      <w:numFmt w:val="decimal"/>
      <w:lvlText w:val="%1.%2.%3.%4.%5.%6.%7"/>
      <w:lvlJc w:val="left"/>
      <w:pPr>
        <w:ind w:left="6480" w:hanging="1800"/>
      </w:pPr>
      <w:rPr>
        <w:rFonts w:hint="default"/>
        <w:b/>
        <w:color w:val="000000"/>
        <w:sz w:val="24"/>
      </w:rPr>
    </w:lvl>
    <w:lvl w:ilvl="7">
      <w:start w:val="1"/>
      <w:numFmt w:val="decimal"/>
      <w:lvlText w:val="%1.%2.%3.%4.%5.%6.%7.%8"/>
      <w:lvlJc w:val="left"/>
      <w:pPr>
        <w:ind w:left="7560" w:hanging="2160"/>
      </w:pPr>
      <w:rPr>
        <w:rFonts w:hint="default"/>
        <w:b/>
        <w:color w:val="000000"/>
        <w:sz w:val="24"/>
      </w:rPr>
    </w:lvl>
    <w:lvl w:ilvl="8">
      <w:start w:val="1"/>
      <w:numFmt w:val="decimal"/>
      <w:lvlText w:val="%1.%2.%3.%4.%5.%6.%7.%8.%9"/>
      <w:lvlJc w:val="left"/>
      <w:pPr>
        <w:ind w:left="8640" w:hanging="2520"/>
      </w:pPr>
      <w:rPr>
        <w:rFonts w:hint="default"/>
        <w:b/>
        <w:color w:val="000000"/>
        <w:sz w:val="24"/>
      </w:rPr>
    </w:lvl>
  </w:abstractNum>
  <w:abstractNum w:abstractNumId="4"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124C26"/>
    <w:multiLevelType w:val="hybridMultilevel"/>
    <w:tmpl w:val="1B588928"/>
    <w:lvl w:ilvl="0" w:tplc="3F76EB08">
      <w:start w:val="13"/>
      <w:numFmt w:val="decimal"/>
      <w:lvlText w:val="%1."/>
      <w:lvlJc w:val="left"/>
      <w:pPr>
        <w:ind w:left="1155" w:hanging="43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5AB690B"/>
    <w:multiLevelType w:val="hybridMultilevel"/>
    <w:tmpl w:val="3CB0997A"/>
    <w:lvl w:ilvl="0" w:tplc="8064EBDE">
      <w:start w:val="1"/>
      <w:numFmt w:val="decimal"/>
      <w:lvlText w:val="%1."/>
      <w:lvlJc w:val="left"/>
      <w:pPr>
        <w:ind w:left="720" w:hanging="360"/>
      </w:pPr>
      <w:rPr>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1"/>
  </w:num>
  <w:num w:numId="4">
    <w:abstractNumId w:val="4"/>
  </w:num>
  <w:num w:numId="5">
    <w:abstractNumId w:val="8"/>
  </w:num>
  <w:num w:numId="6">
    <w:abstractNumId w:val="2"/>
  </w:num>
  <w:num w:numId="7">
    <w:abstractNumId w:val="5"/>
  </w:num>
  <w:num w:numId="8">
    <w:abstractNumId w:val="3"/>
  </w:num>
  <w:num w:numId="9">
    <w:abstractNumId w:val="9"/>
  </w:num>
  <w:num w:numId="10">
    <w:abstractNumId w:val="0"/>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46705"/>
    <w:rsid w:val="0005379E"/>
    <w:rsid w:val="000E1F61"/>
    <w:rsid w:val="000E7F0C"/>
    <w:rsid w:val="001E79A9"/>
    <w:rsid w:val="002016F0"/>
    <w:rsid w:val="00213B8A"/>
    <w:rsid w:val="00224140"/>
    <w:rsid w:val="002351CB"/>
    <w:rsid w:val="002374A8"/>
    <w:rsid w:val="002428EC"/>
    <w:rsid w:val="002458D8"/>
    <w:rsid w:val="002B1272"/>
    <w:rsid w:val="00306317"/>
    <w:rsid w:val="00331C61"/>
    <w:rsid w:val="00341BFE"/>
    <w:rsid w:val="00367CCA"/>
    <w:rsid w:val="003A4E42"/>
    <w:rsid w:val="003B7D0E"/>
    <w:rsid w:val="003D09D2"/>
    <w:rsid w:val="00403436"/>
    <w:rsid w:val="0041616A"/>
    <w:rsid w:val="00463D6B"/>
    <w:rsid w:val="00466A2E"/>
    <w:rsid w:val="004672AC"/>
    <w:rsid w:val="00552293"/>
    <w:rsid w:val="005651FC"/>
    <w:rsid w:val="00566574"/>
    <w:rsid w:val="00575C93"/>
    <w:rsid w:val="00585799"/>
    <w:rsid w:val="005B723E"/>
    <w:rsid w:val="005F4D60"/>
    <w:rsid w:val="00656ECD"/>
    <w:rsid w:val="00705833"/>
    <w:rsid w:val="007569C1"/>
    <w:rsid w:val="007F266D"/>
    <w:rsid w:val="00812D47"/>
    <w:rsid w:val="008159E8"/>
    <w:rsid w:val="0087161B"/>
    <w:rsid w:val="00872187"/>
    <w:rsid w:val="00875E68"/>
    <w:rsid w:val="008D0E66"/>
    <w:rsid w:val="008D7C32"/>
    <w:rsid w:val="00962B2B"/>
    <w:rsid w:val="0096459E"/>
    <w:rsid w:val="00991F97"/>
    <w:rsid w:val="00A17F37"/>
    <w:rsid w:val="00A33337"/>
    <w:rsid w:val="00A349F7"/>
    <w:rsid w:val="00B614F2"/>
    <w:rsid w:val="00B777CF"/>
    <w:rsid w:val="00B96D34"/>
    <w:rsid w:val="00BB4306"/>
    <w:rsid w:val="00BE5849"/>
    <w:rsid w:val="00C2725D"/>
    <w:rsid w:val="00C32B58"/>
    <w:rsid w:val="00C337D3"/>
    <w:rsid w:val="00C76E49"/>
    <w:rsid w:val="00CE3039"/>
    <w:rsid w:val="00CF0261"/>
    <w:rsid w:val="00D12EF8"/>
    <w:rsid w:val="00D16532"/>
    <w:rsid w:val="00D2770F"/>
    <w:rsid w:val="00D63D42"/>
    <w:rsid w:val="00E43309"/>
    <w:rsid w:val="00E731A1"/>
    <w:rsid w:val="00EA12CE"/>
    <w:rsid w:val="00EA2EB7"/>
    <w:rsid w:val="00F31387"/>
    <w:rsid w:val="00F41310"/>
    <w:rsid w:val="00F43CE4"/>
    <w:rsid w:val="00F56C78"/>
    <w:rsid w:val="00FA165E"/>
    <w:rsid w:val="00FF3C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62832E9"/>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1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161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basedOn w:val="DefaultParagraphFont"/>
    <w:uiPriority w:val="99"/>
    <w:unhideWhenUsed/>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character" w:customStyle="1" w:styleId="Heading1Char">
    <w:name w:val="Heading 1 Char"/>
    <w:basedOn w:val="DefaultParagraphFont"/>
    <w:link w:val="Heading1"/>
    <w:uiPriority w:val="9"/>
    <w:rsid w:val="0041616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1616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1616A"/>
    <w:pPr>
      <w:ind w:left="720"/>
      <w:contextualSpacing/>
    </w:pPr>
  </w:style>
  <w:style w:type="character" w:styleId="FollowedHyperlink">
    <w:name w:val="FollowedHyperlink"/>
    <w:basedOn w:val="DefaultParagraphFont"/>
    <w:uiPriority w:val="99"/>
    <w:semiHidden/>
    <w:unhideWhenUsed/>
    <w:rsid w:val="00E43309"/>
    <w:rPr>
      <w:color w:val="800080" w:themeColor="followedHyperlink"/>
      <w:u w:val="single"/>
    </w:rPr>
  </w:style>
  <w:style w:type="paragraph" w:styleId="TOCHeading">
    <w:name w:val="TOC Heading"/>
    <w:basedOn w:val="Heading1"/>
    <w:next w:val="Normal"/>
    <w:uiPriority w:val="39"/>
    <w:unhideWhenUsed/>
    <w:qFormat/>
    <w:rsid w:val="00FA165E"/>
    <w:pPr>
      <w:spacing w:line="259" w:lineRule="auto"/>
      <w:outlineLvl w:val="9"/>
    </w:pPr>
    <w:rPr>
      <w:lang w:val="en-US"/>
    </w:rPr>
  </w:style>
  <w:style w:type="paragraph" w:styleId="TOC1">
    <w:name w:val="toc 1"/>
    <w:basedOn w:val="Normal"/>
    <w:next w:val="Normal"/>
    <w:autoRedefine/>
    <w:uiPriority w:val="39"/>
    <w:unhideWhenUsed/>
    <w:rsid w:val="00FA165E"/>
    <w:pPr>
      <w:spacing w:after="100"/>
    </w:pPr>
  </w:style>
  <w:style w:type="paragraph" w:styleId="TOC2">
    <w:name w:val="toc 2"/>
    <w:basedOn w:val="Normal"/>
    <w:next w:val="Normal"/>
    <w:autoRedefine/>
    <w:uiPriority w:val="39"/>
    <w:unhideWhenUsed/>
    <w:rsid w:val="00FA165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0029">
      <w:bodyDiv w:val="1"/>
      <w:marLeft w:val="0"/>
      <w:marRight w:val="0"/>
      <w:marTop w:val="0"/>
      <w:marBottom w:val="0"/>
      <w:divBdr>
        <w:top w:val="none" w:sz="0" w:space="0" w:color="auto"/>
        <w:left w:val="none" w:sz="0" w:space="0" w:color="auto"/>
        <w:bottom w:val="none" w:sz="0" w:space="0" w:color="auto"/>
        <w:right w:val="none" w:sz="0" w:space="0" w:color="auto"/>
      </w:divBdr>
    </w:div>
    <w:div w:id="1144814196">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969972">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Laura.Banks\AppData\Local\Microsoft\Windows\INetCache\Content.Outlook\BSUL8QAT\Submission%20to%20JCHR%20on%20Remedial%20Order%2006.09.21.doc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Laura.Banks\AppData\Local\Microsoft\Windows\INetCache\Content.Outlook\BSUL8QAT\Submission%20to%20JCHR%20on%20Remedial%20Order%2006.09.21.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aura.Banks\AppData\Local\Microsoft\Windows\INetCache\Content.Outlook\BSUL8QAT\Submission%20to%20JCHR%20on%20Remedial%20Order%2006.09.21.docx" TargetMode="External"/><Relationship Id="rId5" Type="http://schemas.openxmlformats.org/officeDocument/2006/relationships/webSettings" Target="webSettings.xml"/><Relationship Id="rId15" Type="http://schemas.openxmlformats.org/officeDocument/2006/relationships/hyperlink" Target="mailto:info@nihrc.org" TargetMode="External"/><Relationship Id="rId10" Type="http://schemas.openxmlformats.org/officeDocument/2006/relationships/hyperlink" Target="file:///C:\Users\Laura.Banks\AppData\Local\Microsoft\Windows\INetCache\Content.Outlook\BSUL8QAT\Submission%20to%20JCHR%20on%20Remedial%20Order%2006.09.21.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Laura.Banks\AppData\Local\Microsoft\Windows\INetCache\Content.Outlook\BSUL8QAT\Submission%20to%20JCHR%20on%20Remedial%20Order%2006.09.21.docx" TargetMode="External"/><Relationship Id="rId14" Type="http://schemas.openxmlformats.org/officeDocument/2006/relationships/hyperlink" Target="http://www.nihrc.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ublications.parliament.uk/pa/cm201919/cmselect/cmworpen/85/8502.htm" TargetMode="External"/><Relationship Id="rId1" Type="http://schemas.openxmlformats.org/officeDocument/2006/relationships/hyperlink" Target="https://publications.parliament.uk/pa/cm201919/cmselect/cmworpen/85/85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3ADA9-BEAF-4EFE-8234-D32D8E25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Conor Boyle</cp:lastModifiedBy>
  <cp:revision>2</cp:revision>
  <cp:lastPrinted>2018-04-20T11:30:00Z</cp:lastPrinted>
  <dcterms:created xsi:type="dcterms:W3CDTF">2021-10-29T14:20:00Z</dcterms:created>
  <dcterms:modified xsi:type="dcterms:W3CDTF">2021-10-29T14:20:00Z</dcterms:modified>
</cp:coreProperties>
</file>